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DF694" w14:textId="77777777" w:rsidR="00451CC4" w:rsidRDefault="00CC7339" w:rsidP="00050A0E">
      <w:pPr>
        <w:jc w:val="right"/>
      </w:pPr>
      <w:r w:rsidRPr="00DD458C">
        <w:rPr>
          <w:noProof/>
        </w:rPr>
        <w:drawing>
          <wp:inline distT="0" distB="0" distL="0" distR="0" wp14:anchorId="042830F7" wp14:editId="14EB3140">
            <wp:extent cx="4095750" cy="1685925"/>
            <wp:effectExtent l="0" t="0" r="0" b="0"/>
            <wp:docPr id="1" name="Picture 13" descr="Judicial Entitlements Panel logo 260616 - RG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dicial Entitlements Panel logo 260616 - RGB-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0" cy="1685925"/>
                    </a:xfrm>
                    <a:prstGeom prst="rect">
                      <a:avLst/>
                    </a:prstGeom>
                    <a:noFill/>
                    <a:ln>
                      <a:noFill/>
                    </a:ln>
                  </pic:spPr>
                </pic:pic>
              </a:graphicData>
            </a:graphic>
          </wp:inline>
        </w:drawing>
      </w:r>
    </w:p>
    <w:p w14:paraId="05E93F18" w14:textId="77777777" w:rsidR="009F0180" w:rsidRDefault="009F0180" w:rsidP="00B922A9"/>
    <w:p w14:paraId="60263F74" w14:textId="77777777" w:rsidR="009F0180" w:rsidRDefault="009F0180" w:rsidP="00B922A9"/>
    <w:p w14:paraId="365D26C6" w14:textId="77777777" w:rsidR="009F0180" w:rsidRDefault="009F0180" w:rsidP="00B922A9"/>
    <w:p w14:paraId="2EA54768" w14:textId="77777777" w:rsidR="009F0180" w:rsidRDefault="00651C94" w:rsidP="00050A0E">
      <w:r>
        <w:tab/>
      </w:r>
    </w:p>
    <w:p w14:paraId="15B13394" w14:textId="77777777" w:rsidR="009F0180" w:rsidRDefault="009F0180" w:rsidP="00050A0E"/>
    <w:p w14:paraId="477725A5" w14:textId="77777777" w:rsidR="009F0180" w:rsidRDefault="009F0180" w:rsidP="00050A0E"/>
    <w:p w14:paraId="40EC0ED2" w14:textId="77777777" w:rsidR="009F0180" w:rsidRDefault="009F0180" w:rsidP="00050A0E"/>
    <w:p w14:paraId="38D647A0" w14:textId="77777777" w:rsidR="009F0180" w:rsidRPr="00E226E5" w:rsidRDefault="009F0180" w:rsidP="00050A0E">
      <w:pPr>
        <w:spacing w:before="0" w:after="0"/>
        <w:jc w:val="center"/>
        <w:rPr>
          <w:b/>
          <w:color w:val="0063A6"/>
          <w:sz w:val="36"/>
          <w:szCs w:val="36"/>
        </w:rPr>
      </w:pPr>
      <w:r w:rsidRPr="00E226E5">
        <w:rPr>
          <w:b/>
          <w:color w:val="0063A6"/>
          <w:sz w:val="36"/>
          <w:szCs w:val="36"/>
        </w:rPr>
        <w:t>Own Motion Recommendations to the Attorney-General</w:t>
      </w:r>
    </w:p>
    <w:p w14:paraId="0F86947A" w14:textId="580F9F03" w:rsidR="009F0180" w:rsidRPr="00E226E5" w:rsidRDefault="00BA4715" w:rsidP="00050A0E">
      <w:pPr>
        <w:spacing w:before="0" w:after="0"/>
        <w:jc w:val="center"/>
        <w:rPr>
          <w:b/>
          <w:i/>
          <w:color w:val="0063A6"/>
          <w:sz w:val="36"/>
          <w:szCs w:val="36"/>
        </w:rPr>
      </w:pPr>
      <w:r w:rsidRPr="00D9469D">
        <w:rPr>
          <w:b/>
          <w:i/>
          <w:color w:val="0063A6"/>
          <w:sz w:val="36"/>
          <w:szCs w:val="36"/>
        </w:rPr>
        <w:t>Ma</w:t>
      </w:r>
      <w:r w:rsidR="00FA7E7F" w:rsidRPr="00D9469D">
        <w:rPr>
          <w:b/>
          <w:i/>
          <w:color w:val="0063A6"/>
          <w:sz w:val="36"/>
          <w:szCs w:val="36"/>
        </w:rPr>
        <w:t>y</w:t>
      </w:r>
      <w:r w:rsidR="009F0180" w:rsidRPr="00D9469D">
        <w:rPr>
          <w:b/>
          <w:i/>
          <w:color w:val="0063A6"/>
          <w:sz w:val="36"/>
          <w:szCs w:val="36"/>
        </w:rPr>
        <w:t xml:space="preserve"> 20</w:t>
      </w:r>
      <w:r w:rsidR="00F547FD" w:rsidRPr="00D9469D">
        <w:rPr>
          <w:b/>
          <w:i/>
          <w:color w:val="0063A6"/>
          <w:sz w:val="36"/>
          <w:szCs w:val="36"/>
        </w:rPr>
        <w:t>20</w:t>
      </w:r>
      <w:r w:rsidR="009F0180" w:rsidRPr="00E226E5">
        <w:rPr>
          <w:b/>
          <w:i/>
          <w:color w:val="0063A6"/>
          <w:sz w:val="36"/>
          <w:szCs w:val="36"/>
        </w:rPr>
        <w:t xml:space="preserve"> Report</w:t>
      </w:r>
    </w:p>
    <w:p w14:paraId="38FACD82" w14:textId="25FDE7E9" w:rsidR="009F0180" w:rsidRPr="00050A0E" w:rsidRDefault="009F0180" w:rsidP="007F1F46">
      <w:pPr>
        <w:autoSpaceDE/>
        <w:autoSpaceDN/>
        <w:adjustRightInd/>
        <w:spacing w:before="0" w:after="0"/>
        <w:rPr>
          <w:b/>
          <w:color w:val="0063A6"/>
          <w:sz w:val="32"/>
          <w:szCs w:val="32"/>
        </w:rPr>
      </w:pPr>
      <w:r w:rsidRPr="00050A0E">
        <w:rPr>
          <w:color w:val="004285"/>
          <w:sz w:val="21"/>
          <w:szCs w:val="21"/>
        </w:rPr>
        <w:br w:type="page"/>
      </w:r>
      <w:r w:rsidRPr="00050A0E">
        <w:rPr>
          <w:b/>
          <w:color w:val="0063A6"/>
          <w:sz w:val="32"/>
          <w:szCs w:val="32"/>
        </w:rPr>
        <w:lastRenderedPageBreak/>
        <w:t>Contents</w:t>
      </w:r>
    </w:p>
    <w:p w14:paraId="24885EC0" w14:textId="077B870D" w:rsidR="00E1441F" w:rsidRDefault="0018174D">
      <w:pPr>
        <w:pStyle w:val="TOC1"/>
        <w:tabs>
          <w:tab w:val="right" w:leader="dot" w:pos="9628"/>
        </w:tabs>
        <w:rPr>
          <w:rFonts w:eastAsiaTheme="minorEastAsia" w:cstheme="minorBidi"/>
          <w:b w:val="0"/>
          <w:bCs w:val="0"/>
          <w:i w:val="0"/>
          <w:iCs w:val="0"/>
          <w:noProof/>
          <w:color w:val="auto"/>
          <w:lang w:eastAsia="en-US"/>
        </w:rPr>
      </w:pPr>
      <w:r>
        <w:rPr>
          <w:b w:val="0"/>
          <w:bCs w:val="0"/>
          <w:i w:val="0"/>
          <w:iCs w:val="0"/>
          <w:caps/>
          <w:sz w:val="20"/>
          <w:szCs w:val="20"/>
        </w:rPr>
        <w:fldChar w:fldCharType="begin"/>
      </w:r>
      <w:r>
        <w:rPr>
          <w:b w:val="0"/>
          <w:bCs w:val="0"/>
          <w:i w:val="0"/>
          <w:iCs w:val="0"/>
          <w:caps/>
          <w:sz w:val="20"/>
          <w:szCs w:val="20"/>
        </w:rPr>
        <w:instrText xml:space="preserve"> TOC \o "1-3" \h \z \u </w:instrText>
      </w:r>
      <w:r>
        <w:rPr>
          <w:b w:val="0"/>
          <w:bCs w:val="0"/>
          <w:i w:val="0"/>
          <w:iCs w:val="0"/>
          <w:caps/>
          <w:sz w:val="20"/>
          <w:szCs w:val="20"/>
        </w:rPr>
        <w:fldChar w:fldCharType="separate"/>
      </w:r>
      <w:hyperlink w:anchor="_Toc41306026" w:history="1">
        <w:r w:rsidR="00E1441F" w:rsidRPr="00887E02">
          <w:rPr>
            <w:rStyle w:val="Hyperlink"/>
            <w:noProof/>
          </w:rPr>
          <w:t>Panel foreword</w:t>
        </w:r>
        <w:r w:rsidR="00E1441F">
          <w:rPr>
            <w:noProof/>
            <w:webHidden/>
          </w:rPr>
          <w:tab/>
        </w:r>
        <w:r w:rsidR="00E1441F">
          <w:rPr>
            <w:noProof/>
            <w:webHidden/>
          </w:rPr>
          <w:fldChar w:fldCharType="begin"/>
        </w:r>
        <w:r w:rsidR="00E1441F">
          <w:rPr>
            <w:noProof/>
            <w:webHidden/>
          </w:rPr>
          <w:instrText xml:space="preserve"> PAGEREF _Toc41306026 \h </w:instrText>
        </w:r>
        <w:r w:rsidR="00E1441F">
          <w:rPr>
            <w:noProof/>
            <w:webHidden/>
          </w:rPr>
        </w:r>
        <w:r w:rsidR="00E1441F">
          <w:rPr>
            <w:noProof/>
            <w:webHidden/>
          </w:rPr>
          <w:fldChar w:fldCharType="separate"/>
        </w:r>
        <w:r w:rsidR="00156182">
          <w:rPr>
            <w:noProof/>
            <w:webHidden/>
          </w:rPr>
          <w:t>4</w:t>
        </w:r>
        <w:r w:rsidR="00E1441F">
          <w:rPr>
            <w:noProof/>
            <w:webHidden/>
          </w:rPr>
          <w:fldChar w:fldCharType="end"/>
        </w:r>
      </w:hyperlink>
    </w:p>
    <w:p w14:paraId="1EA7BCFA" w14:textId="6E101783"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27" w:history="1">
        <w:r w:rsidR="00E1441F" w:rsidRPr="00887E02">
          <w:rPr>
            <w:rStyle w:val="Hyperlink"/>
            <w:noProof/>
          </w:rPr>
          <w:t>Summary of recommendations and observations</w:t>
        </w:r>
        <w:r w:rsidR="00E1441F">
          <w:rPr>
            <w:noProof/>
            <w:webHidden/>
          </w:rPr>
          <w:tab/>
        </w:r>
        <w:r w:rsidR="00E1441F">
          <w:rPr>
            <w:noProof/>
            <w:webHidden/>
          </w:rPr>
          <w:fldChar w:fldCharType="begin"/>
        </w:r>
        <w:r w:rsidR="00E1441F">
          <w:rPr>
            <w:noProof/>
            <w:webHidden/>
          </w:rPr>
          <w:instrText xml:space="preserve"> PAGEREF _Toc41306027 \h </w:instrText>
        </w:r>
        <w:r w:rsidR="00E1441F">
          <w:rPr>
            <w:noProof/>
            <w:webHidden/>
          </w:rPr>
        </w:r>
        <w:r w:rsidR="00E1441F">
          <w:rPr>
            <w:noProof/>
            <w:webHidden/>
          </w:rPr>
          <w:fldChar w:fldCharType="separate"/>
        </w:r>
        <w:r w:rsidR="00156182">
          <w:rPr>
            <w:noProof/>
            <w:webHidden/>
          </w:rPr>
          <w:t>5</w:t>
        </w:r>
        <w:r w:rsidR="00E1441F">
          <w:rPr>
            <w:noProof/>
            <w:webHidden/>
          </w:rPr>
          <w:fldChar w:fldCharType="end"/>
        </w:r>
      </w:hyperlink>
    </w:p>
    <w:p w14:paraId="24097267" w14:textId="3FBA29D3"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28" w:history="1">
        <w:r w:rsidR="00E1441F" w:rsidRPr="00887E02">
          <w:rPr>
            <w:rStyle w:val="Hyperlink"/>
            <w:noProof/>
          </w:rPr>
          <w:t>Recommendations</w:t>
        </w:r>
        <w:r w:rsidR="00E1441F">
          <w:rPr>
            <w:noProof/>
            <w:webHidden/>
          </w:rPr>
          <w:tab/>
        </w:r>
        <w:r w:rsidR="00E1441F">
          <w:rPr>
            <w:noProof/>
            <w:webHidden/>
          </w:rPr>
          <w:fldChar w:fldCharType="begin"/>
        </w:r>
        <w:r w:rsidR="00E1441F">
          <w:rPr>
            <w:noProof/>
            <w:webHidden/>
          </w:rPr>
          <w:instrText xml:space="preserve"> PAGEREF _Toc41306028 \h </w:instrText>
        </w:r>
        <w:r w:rsidR="00E1441F">
          <w:rPr>
            <w:noProof/>
            <w:webHidden/>
          </w:rPr>
        </w:r>
        <w:r w:rsidR="00E1441F">
          <w:rPr>
            <w:noProof/>
            <w:webHidden/>
          </w:rPr>
          <w:fldChar w:fldCharType="separate"/>
        </w:r>
        <w:r w:rsidR="00156182">
          <w:rPr>
            <w:noProof/>
            <w:webHidden/>
          </w:rPr>
          <w:t>5</w:t>
        </w:r>
        <w:r w:rsidR="00E1441F">
          <w:rPr>
            <w:noProof/>
            <w:webHidden/>
          </w:rPr>
          <w:fldChar w:fldCharType="end"/>
        </w:r>
      </w:hyperlink>
    </w:p>
    <w:p w14:paraId="19769A02" w14:textId="24AEBAA3"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29" w:history="1">
        <w:r w:rsidR="00E1441F" w:rsidRPr="00887E02">
          <w:rPr>
            <w:rStyle w:val="Hyperlink"/>
            <w:noProof/>
          </w:rPr>
          <w:t>Observations</w:t>
        </w:r>
        <w:r w:rsidR="00E1441F">
          <w:rPr>
            <w:noProof/>
            <w:webHidden/>
          </w:rPr>
          <w:tab/>
        </w:r>
        <w:r w:rsidR="00E1441F">
          <w:rPr>
            <w:noProof/>
            <w:webHidden/>
          </w:rPr>
          <w:fldChar w:fldCharType="begin"/>
        </w:r>
        <w:r w:rsidR="00E1441F">
          <w:rPr>
            <w:noProof/>
            <w:webHidden/>
          </w:rPr>
          <w:instrText xml:space="preserve"> PAGEREF _Toc41306029 \h </w:instrText>
        </w:r>
        <w:r w:rsidR="00E1441F">
          <w:rPr>
            <w:noProof/>
            <w:webHidden/>
          </w:rPr>
        </w:r>
        <w:r w:rsidR="00E1441F">
          <w:rPr>
            <w:noProof/>
            <w:webHidden/>
          </w:rPr>
          <w:fldChar w:fldCharType="separate"/>
        </w:r>
        <w:r w:rsidR="00156182">
          <w:rPr>
            <w:noProof/>
            <w:webHidden/>
          </w:rPr>
          <w:t>6</w:t>
        </w:r>
        <w:r w:rsidR="00E1441F">
          <w:rPr>
            <w:noProof/>
            <w:webHidden/>
          </w:rPr>
          <w:fldChar w:fldCharType="end"/>
        </w:r>
      </w:hyperlink>
    </w:p>
    <w:p w14:paraId="75FF083A" w14:textId="0FAEE1E7"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30" w:history="1">
        <w:r w:rsidR="00E1441F" w:rsidRPr="00887E02">
          <w:rPr>
            <w:rStyle w:val="Hyperlink"/>
            <w:noProof/>
          </w:rPr>
          <w:t>Summary of approximate costs of recommendations</w:t>
        </w:r>
        <w:r w:rsidR="00E1441F">
          <w:rPr>
            <w:noProof/>
            <w:webHidden/>
          </w:rPr>
          <w:tab/>
        </w:r>
        <w:r w:rsidR="00E1441F">
          <w:rPr>
            <w:noProof/>
            <w:webHidden/>
          </w:rPr>
          <w:fldChar w:fldCharType="begin"/>
        </w:r>
        <w:r w:rsidR="00E1441F">
          <w:rPr>
            <w:noProof/>
            <w:webHidden/>
          </w:rPr>
          <w:instrText xml:space="preserve"> PAGEREF _Toc41306030 \h </w:instrText>
        </w:r>
        <w:r w:rsidR="00E1441F">
          <w:rPr>
            <w:noProof/>
            <w:webHidden/>
          </w:rPr>
        </w:r>
        <w:r w:rsidR="00E1441F">
          <w:rPr>
            <w:noProof/>
            <w:webHidden/>
          </w:rPr>
          <w:fldChar w:fldCharType="separate"/>
        </w:r>
        <w:r w:rsidR="00156182">
          <w:rPr>
            <w:noProof/>
            <w:webHidden/>
          </w:rPr>
          <w:t>7</w:t>
        </w:r>
        <w:r w:rsidR="00E1441F">
          <w:rPr>
            <w:noProof/>
            <w:webHidden/>
          </w:rPr>
          <w:fldChar w:fldCharType="end"/>
        </w:r>
      </w:hyperlink>
    </w:p>
    <w:p w14:paraId="53EBA08A" w14:textId="4EBDB358"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31" w:history="1">
        <w:r w:rsidR="00E1441F" w:rsidRPr="00887E02">
          <w:rPr>
            <w:rStyle w:val="Hyperlink"/>
            <w:noProof/>
          </w:rPr>
          <w:t>Background</w:t>
        </w:r>
        <w:r w:rsidR="00E1441F">
          <w:rPr>
            <w:noProof/>
            <w:webHidden/>
          </w:rPr>
          <w:tab/>
        </w:r>
        <w:r w:rsidR="00E1441F">
          <w:rPr>
            <w:noProof/>
            <w:webHidden/>
          </w:rPr>
          <w:fldChar w:fldCharType="begin"/>
        </w:r>
        <w:r w:rsidR="00E1441F">
          <w:rPr>
            <w:noProof/>
            <w:webHidden/>
          </w:rPr>
          <w:instrText xml:space="preserve"> PAGEREF _Toc41306031 \h </w:instrText>
        </w:r>
        <w:r w:rsidR="00E1441F">
          <w:rPr>
            <w:noProof/>
            <w:webHidden/>
          </w:rPr>
        </w:r>
        <w:r w:rsidR="00E1441F">
          <w:rPr>
            <w:noProof/>
            <w:webHidden/>
          </w:rPr>
          <w:fldChar w:fldCharType="separate"/>
        </w:r>
        <w:r w:rsidR="00156182">
          <w:rPr>
            <w:noProof/>
            <w:webHidden/>
          </w:rPr>
          <w:t>8</w:t>
        </w:r>
        <w:r w:rsidR="00E1441F">
          <w:rPr>
            <w:noProof/>
            <w:webHidden/>
          </w:rPr>
          <w:fldChar w:fldCharType="end"/>
        </w:r>
      </w:hyperlink>
    </w:p>
    <w:p w14:paraId="117AB78F" w14:textId="3D4C2FAA"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32" w:history="1">
        <w:r w:rsidR="00E1441F" w:rsidRPr="00887E02">
          <w:rPr>
            <w:rStyle w:val="Hyperlink"/>
            <w:noProof/>
          </w:rPr>
          <w:t>Legislative background</w:t>
        </w:r>
        <w:r w:rsidR="00E1441F">
          <w:rPr>
            <w:noProof/>
            <w:webHidden/>
          </w:rPr>
          <w:tab/>
        </w:r>
        <w:r w:rsidR="00E1441F">
          <w:rPr>
            <w:noProof/>
            <w:webHidden/>
          </w:rPr>
          <w:fldChar w:fldCharType="begin"/>
        </w:r>
        <w:r w:rsidR="00E1441F">
          <w:rPr>
            <w:noProof/>
            <w:webHidden/>
          </w:rPr>
          <w:instrText xml:space="preserve"> PAGEREF _Toc41306032 \h </w:instrText>
        </w:r>
        <w:r w:rsidR="00E1441F">
          <w:rPr>
            <w:noProof/>
            <w:webHidden/>
          </w:rPr>
        </w:r>
        <w:r w:rsidR="00E1441F">
          <w:rPr>
            <w:noProof/>
            <w:webHidden/>
          </w:rPr>
          <w:fldChar w:fldCharType="separate"/>
        </w:r>
        <w:r w:rsidR="00156182">
          <w:rPr>
            <w:noProof/>
            <w:webHidden/>
          </w:rPr>
          <w:t>8</w:t>
        </w:r>
        <w:r w:rsidR="00E1441F">
          <w:rPr>
            <w:noProof/>
            <w:webHidden/>
          </w:rPr>
          <w:fldChar w:fldCharType="end"/>
        </w:r>
      </w:hyperlink>
    </w:p>
    <w:p w14:paraId="2BE0B23B" w14:textId="1A94F9DC"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33" w:history="1">
        <w:r w:rsidR="00E1441F" w:rsidRPr="00887E02">
          <w:rPr>
            <w:rStyle w:val="Hyperlink"/>
            <w:noProof/>
          </w:rPr>
          <w:t>Methodology</w:t>
        </w:r>
        <w:r w:rsidR="00E1441F">
          <w:rPr>
            <w:noProof/>
            <w:webHidden/>
          </w:rPr>
          <w:tab/>
        </w:r>
        <w:r w:rsidR="00E1441F">
          <w:rPr>
            <w:noProof/>
            <w:webHidden/>
          </w:rPr>
          <w:fldChar w:fldCharType="begin"/>
        </w:r>
        <w:r w:rsidR="00E1441F">
          <w:rPr>
            <w:noProof/>
            <w:webHidden/>
          </w:rPr>
          <w:instrText xml:space="preserve"> PAGEREF _Toc41306033 \h </w:instrText>
        </w:r>
        <w:r w:rsidR="00E1441F">
          <w:rPr>
            <w:noProof/>
            <w:webHidden/>
          </w:rPr>
        </w:r>
        <w:r w:rsidR="00E1441F">
          <w:rPr>
            <w:noProof/>
            <w:webHidden/>
          </w:rPr>
          <w:fldChar w:fldCharType="separate"/>
        </w:r>
        <w:r w:rsidR="00156182">
          <w:rPr>
            <w:noProof/>
            <w:webHidden/>
          </w:rPr>
          <w:t>9</w:t>
        </w:r>
        <w:r w:rsidR="00E1441F">
          <w:rPr>
            <w:noProof/>
            <w:webHidden/>
          </w:rPr>
          <w:fldChar w:fldCharType="end"/>
        </w:r>
      </w:hyperlink>
    </w:p>
    <w:p w14:paraId="66224DA2" w14:textId="6329C300"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34" w:history="1">
        <w:r w:rsidR="00E1441F" w:rsidRPr="00887E02">
          <w:rPr>
            <w:rStyle w:val="Hyperlink"/>
            <w:noProof/>
          </w:rPr>
          <w:t>Submissions received</w:t>
        </w:r>
        <w:r w:rsidR="00E1441F">
          <w:rPr>
            <w:noProof/>
            <w:webHidden/>
          </w:rPr>
          <w:tab/>
        </w:r>
        <w:r w:rsidR="00E1441F">
          <w:rPr>
            <w:noProof/>
            <w:webHidden/>
          </w:rPr>
          <w:fldChar w:fldCharType="begin"/>
        </w:r>
        <w:r w:rsidR="00E1441F">
          <w:rPr>
            <w:noProof/>
            <w:webHidden/>
          </w:rPr>
          <w:instrText xml:space="preserve"> PAGEREF _Toc41306034 \h </w:instrText>
        </w:r>
        <w:r w:rsidR="00E1441F">
          <w:rPr>
            <w:noProof/>
            <w:webHidden/>
          </w:rPr>
        </w:r>
        <w:r w:rsidR="00E1441F">
          <w:rPr>
            <w:noProof/>
            <w:webHidden/>
          </w:rPr>
          <w:fldChar w:fldCharType="separate"/>
        </w:r>
        <w:r w:rsidR="00156182">
          <w:rPr>
            <w:noProof/>
            <w:webHidden/>
          </w:rPr>
          <w:t>10</w:t>
        </w:r>
        <w:r w:rsidR="00E1441F">
          <w:rPr>
            <w:noProof/>
            <w:webHidden/>
          </w:rPr>
          <w:fldChar w:fldCharType="end"/>
        </w:r>
      </w:hyperlink>
    </w:p>
    <w:p w14:paraId="4D0935A3" w14:textId="09C5809E" w:rsidR="00E1441F" w:rsidRDefault="00F977B8">
      <w:pPr>
        <w:pStyle w:val="TOC3"/>
        <w:tabs>
          <w:tab w:val="right" w:leader="dot" w:pos="9628"/>
        </w:tabs>
        <w:rPr>
          <w:rFonts w:eastAsiaTheme="minorEastAsia" w:cstheme="minorBidi"/>
          <w:noProof/>
          <w:color w:val="auto"/>
          <w:sz w:val="24"/>
          <w:szCs w:val="24"/>
          <w:lang w:eastAsia="en-US"/>
        </w:rPr>
      </w:pPr>
      <w:hyperlink w:anchor="_Toc41306035" w:history="1">
        <w:r w:rsidR="00E1441F" w:rsidRPr="00887E02">
          <w:rPr>
            <w:rStyle w:val="Hyperlink"/>
            <w:noProof/>
          </w:rPr>
          <w:t>Supreme Court submissions</w:t>
        </w:r>
        <w:r w:rsidR="00E1441F">
          <w:rPr>
            <w:noProof/>
            <w:webHidden/>
          </w:rPr>
          <w:tab/>
        </w:r>
        <w:r w:rsidR="00E1441F">
          <w:rPr>
            <w:noProof/>
            <w:webHidden/>
          </w:rPr>
          <w:fldChar w:fldCharType="begin"/>
        </w:r>
        <w:r w:rsidR="00E1441F">
          <w:rPr>
            <w:noProof/>
            <w:webHidden/>
          </w:rPr>
          <w:instrText xml:space="preserve"> PAGEREF _Toc41306035 \h </w:instrText>
        </w:r>
        <w:r w:rsidR="00E1441F">
          <w:rPr>
            <w:noProof/>
            <w:webHidden/>
          </w:rPr>
        </w:r>
        <w:r w:rsidR="00E1441F">
          <w:rPr>
            <w:noProof/>
            <w:webHidden/>
          </w:rPr>
          <w:fldChar w:fldCharType="separate"/>
        </w:r>
        <w:r w:rsidR="00156182">
          <w:rPr>
            <w:noProof/>
            <w:webHidden/>
          </w:rPr>
          <w:t>10</w:t>
        </w:r>
        <w:r w:rsidR="00E1441F">
          <w:rPr>
            <w:noProof/>
            <w:webHidden/>
          </w:rPr>
          <w:fldChar w:fldCharType="end"/>
        </w:r>
      </w:hyperlink>
    </w:p>
    <w:p w14:paraId="755B9CBB" w14:textId="5C22216C" w:rsidR="00E1441F" w:rsidRDefault="00F977B8">
      <w:pPr>
        <w:pStyle w:val="TOC3"/>
        <w:tabs>
          <w:tab w:val="right" w:leader="dot" w:pos="9628"/>
        </w:tabs>
        <w:rPr>
          <w:rFonts w:eastAsiaTheme="minorEastAsia" w:cstheme="minorBidi"/>
          <w:noProof/>
          <w:color w:val="auto"/>
          <w:sz w:val="24"/>
          <w:szCs w:val="24"/>
          <w:lang w:eastAsia="en-US"/>
        </w:rPr>
      </w:pPr>
      <w:hyperlink w:anchor="_Toc41306036" w:history="1">
        <w:r w:rsidR="00E1441F" w:rsidRPr="00887E02">
          <w:rPr>
            <w:rStyle w:val="Hyperlink"/>
            <w:noProof/>
          </w:rPr>
          <w:t>County Court submission</w:t>
        </w:r>
        <w:r w:rsidR="00E1441F">
          <w:rPr>
            <w:noProof/>
            <w:webHidden/>
          </w:rPr>
          <w:tab/>
        </w:r>
        <w:r w:rsidR="00E1441F">
          <w:rPr>
            <w:noProof/>
            <w:webHidden/>
          </w:rPr>
          <w:fldChar w:fldCharType="begin"/>
        </w:r>
        <w:r w:rsidR="00E1441F">
          <w:rPr>
            <w:noProof/>
            <w:webHidden/>
          </w:rPr>
          <w:instrText xml:space="preserve"> PAGEREF _Toc41306036 \h </w:instrText>
        </w:r>
        <w:r w:rsidR="00E1441F">
          <w:rPr>
            <w:noProof/>
            <w:webHidden/>
          </w:rPr>
        </w:r>
        <w:r w:rsidR="00E1441F">
          <w:rPr>
            <w:noProof/>
            <w:webHidden/>
          </w:rPr>
          <w:fldChar w:fldCharType="separate"/>
        </w:r>
        <w:r w:rsidR="00156182">
          <w:rPr>
            <w:noProof/>
            <w:webHidden/>
          </w:rPr>
          <w:t>11</w:t>
        </w:r>
        <w:r w:rsidR="00E1441F">
          <w:rPr>
            <w:noProof/>
            <w:webHidden/>
          </w:rPr>
          <w:fldChar w:fldCharType="end"/>
        </w:r>
      </w:hyperlink>
    </w:p>
    <w:p w14:paraId="5698AF10" w14:textId="6C76D46F" w:rsidR="00E1441F" w:rsidRDefault="00F977B8">
      <w:pPr>
        <w:pStyle w:val="TOC3"/>
        <w:tabs>
          <w:tab w:val="right" w:leader="dot" w:pos="9628"/>
        </w:tabs>
        <w:rPr>
          <w:rFonts w:eastAsiaTheme="minorEastAsia" w:cstheme="minorBidi"/>
          <w:noProof/>
          <w:color w:val="auto"/>
          <w:sz w:val="24"/>
          <w:szCs w:val="24"/>
          <w:lang w:eastAsia="en-US"/>
        </w:rPr>
      </w:pPr>
      <w:hyperlink w:anchor="_Toc41306037" w:history="1">
        <w:r w:rsidR="00E1441F" w:rsidRPr="00887E02">
          <w:rPr>
            <w:rStyle w:val="Hyperlink"/>
            <w:noProof/>
          </w:rPr>
          <w:t>Magistrates’ Court submissions</w:t>
        </w:r>
        <w:r w:rsidR="00E1441F">
          <w:rPr>
            <w:noProof/>
            <w:webHidden/>
          </w:rPr>
          <w:tab/>
        </w:r>
        <w:r w:rsidR="00E1441F">
          <w:rPr>
            <w:noProof/>
            <w:webHidden/>
          </w:rPr>
          <w:fldChar w:fldCharType="begin"/>
        </w:r>
        <w:r w:rsidR="00E1441F">
          <w:rPr>
            <w:noProof/>
            <w:webHidden/>
          </w:rPr>
          <w:instrText xml:space="preserve"> PAGEREF _Toc41306037 \h </w:instrText>
        </w:r>
        <w:r w:rsidR="00E1441F">
          <w:rPr>
            <w:noProof/>
            <w:webHidden/>
          </w:rPr>
        </w:r>
        <w:r w:rsidR="00E1441F">
          <w:rPr>
            <w:noProof/>
            <w:webHidden/>
          </w:rPr>
          <w:fldChar w:fldCharType="separate"/>
        </w:r>
        <w:r w:rsidR="00156182">
          <w:rPr>
            <w:noProof/>
            <w:webHidden/>
          </w:rPr>
          <w:t>11</w:t>
        </w:r>
        <w:r w:rsidR="00E1441F">
          <w:rPr>
            <w:noProof/>
            <w:webHidden/>
          </w:rPr>
          <w:fldChar w:fldCharType="end"/>
        </w:r>
      </w:hyperlink>
    </w:p>
    <w:p w14:paraId="3A80DFD7" w14:textId="682C3888" w:rsidR="00E1441F" w:rsidRDefault="00F977B8">
      <w:pPr>
        <w:pStyle w:val="TOC3"/>
        <w:tabs>
          <w:tab w:val="right" w:leader="dot" w:pos="9628"/>
        </w:tabs>
        <w:rPr>
          <w:rFonts w:eastAsiaTheme="minorEastAsia" w:cstheme="minorBidi"/>
          <w:noProof/>
          <w:color w:val="auto"/>
          <w:sz w:val="24"/>
          <w:szCs w:val="24"/>
          <w:lang w:eastAsia="en-US"/>
        </w:rPr>
      </w:pPr>
      <w:hyperlink w:anchor="_Toc41306038" w:history="1">
        <w:r w:rsidR="00E1441F" w:rsidRPr="00887E02">
          <w:rPr>
            <w:rStyle w:val="Hyperlink"/>
            <w:noProof/>
          </w:rPr>
          <w:t>CSV letter</w:t>
        </w:r>
        <w:r w:rsidR="00E1441F">
          <w:rPr>
            <w:noProof/>
            <w:webHidden/>
          </w:rPr>
          <w:tab/>
        </w:r>
        <w:r w:rsidR="00E1441F">
          <w:rPr>
            <w:noProof/>
            <w:webHidden/>
          </w:rPr>
          <w:fldChar w:fldCharType="begin"/>
        </w:r>
        <w:r w:rsidR="00E1441F">
          <w:rPr>
            <w:noProof/>
            <w:webHidden/>
          </w:rPr>
          <w:instrText xml:space="preserve"> PAGEREF _Toc41306038 \h </w:instrText>
        </w:r>
        <w:r w:rsidR="00E1441F">
          <w:rPr>
            <w:noProof/>
            <w:webHidden/>
          </w:rPr>
        </w:r>
        <w:r w:rsidR="00E1441F">
          <w:rPr>
            <w:noProof/>
            <w:webHidden/>
          </w:rPr>
          <w:fldChar w:fldCharType="separate"/>
        </w:r>
        <w:r w:rsidR="00156182">
          <w:rPr>
            <w:noProof/>
            <w:webHidden/>
          </w:rPr>
          <w:t>12</w:t>
        </w:r>
        <w:r w:rsidR="00E1441F">
          <w:rPr>
            <w:noProof/>
            <w:webHidden/>
          </w:rPr>
          <w:fldChar w:fldCharType="end"/>
        </w:r>
      </w:hyperlink>
    </w:p>
    <w:p w14:paraId="7D180B93" w14:textId="22054F7E" w:rsidR="00E1441F" w:rsidRDefault="00F977B8">
      <w:pPr>
        <w:pStyle w:val="TOC3"/>
        <w:tabs>
          <w:tab w:val="right" w:leader="dot" w:pos="9628"/>
        </w:tabs>
        <w:rPr>
          <w:rFonts w:eastAsiaTheme="minorEastAsia" w:cstheme="minorBidi"/>
          <w:noProof/>
          <w:color w:val="auto"/>
          <w:sz w:val="24"/>
          <w:szCs w:val="24"/>
          <w:lang w:eastAsia="en-US"/>
        </w:rPr>
      </w:pPr>
      <w:hyperlink w:anchor="_Toc41306039" w:history="1">
        <w:r w:rsidR="00E1441F" w:rsidRPr="00887E02">
          <w:rPr>
            <w:rStyle w:val="Hyperlink"/>
            <w:noProof/>
          </w:rPr>
          <w:t>Secretary of the Department of Treasury and Finance</w:t>
        </w:r>
        <w:r w:rsidR="00E1441F">
          <w:rPr>
            <w:noProof/>
            <w:webHidden/>
          </w:rPr>
          <w:tab/>
        </w:r>
        <w:r w:rsidR="00E1441F">
          <w:rPr>
            <w:noProof/>
            <w:webHidden/>
          </w:rPr>
          <w:fldChar w:fldCharType="begin"/>
        </w:r>
        <w:r w:rsidR="00E1441F">
          <w:rPr>
            <w:noProof/>
            <w:webHidden/>
          </w:rPr>
          <w:instrText xml:space="preserve"> PAGEREF _Toc41306039 \h </w:instrText>
        </w:r>
        <w:r w:rsidR="00E1441F">
          <w:rPr>
            <w:noProof/>
            <w:webHidden/>
          </w:rPr>
        </w:r>
        <w:r w:rsidR="00E1441F">
          <w:rPr>
            <w:noProof/>
            <w:webHidden/>
          </w:rPr>
          <w:fldChar w:fldCharType="separate"/>
        </w:r>
        <w:r w:rsidR="00156182">
          <w:rPr>
            <w:noProof/>
            <w:webHidden/>
          </w:rPr>
          <w:t>12</w:t>
        </w:r>
        <w:r w:rsidR="00E1441F">
          <w:rPr>
            <w:noProof/>
            <w:webHidden/>
          </w:rPr>
          <w:fldChar w:fldCharType="end"/>
        </w:r>
      </w:hyperlink>
    </w:p>
    <w:p w14:paraId="1E8109C1" w14:textId="3C83FEE0"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40" w:history="1">
        <w:r w:rsidR="00E1441F" w:rsidRPr="00887E02">
          <w:rPr>
            <w:rStyle w:val="Hyperlink"/>
            <w:noProof/>
          </w:rPr>
          <w:t>Issues addressed in this report</w:t>
        </w:r>
        <w:r w:rsidR="00E1441F">
          <w:rPr>
            <w:noProof/>
            <w:webHidden/>
          </w:rPr>
          <w:tab/>
        </w:r>
        <w:r w:rsidR="00E1441F">
          <w:rPr>
            <w:noProof/>
            <w:webHidden/>
          </w:rPr>
          <w:fldChar w:fldCharType="begin"/>
        </w:r>
        <w:r w:rsidR="00E1441F">
          <w:rPr>
            <w:noProof/>
            <w:webHidden/>
          </w:rPr>
          <w:instrText xml:space="preserve"> PAGEREF _Toc41306040 \h </w:instrText>
        </w:r>
        <w:r w:rsidR="00E1441F">
          <w:rPr>
            <w:noProof/>
            <w:webHidden/>
          </w:rPr>
        </w:r>
        <w:r w:rsidR="00E1441F">
          <w:rPr>
            <w:noProof/>
            <w:webHidden/>
          </w:rPr>
          <w:fldChar w:fldCharType="separate"/>
        </w:r>
        <w:r w:rsidR="00156182">
          <w:rPr>
            <w:noProof/>
            <w:webHidden/>
          </w:rPr>
          <w:t>13</w:t>
        </w:r>
        <w:r w:rsidR="00E1441F">
          <w:rPr>
            <w:noProof/>
            <w:webHidden/>
          </w:rPr>
          <w:fldChar w:fldCharType="end"/>
        </w:r>
      </w:hyperlink>
    </w:p>
    <w:p w14:paraId="575FF49F" w14:textId="53A0E352"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41" w:history="1">
        <w:r w:rsidR="00E1441F" w:rsidRPr="00887E02">
          <w:rPr>
            <w:rStyle w:val="Hyperlink"/>
            <w:noProof/>
          </w:rPr>
          <w:t>Discussion of issues with recommendations and observations</w:t>
        </w:r>
        <w:r w:rsidR="00E1441F">
          <w:rPr>
            <w:noProof/>
            <w:webHidden/>
          </w:rPr>
          <w:tab/>
        </w:r>
        <w:r w:rsidR="00E1441F">
          <w:rPr>
            <w:noProof/>
            <w:webHidden/>
          </w:rPr>
          <w:fldChar w:fldCharType="begin"/>
        </w:r>
        <w:r w:rsidR="00E1441F">
          <w:rPr>
            <w:noProof/>
            <w:webHidden/>
          </w:rPr>
          <w:instrText xml:space="preserve"> PAGEREF _Toc41306041 \h </w:instrText>
        </w:r>
        <w:r w:rsidR="00E1441F">
          <w:rPr>
            <w:noProof/>
            <w:webHidden/>
          </w:rPr>
        </w:r>
        <w:r w:rsidR="00E1441F">
          <w:rPr>
            <w:noProof/>
            <w:webHidden/>
          </w:rPr>
          <w:fldChar w:fldCharType="separate"/>
        </w:r>
        <w:r w:rsidR="00156182">
          <w:rPr>
            <w:noProof/>
            <w:webHidden/>
          </w:rPr>
          <w:t>14</w:t>
        </w:r>
        <w:r w:rsidR="00E1441F">
          <w:rPr>
            <w:noProof/>
            <w:webHidden/>
          </w:rPr>
          <w:fldChar w:fldCharType="end"/>
        </w:r>
      </w:hyperlink>
    </w:p>
    <w:p w14:paraId="17386ADB" w14:textId="7CFFFD0B"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42" w:history="1">
        <w:r w:rsidR="00E1441F" w:rsidRPr="00887E02">
          <w:rPr>
            <w:rStyle w:val="Hyperlink"/>
            <w:noProof/>
          </w:rPr>
          <w:t>1</w:t>
        </w:r>
        <w:r w:rsidR="00E1441F">
          <w:rPr>
            <w:rFonts w:eastAsiaTheme="minorEastAsia" w:cstheme="minorBidi"/>
            <w:b w:val="0"/>
            <w:bCs w:val="0"/>
            <w:i w:val="0"/>
            <w:iCs w:val="0"/>
            <w:noProof/>
            <w:color w:val="auto"/>
            <w:lang w:eastAsia="en-US"/>
          </w:rPr>
          <w:tab/>
        </w:r>
        <w:r w:rsidR="00E1441F" w:rsidRPr="00887E02">
          <w:rPr>
            <w:rStyle w:val="Hyperlink"/>
            <w:noProof/>
          </w:rPr>
          <w:t>Motor vehicle entitlements for associate judges of the Supreme Court</w:t>
        </w:r>
        <w:r w:rsidR="00E1441F">
          <w:rPr>
            <w:noProof/>
            <w:webHidden/>
          </w:rPr>
          <w:tab/>
        </w:r>
        <w:r w:rsidR="00E1441F">
          <w:rPr>
            <w:noProof/>
            <w:webHidden/>
          </w:rPr>
          <w:fldChar w:fldCharType="begin"/>
        </w:r>
        <w:r w:rsidR="00E1441F">
          <w:rPr>
            <w:noProof/>
            <w:webHidden/>
          </w:rPr>
          <w:instrText xml:space="preserve"> PAGEREF _Toc41306042 \h </w:instrText>
        </w:r>
        <w:r w:rsidR="00E1441F">
          <w:rPr>
            <w:noProof/>
            <w:webHidden/>
          </w:rPr>
        </w:r>
        <w:r w:rsidR="00E1441F">
          <w:rPr>
            <w:noProof/>
            <w:webHidden/>
          </w:rPr>
          <w:fldChar w:fldCharType="separate"/>
        </w:r>
        <w:r w:rsidR="00156182">
          <w:rPr>
            <w:noProof/>
            <w:webHidden/>
          </w:rPr>
          <w:t>14</w:t>
        </w:r>
        <w:r w:rsidR="00E1441F">
          <w:rPr>
            <w:noProof/>
            <w:webHidden/>
          </w:rPr>
          <w:fldChar w:fldCharType="end"/>
        </w:r>
      </w:hyperlink>
    </w:p>
    <w:p w14:paraId="6A680708" w14:textId="024743E7"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43"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_Toc41306043 \h </w:instrText>
        </w:r>
        <w:r w:rsidR="00E1441F">
          <w:rPr>
            <w:noProof/>
            <w:webHidden/>
          </w:rPr>
        </w:r>
        <w:r w:rsidR="00E1441F">
          <w:rPr>
            <w:noProof/>
            <w:webHidden/>
          </w:rPr>
          <w:fldChar w:fldCharType="separate"/>
        </w:r>
        <w:r w:rsidR="00156182">
          <w:rPr>
            <w:noProof/>
            <w:webHidden/>
          </w:rPr>
          <w:t>14</w:t>
        </w:r>
        <w:r w:rsidR="00E1441F">
          <w:rPr>
            <w:noProof/>
            <w:webHidden/>
          </w:rPr>
          <w:fldChar w:fldCharType="end"/>
        </w:r>
      </w:hyperlink>
    </w:p>
    <w:p w14:paraId="33E2B5F1" w14:textId="6258B7E9"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44"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_Toc41306044 \h </w:instrText>
        </w:r>
        <w:r w:rsidR="00E1441F">
          <w:rPr>
            <w:noProof/>
            <w:webHidden/>
          </w:rPr>
        </w:r>
        <w:r w:rsidR="00E1441F">
          <w:rPr>
            <w:noProof/>
            <w:webHidden/>
          </w:rPr>
          <w:fldChar w:fldCharType="separate"/>
        </w:r>
        <w:r w:rsidR="00156182">
          <w:rPr>
            <w:noProof/>
            <w:webHidden/>
          </w:rPr>
          <w:t>14</w:t>
        </w:r>
        <w:r w:rsidR="00E1441F">
          <w:rPr>
            <w:noProof/>
            <w:webHidden/>
          </w:rPr>
          <w:fldChar w:fldCharType="end"/>
        </w:r>
      </w:hyperlink>
    </w:p>
    <w:p w14:paraId="1B6AB7F1" w14:textId="5505FCAC" w:rsidR="00E1441F" w:rsidRDefault="00F977B8">
      <w:pPr>
        <w:pStyle w:val="TOC3"/>
        <w:tabs>
          <w:tab w:val="right" w:leader="dot" w:pos="9628"/>
        </w:tabs>
        <w:rPr>
          <w:rFonts w:eastAsiaTheme="minorEastAsia" w:cstheme="minorBidi"/>
          <w:noProof/>
          <w:color w:val="auto"/>
          <w:sz w:val="24"/>
          <w:szCs w:val="24"/>
          <w:lang w:eastAsia="en-US"/>
        </w:rPr>
      </w:pPr>
      <w:hyperlink w:anchor="_Toc41306045" w:history="1">
        <w:r w:rsidR="00E1441F" w:rsidRPr="00887E02">
          <w:rPr>
            <w:rStyle w:val="Hyperlink"/>
            <w:noProof/>
          </w:rPr>
          <w:t>Cost implications</w:t>
        </w:r>
        <w:r w:rsidR="00E1441F">
          <w:rPr>
            <w:noProof/>
            <w:webHidden/>
          </w:rPr>
          <w:tab/>
        </w:r>
        <w:r w:rsidR="00E1441F">
          <w:rPr>
            <w:noProof/>
            <w:webHidden/>
          </w:rPr>
          <w:fldChar w:fldCharType="begin"/>
        </w:r>
        <w:r w:rsidR="00E1441F">
          <w:rPr>
            <w:noProof/>
            <w:webHidden/>
          </w:rPr>
          <w:instrText xml:space="preserve"> PAGEREF _Toc41306045 \h </w:instrText>
        </w:r>
        <w:r w:rsidR="00E1441F">
          <w:rPr>
            <w:noProof/>
            <w:webHidden/>
          </w:rPr>
        </w:r>
        <w:r w:rsidR="00E1441F">
          <w:rPr>
            <w:noProof/>
            <w:webHidden/>
          </w:rPr>
          <w:fldChar w:fldCharType="separate"/>
        </w:r>
        <w:r w:rsidR="00156182">
          <w:rPr>
            <w:noProof/>
            <w:webHidden/>
          </w:rPr>
          <w:t>15</w:t>
        </w:r>
        <w:r w:rsidR="00E1441F">
          <w:rPr>
            <w:noProof/>
            <w:webHidden/>
          </w:rPr>
          <w:fldChar w:fldCharType="end"/>
        </w:r>
      </w:hyperlink>
    </w:p>
    <w:p w14:paraId="681F66C6" w14:textId="68889C48" w:rsidR="00E1441F" w:rsidRDefault="00F977B8">
      <w:pPr>
        <w:pStyle w:val="TOC3"/>
        <w:tabs>
          <w:tab w:val="right" w:leader="dot" w:pos="9628"/>
        </w:tabs>
        <w:rPr>
          <w:rFonts w:eastAsiaTheme="minorEastAsia" w:cstheme="minorBidi"/>
          <w:noProof/>
          <w:color w:val="auto"/>
          <w:sz w:val="24"/>
          <w:szCs w:val="24"/>
          <w:lang w:eastAsia="en-US"/>
        </w:rPr>
      </w:pPr>
      <w:hyperlink w:anchor="_Toc41306046" w:history="1">
        <w:r w:rsidR="00E1441F" w:rsidRPr="00887E02">
          <w:rPr>
            <w:rStyle w:val="Hyperlink"/>
            <w:noProof/>
          </w:rPr>
          <w:t>Recommendation 1</w:t>
        </w:r>
        <w:r w:rsidR="00E1441F">
          <w:rPr>
            <w:noProof/>
            <w:webHidden/>
          </w:rPr>
          <w:tab/>
        </w:r>
        <w:r w:rsidR="00E1441F">
          <w:rPr>
            <w:noProof/>
            <w:webHidden/>
          </w:rPr>
          <w:fldChar w:fldCharType="begin"/>
        </w:r>
        <w:r w:rsidR="00E1441F">
          <w:rPr>
            <w:noProof/>
            <w:webHidden/>
          </w:rPr>
          <w:instrText xml:space="preserve"> PAGEREF _Toc41306046 \h </w:instrText>
        </w:r>
        <w:r w:rsidR="00E1441F">
          <w:rPr>
            <w:noProof/>
            <w:webHidden/>
          </w:rPr>
        </w:r>
        <w:r w:rsidR="00E1441F">
          <w:rPr>
            <w:noProof/>
            <w:webHidden/>
          </w:rPr>
          <w:fldChar w:fldCharType="separate"/>
        </w:r>
        <w:r w:rsidR="00156182">
          <w:rPr>
            <w:noProof/>
            <w:webHidden/>
          </w:rPr>
          <w:t>15</w:t>
        </w:r>
        <w:r w:rsidR="00E1441F">
          <w:rPr>
            <w:noProof/>
            <w:webHidden/>
          </w:rPr>
          <w:fldChar w:fldCharType="end"/>
        </w:r>
      </w:hyperlink>
    </w:p>
    <w:p w14:paraId="17B6AC0C" w14:textId="49B1410E"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47" w:history="1">
        <w:r w:rsidR="00E1441F" w:rsidRPr="00887E02">
          <w:rPr>
            <w:rStyle w:val="Hyperlink"/>
            <w:noProof/>
          </w:rPr>
          <w:t>2</w:t>
        </w:r>
        <w:r w:rsidR="00E1441F">
          <w:rPr>
            <w:rFonts w:eastAsiaTheme="minorEastAsia" w:cstheme="minorBidi"/>
            <w:b w:val="0"/>
            <w:bCs w:val="0"/>
            <w:i w:val="0"/>
            <w:iCs w:val="0"/>
            <w:noProof/>
            <w:color w:val="auto"/>
            <w:lang w:eastAsia="en-US"/>
          </w:rPr>
          <w:tab/>
        </w:r>
        <w:r w:rsidR="00E1441F" w:rsidRPr="00887E02">
          <w:rPr>
            <w:rStyle w:val="Hyperlink"/>
            <w:noProof/>
          </w:rPr>
          <w:t>Calculation of long service leave for judicial officers</w:t>
        </w:r>
        <w:r w:rsidR="00E1441F">
          <w:rPr>
            <w:noProof/>
            <w:webHidden/>
          </w:rPr>
          <w:tab/>
        </w:r>
        <w:r w:rsidR="00E1441F">
          <w:rPr>
            <w:noProof/>
            <w:webHidden/>
          </w:rPr>
          <w:fldChar w:fldCharType="begin"/>
        </w:r>
        <w:r w:rsidR="00E1441F">
          <w:rPr>
            <w:noProof/>
            <w:webHidden/>
          </w:rPr>
          <w:instrText xml:space="preserve"> PAGEREF _Toc41306047 \h </w:instrText>
        </w:r>
        <w:r w:rsidR="00E1441F">
          <w:rPr>
            <w:noProof/>
            <w:webHidden/>
          </w:rPr>
        </w:r>
        <w:r w:rsidR="00E1441F">
          <w:rPr>
            <w:noProof/>
            <w:webHidden/>
          </w:rPr>
          <w:fldChar w:fldCharType="separate"/>
        </w:r>
        <w:r w:rsidR="00156182">
          <w:rPr>
            <w:noProof/>
            <w:webHidden/>
          </w:rPr>
          <w:t>16</w:t>
        </w:r>
        <w:r w:rsidR="00E1441F">
          <w:rPr>
            <w:noProof/>
            <w:webHidden/>
          </w:rPr>
          <w:fldChar w:fldCharType="end"/>
        </w:r>
      </w:hyperlink>
    </w:p>
    <w:p w14:paraId="55F31456" w14:textId="60BE9CBE"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48"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_Toc41306048 \h </w:instrText>
        </w:r>
        <w:r w:rsidR="00E1441F">
          <w:rPr>
            <w:noProof/>
            <w:webHidden/>
          </w:rPr>
        </w:r>
        <w:r w:rsidR="00E1441F">
          <w:rPr>
            <w:noProof/>
            <w:webHidden/>
          </w:rPr>
          <w:fldChar w:fldCharType="separate"/>
        </w:r>
        <w:r w:rsidR="00156182">
          <w:rPr>
            <w:noProof/>
            <w:webHidden/>
          </w:rPr>
          <w:t>16</w:t>
        </w:r>
        <w:r w:rsidR="00E1441F">
          <w:rPr>
            <w:noProof/>
            <w:webHidden/>
          </w:rPr>
          <w:fldChar w:fldCharType="end"/>
        </w:r>
      </w:hyperlink>
    </w:p>
    <w:p w14:paraId="6960081F" w14:textId="2E2E5616"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49"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_Toc41306049 \h </w:instrText>
        </w:r>
        <w:r w:rsidR="00E1441F">
          <w:rPr>
            <w:noProof/>
            <w:webHidden/>
          </w:rPr>
        </w:r>
        <w:r w:rsidR="00E1441F">
          <w:rPr>
            <w:noProof/>
            <w:webHidden/>
          </w:rPr>
          <w:fldChar w:fldCharType="separate"/>
        </w:r>
        <w:r w:rsidR="00156182">
          <w:rPr>
            <w:noProof/>
            <w:webHidden/>
          </w:rPr>
          <w:t>16</w:t>
        </w:r>
        <w:r w:rsidR="00E1441F">
          <w:rPr>
            <w:noProof/>
            <w:webHidden/>
          </w:rPr>
          <w:fldChar w:fldCharType="end"/>
        </w:r>
      </w:hyperlink>
    </w:p>
    <w:p w14:paraId="24248825" w14:textId="77F48DB6" w:rsidR="00E1441F" w:rsidRDefault="00F977B8">
      <w:pPr>
        <w:pStyle w:val="TOC3"/>
        <w:tabs>
          <w:tab w:val="right" w:leader="dot" w:pos="9628"/>
        </w:tabs>
        <w:rPr>
          <w:rFonts w:eastAsiaTheme="minorEastAsia" w:cstheme="minorBidi"/>
          <w:noProof/>
          <w:color w:val="auto"/>
          <w:sz w:val="24"/>
          <w:szCs w:val="24"/>
          <w:lang w:eastAsia="en-US"/>
        </w:rPr>
      </w:pPr>
      <w:hyperlink w:anchor="_Toc41306050" w:history="1">
        <w:r w:rsidR="00E1441F" w:rsidRPr="00887E02">
          <w:rPr>
            <w:rStyle w:val="Hyperlink"/>
            <w:noProof/>
          </w:rPr>
          <w:t>Recommendation 2</w:t>
        </w:r>
        <w:r w:rsidR="00E1441F">
          <w:rPr>
            <w:noProof/>
            <w:webHidden/>
          </w:rPr>
          <w:tab/>
        </w:r>
        <w:r w:rsidR="00E1441F">
          <w:rPr>
            <w:noProof/>
            <w:webHidden/>
          </w:rPr>
          <w:fldChar w:fldCharType="begin"/>
        </w:r>
        <w:r w:rsidR="00E1441F">
          <w:rPr>
            <w:noProof/>
            <w:webHidden/>
          </w:rPr>
          <w:instrText xml:space="preserve"> PAGEREF _Toc41306050 \h </w:instrText>
        </w:r>
        <w:r w:rsidR="00E1441F">
          <w:rPr>
            <w:noProof/>
            <w:webHidden/>
          </w:rPr>
        </w:r>
        <w:r w:rsidR="00E1441F">
          <w:rPr>
            <w:noProof/>
            <w:webHidden/>
          </w:rPr>
          <w:fldChar w:fldCharType="separate"/>
        </w:r>
        <w:r w:rsidR="00156182">
          <w:rPr>
            <w:noProof/>
            <w:webHidden/>
          </w:rPr>
          <w:t>16</w:t>
        </w:r>
        <w:r w:rsidR="00E1441F">
          <w:rPr>
            <w:noProof/>
            <w:webHidden/>
          </w:rPr>
          <w:fldChar w:fldCharType="end"/>
        </w:r>
      </w:hyperlink>
    </w:p>
    <w:p w14:paraId="2887C916" w14:textId="5FA4F0D8" w:rsidR="00E1441F" w:rsidRDefault="00F977B8">
      <w:pPr>
        <w:pStyle w:val="TOC3"/>
        <w:tabs>
          <w:tab w:val="right" w:leader="dot" w:pos="9628"/>
        </w:tabs>
        <w:rPr>
          <w:rFonts w:eastAsiaTheme="minorEastAsia" w:cstheme="minorBidi"/>
          <w:noProof/>
          <w:color w:val="auto"/>
          <w:sz w:val="24"/>
          <w:szCs w:val="24"/>
          <w:lang w:eastAsia="en-US"/>
        </w:rPr>
      </w:pPr>
      <w:hyperlink w:anchor="_Toc41306051" w:history="1">
        <w:r w:rsidR="00E1441F" w:rsidRPr="00887E02">
          <w:rPr>
            <w:rStyle w:val="Hyperlink"/>
            <w:noProof/>
          </w:rPr>
          <w:t>Recommendation 3</w:t>
        </w:r>
        <w:r w:rsidR="00E1441F">
          <w:rPr>
            <w:noProof/>
            <w:webHidden/>
          </w:rPr>
          <w:tab/>
        </w:r>
        <w:r w:rsidR="00E1441F">
          <w:rPr>
            <w:noProof/>
            <w:webHidden/>
          </w:rPr>
          <w:fldChar w:fldCharType="begin"/>
        </w:r>
        <w:r w:rsidR="00E1441F">
          <w:rPr>
            <w:noProof/>
            <w:webHidden/>
          </w:rPr>
          <w:instrText xml:space="preserve"> PAGEREF _Toc41306051 \h </w:instrText>
        </w:r>
        <w:r w:rsidR="00E1441F">
          <w:rPr>
            <w:noProof/>
            <w:webHidden/>
          </w:rPr>
        </w:r>
        <w:r w:rsidR="00E1441F">
          <w:rPr>
            <w:noProof/>
            <w:webHidden/>
          </w:rPr>
          <w:fldChar w:fldCharType="separate"/>
        </w:r>
        <w:r w:rsidR="00156182">
          <w:rPr>
            <w:noProof/>
            <w:webHidden/>
          </w:rPr>
          <w:t>17</w:t>
        </w:r>
        <w:r w:rsidR="00E1441F">
          <w:rPr>
            <w:noProof/>
            <w:webHidden/>
          </w:rPr>
          <w:fldChar w:fldCharType="end"/>
        </w:r>
      </w:hyperlink>
    </w:p>
    <w:p w14:paraId="7C3A1C11" w14:textId="21664F44" w:rsidR="00E1441F" w:rsidRDefault="00F977B8">
      <w:pPr>
        <w:pStyle w:val="TOC3"/>
        <w:tabs>
          <w:tab w:val="right" w:leader="dot" w:pos="9628"/>
        </w:tabs>
        <w:rPr>
          <w:rFonts w:eastAsiaTheme="minorEastAsia" w:cstheme="minorBidi"/>
          <w:noProof/>
          <w:color w:val="auto"/>
          <w:sz w:val="24"/>
          <w:szCs w:val="24"/>
          <w:lang w:eastAsia="en-US"/>
        </w:rPr>
      </w:pPr>
      <w:hyperlink w:anchor="_Toc41306052" w:history="1">
        <w:r w:rsidR="00E1441F" w:rsidRPr="00887E02">
          <w:rPr>
            <w:rStyle w:val="Hyperlink"/>
            <w:noProof/>
          </w:rPr>
          <w:t>Recommendation 4</w:t>
        </w:r>
        <w:r w:rsidR="00E1441F">
          <w:rPr>
            <w:noProof/>
            <w:webHidden/>
          </w:rPr>
          <w:tab/>
        </w:r>
        <w:r w:rsidR="00E1441F">
          <w:rPr>
            <w:noProof/>
            <w:webHidden/>
          </w:rPr>
          <w:fldChar w:fldCharType="begin"/>
        </w:r>
        <w:r w:rsidR="00E1441F">
          <w:rPr>
            <w:noProof/>
            <w:webHidden/>
          </w:rPr>
          <w:instrText xml:space="preserve"> PAGEREF _Toc41306052 \h </w:instrText>
        </w:r>
        <w:r w:rsidR="00E1441F">
          <w:rPr>
            <w:noProof/>
            <w:webHidden/>
          </w:rPr>
        </w:r>
        <w:r w:rsidR="00E1441F">
          <w:rPr>
            <w:noProof/>
            <w:webHidden/>
          </w:rPr>
          <w:fldChar w:fldCharType="separate"/>
        </w:r>
        <w:r w:rsidR="00156182">
          <w:rPr>
            <w:noProof/>
            <w:webHidden/>
          </w:rPr>
          <w:t>17</w:t>
        </w:r>
        <w:r w:rsidR="00E1441F">
          <w:rPr>
            <w:noProof/>
            <w:webHidden/>
          </w:rPr>
          <w:fldChar w:fldCharType="end"/>
        </w:r>
      </w:hyperlink>
    </w:p>
    <w:p w14:paraId="5C53B887" w14:textId="0DB2310E" w:rsidR="00E1441F" w:rsidRDefault="00F977B8">
      <w:pPr>
        <w:pStyle w:val="TOC3"/>
        <w:tabs>
          <w:tab w:val="right" w:leader="dot" w:pos="9628"/>
        </w:tabs>
        <w:rPr>
          <w:rFonts w:eastAsiaTheme="minorEastAsia" w:cstheme="minorBidi"/>
          <w:noProof/>
          <w:color w:val="auto"/>
          <w:sz w:val="24"/>
          <w:szCs w:val="24"/>
          <w:lang w:eastAsia="en-US"/>
        </w:rPr>
      </w:pPr>
      <w:hyperlink w:anchor="_Toc41306053" w:history="1">
        <w:r w:rsidR="00E1441F" w:rsidRPr="00887E02">
          <w:rPr>
            <w:rStyle w:val="Hyperlink"/>
            <w:noProof/>
          </w:rPr>
          <w:t>Cost implications</w:t>
        </w:r>
        <w:r w:rsidR="00E1441F">
          <w:rPr>
            <w:noProof/>
            <w:webHidden/>
          </w:rPr>
          <w:tab/>
        </w:r>
        <w:r w:rsidR="00E1441F">
          <w:rPr>
            <w:noProof/>
            <w:webHidden/>
          </w:rPr>
          <w:fldChar w:fldCharType="begin"/>
        </w:r>
        <w:r w:rsidR="00E1441F">
          <w:rPr>
            <w:noProof/>
            <w:webHidden/>
          </w:rPr>
          <w:instrText xml:space="preserve"> PAGEREF _Toc41306053 \h </w:instrText>
        </w:r>
        <w:r w:rsidR="00E1441F">
          <w:rPr>
            <w:noProof/>
            <w:webHidden/>
          </w:rPr>
        </w:r>
        <w:r w:rsidR="00E1441F">
          <w:rPr>
            <w:noProof/>
            <w:webHidden/>
          </w:rPr>
          <w:fldChar w:fldCharType="separate"/>
        </w:r>
        <w:r w:rsidR="00156182">
          <w:rPr>
            <w:noProof/>
            <w:webHidden/>
          </w:rPr>
          <w:t>17</w:t>
        </w:r>
        <w:r w:rsidR="00E1441F">
          <w:rPr>
            <w:noProof/>
            <w:webHidden/>
          </w:rPr>
          <w:fldChar w:fldCharType="end"/>
        </w:r>
      </w:hyperlink>
    </w:p>
    <w:p w14:paraId="12DAF2BB" w14:textId="00A37232"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54" w:history="1">
        <w:r w:rsidR="00E1441F" w:rsidRPr="00887E02">
          <w:rPr>
            <w:rStyle w:val="Hyperlink"/>
            <w:noProof/>
          </w:rPr>
          <w:t>3</w:t>
        </w:r>
        <w:r w:rsidR="00E1441F">
          <w:rPr>
            <w:rFonts w:eastAsiaTheme="minorEastAsia" w:cstheme="minorBidi"/>
            <w:b w:val="0"/>
            <w:bCs w:val="0"/>
            <w:i w:val="0"/>
            <w:iCs w:val="0"/>
            <w:noProof/>
            <w:color w:val="auto"/>
            <w:lang w:eastAsia="en-US"/>
          </w:rPr>
          <w:tab/>
        </w:r>
        <w:r w:rsidR="00E1441F" w:rsidRPr="00887E02">
          <w:rPr>
            <w:rStyle w:val="Hyperlink"/>
            <w:noProof/>
          </w:rPr>
          <w:t>Entitlements for reserve associate judges of the Supreme Court</w:t>
        </w:r>
        <w:r w:rsidR="00E1441F">
          <w:rPr>
            <w:noProof/>
            <w:webHidden/>
          </w:rPr>
          <w:tab/>
        </w:r>
        <w:r w:rsidR="00E1441F">
          <w:rPr>
            <w:noProof/>
            <w:webHidden/>
          </w:rPr>
          <w:fldChar w:fldCharType="begin"/>
        </w:r>
        <w:r w:rsidR="00E1441F">
          <w:rPr>
            <w:noProof/>
            <w:webHidden/>
          </w:rPr>
          <w:instrText xml:space="preserve"> PAGEREF _Toc41306054 \h </w:instrText>
        </w:r>
        <w:r w:rsidR="00E1441F">
          <w:rPr>
            <w:noProof/>
            <w:webHidden/>
          </w:rPr>
        </w:r>
        <w:r w:rsidR="00E1441F">
          <w:rPr>
            <w:noProof/>
            <w:webHidden/>
          </w:rPr>
          <w:fldChar w:fldCharType="separate"/>
        </w:r>
        <w:r w:rsidR="00156182">
          <w:rPr>
            <w:noProof/>
            <w:webHidden/>
          </w:rPr>
          <w:t>18</w:t>
        </w:r>
        <w:r w:rsidR="00E1441F">
          <w:rPr>
            <w:noProof/>
            <w:webHidden/>
          </w:rPr>
          <w:fldChar w:fldCharType="end"/>
        </w:r>
      </w:hyperlink>
    </w:p>
    <w:p w14:paraId="749EA1AF" w14:textId="286E0934"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55"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_Toc41306055 \h </w:instrText>
        </w:r>
        <w:r w:rsidR="00E1441F">
          <w:rPr>
            <w:noProof/>
            <w:webHidden/>
          </w:rPr>
        </w:r>
        <w:r w:rsidR="00E1441F">
          <w:rPr>
            <w:noProof/>
            <w:webHidden/>
          </w:rPr>
          <w:fldChar w:fldCharType="separate"/>
        </w:r>
        <w:r w:rsidR="00156182">
          <w:rPr>
            <w:noProof/>
            <w:webHidden/>
          </w:rPr>
          <w:t>18</w:t>
        </w:r>
        <w:r w:rsidR="00E1441F">
          <w:rPr>
            <w:noProof/>
            <w:webHidden/>
          </w:rPr>
          <w:fldChar w:fldCharType="end"/>
        </w:r>
      </w:hyperlink>
    </w:p>
    <w:p w14:paraId="04ADA7CB" w14:textId="3242E11B"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56"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_Toc41306056 \h </w:instrText>
        </w:r>
        <w:r w:rsidR="00E1441F">
          <w:rPr>
            <w:noProof/>
            <w:webHidden/>
          </w:rPr>
        </w:r>
        <w:r w:rsidR="00E1441F">
          <w:rPr>
            <w:noProof/>
            <w:webHidden/>
          </w:rPr>
          <w:fldChar w:fldCharType="separate"/>
        </w:r>
        <w:r w:rsidR="00156182">
          <w:rPr>
            <w:noProof/>
            <w:webHidden/>
          </w:rPr>
          <w:t>18</w:t>
        </w:r>
        <w:r w:rsidR="00E1441F">
          <w:rPr>
            <w:noProof/>
            <w:webHidden/>
          </w:rPr>
          <w:fldChar w:fldCharType="end"/>
        </w:r>
      </w:hyperlink>
    </w:p>
    <w:p w14:paraId="150ADBE8" w14:textId="251C3C1E" w:rsidR="00E1441F" w:rsidRDefault="00F977B8">
      <w:pPr>
        <w:pStyle w:val="TOC3"/>
        <w:tabs>
          <w:tab w:val="right" w:leader="dot" w:pos="9628"/>
        </w:tabs>
        <w:rPr>
          <w:rFonts w:eastAsiaTheme="minorEastAsia" w:cstheme="minorBidi"/>
          <w:noProof/>
          <w:color w:val="auto"/>
          <w:sz w:val="24"/>
          <w:szCs w:val="24"/>
          <w:lang w:eastAsia="en-US"/>
        </w:rPr>
      </w:pPr>
      <w:hyperlink w:anchor="_Toc41306057" w:history="1">
        <w:r w:rsidR="00E1441F" w:rsidRPr="00887E02">
          <w:rPr>
            <w:rStyle w:val="Hyperlink"/>
            <w:noProof/>
          </w:rPr>
          <w:t>Cost implications</w:t>
        </w:r>
        <w:r w:rsidR="00E1441F">
          <w:rPr>
            <w:noProof/>
            <w:webHidden/>
          </w:rPr>
          <w:tab/>
        </w:r>
        <w:r w:rsidR="00E1441F">
          <w:rPr>
            <w:noProof/>
            <w:webHidden/>
          </w:rPr>
          <w:fldChar w:fldCharType="begin"/>
        </w:r>
        <w:r w:rsidR="00E1441F">
          <w:rPr>
            <w:noProof/>
            <w:webHidden/>
          </w:rPr>
          <w:instrText xml:space="preserve"> PAGEREF _Toc41306057 \h </w:instrText>
        </w:r>
        <w:r w:rsidR="00E1441F">
          <w:rPr>
            <w:noProof/>
            <w:webHidden/>
          </w:rPr>
        </w:r>
        <w:r w:rsidR="00E1441F">
          <w:rPr>
            <w:noProof/>
            <w:webHidden/>
          </w:rPr>
          <w:fldChar w:fldCharType="separate"/>
        </w:r>
        <w:r w:rsidR="00156182">
          <w:rPr>
            <w:noProof/>
            <w:webHidden/>
          </w:rPr>
          <w:t>19</w:t>
        </w:r>
        <w:r w:rsidR="00E1441F">
          <w:rPr>
            <w:noProof/>
            <w:webHidden/>
          </w:rPr>
          <w:fldChar w:fldCharType="end"/>
        </w:r>
      </w:hyperlink>
    </w:p>
    <w:p w14:paraId="5CA31FDB" w14:textId="3E48CE85" w:rsidR="00E1441F" w:rsidRDefault="00F977B8">
      <w:pPr>
        <w:pStyle w:val="TOC3"/>
        <w:tabs>
          <w:tab w:val="right" w:leader="dot" w:pos="9628"/>
        </w:tabs>
        <w:rPr>
          <w:rFonts w:eastAsiaTheme="minorEastAsia" w:cstheme="minorBidi"/>
          <w:noProof/>
          <w:color w:val="auto"/>
          <w:sz w:val="24"/>
          <w:szCs w:val="24"/>
          <w:lang w:eastAsia="en-US"/>
        </w:rPr>
      </w:pPr>
      <w:hyperlink w:anchor="_Toc41306058" w:history="1">
        <w:r w:rsidR="00E1441F" w:rsidRPr="00887E02">
          <w:rPr>
            <w:rStyle w:val="Hyperlink"/>
            <w:noProof/>
          </w:rPr>
          <w:t>Recommendation 5</w:t>
        </w:r>
        <w:r w:rsidR="00E1441F">
          <w:rPr>
            <w:noProof/>
            <w:webHidden/>
          </w:rPr>
          <w:tab/>
        </w:r>
        <w:r w:rsidR="00E1441F">
          <w:rPr>
            <w:noProof/>
            <w:webHidden/>
          </w:rPr>
          <w:fldChar w:fldCharType="begin"/>
        </w:r>
        <w:r w:rsidR="00E1441F">
          <w:rPr>
            <w:noProof/>
            <w:webHidden/>
          </w:rPr>
          <w:instrText xml:space="preserve"> PAGEREF _Toc41306058 \h </w:instrText>
        </w:r>
        <w:r w:rsidR="00E1441F">
          <w:rPr>
            <w:noProof/>
            <w:webHidden/>
          </w:rPr>
        </w:r>
        <w:r w:rsidR="00E1441F">
          <w:rPr>
            <w:noProof/>
            <w:webHidden/>
          </w:rPr>
          <w:fldChar w:fldCharType="separate"/>
        </w:r>
        <w:r w:rsidR="00156182">
          <w:rPr>
            <w:noProof/>
            <w:webHidden/>
          </w:rPr>
          <w:t>19</w:t>
        </w:r>
        <w:r w:rsidR="00E1441F">
          <w:rPr>
            <w:noProof/>
            <w:webHidden/>
          </w:rPr>
          <w:fldChar w:fldCharType="end"/>
        </w:r>
      </w:hyperlink>
    </w:p>
    <w:p w14:paraId="790A06D2" w14:textId="2CE85655"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59" w:history="1">
        <w:r w:rsidR="00E1441F" w:rsidRPr="00887E02">
          <w:rPr>
            <w:rStyle w:val="Hyperlink"/>
            <w:noProof/>
          </w:rPr>
          <w:t>4</w:t>
        </w:r>
        <w:r w:rsidR="00E1441F">
          <w:rPr>
            <w:rFonts w:eastAsiaTheme="minorEastAsia" w:cstheme="minorBidi"/>
            <w:b w:val="0"/>
            <w:bCs w:val="0"/>
            <w:i w:val="0"/>
            <w:iCs w:val="0"/>
            <w:noProof/>
            <w:color w:val="auto"/>
            <w:lang w:eastAsia="en-US"/>
          </w:rPr>
          <w:tab/>
        </w:r>
        <w:r w:rsidR="00E1441F" w:rsidRPr="00887E02">
          <w:rPr>
            <w:rStyle w:val="Hyperlink"/>
            <w:noProof/>
          </w:rPr>
          <w:t>Annual leave for magistrates</w:t>
        </w:r>
        <w:r w:rsidR="00E1441F">
          <w:rPr>
            <w:noProof/>
            <w:webHidden/>
          </w:rPr>
          <w:tab/>
        </w:r>
        <w:r w:rsidR="00E1441F">
          <w:rPr>
            <w:noProof/>
            <w:webHidden/>
          </w:rPr>
          <w:fldChar w:fldCharType="begin"/>
        </w:r>
        <w:r w:rsidR="00E1441F">
          <w:rPr>
            <w:noProof/>
            <w:webHidden/>
          </w:rPr>
          <w:instrText xml:space="preserve"> PAGEREF _Toc41306059 \h </w:instrText>
        </w:r>
        <w:r w:rsidR="00E1441F">
          <w:rPr>
            <w:noProof/>
            <w:webHidden/>
          </w:rPr>
        </w:r>
        <w:r w:rsidR="00E1441F">
          <w:rPr>
            <w:noProof/>
            <w:webHidden/>
          </w:rPr>
          <w:fldChar w:fldCharType="separate"/>
        </w:r>
        <w:r w:rsidR="00156182">
          <w:rPr>
            <w:noProof/>
            <w:webHidden/>
          </w:rPr>
          <w:t>20</w:t>
        </w:r>
        <w:r w:rsidR="00E1441F">
          <w:rPr>
            <w:noProof/>
            <w:webHidden/>
          </w:rPr>
          <w:fldChar w:fldCharType="end"/>
        </w:r>
      </w:hyperlink>
    </w:p>
    <w:p w14:paraId="10B4A692" w14:textId="342E422E"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60"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_Toc41306060 \h </w:instrText>
        </w:r>
        <w:r w:rsidR="00E1441F">
          <w:rPr>
            <w:noProof/>
            <w:webHidden/>
          </w:rPr>
        </w:r>
        <w:r w:rsidR="00E1441F">
          <w:rPr>
            <w:noProof/>
            <w:webHidden/>
          </w:rPr>
          <w:fldChar w:fldCharType="separate"/>
        </w:r>
        <w:r w:rsidR="00156182">
          <w:rPr>
            <w:noProof/>
            <w:webHidden/>
          </w:rPr>
          <w:t>20</w:t>
        </w:r>
        <w:r w:rsidR="00E1441F">
          <w:rPr>
            <w:noProof/>
            <w:webHidden/>
          </w:rPr>
          <w:fldChar w:fldCharType="end"/>
        </w:r>
      </w:hyperlink>
    </w:p>
    <w:p w14:paraId="7D66E150" w14:textId="3AF87D21"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61"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_Toc41306061 \h </w:instrText>
        </w:r>
        <w:r w:rsidR="00E1441F">
          <w:rPr>
            <w:noProof/>
            <w:webHidden/>
          </w:rPr>
        </w:r>
        <w:r w:rsidR="00E1441F">
          <w:rPr>
            <w:noProof/>
            <w:webHidden/>
          </w:rPr>
          <w:fldChar w:fldCharType="separate"/>
        </w:r>
        <w:r w:rsidR="00156182">
          <w:rPr>
            <w:noProof/>
            <w:webHidden/>
          </w:rPr>
          <w:t>20</w:t>
        </w:r>
        <w:r w:rsidR="00E1441F">
          <w:rPr>
            <w:noProof/>
            <w:webHidden/>
          </w:rPr>
          <w:fldChar w:fldCharType="end"/>
        </w:r>
      </w:hyperlink>
    </w:p>
    <w:p w14:paraId="6EDEB5B1" w14:textId="19F1B1A3" w:rsidR="00E1441F" w:rsidRDefault="00F977B8">
      <w:pPr>
        <w:pStyle w:val="TOC3"/>
        <w:tabs>
          <w:tab w:val="right" w:leader="dot" w:pos="9628"/>
        </w:tabs>
        <w:rPr>
          <w:rFonts w:eastAsiaTheme="minorEastAsia" w:cstheme="minorBidi"/>
          <w:noProof/>
          <w:color w:val="auto"/>
          <w:sz w:val="24"/>
          <w:szCs w:val="24"/>
          <w:lang w:eastAsia="en-US"/>
        </w:rPr>
      </w:pPr>
      <w:hyperlink w:anchor="_Toc41306062" w:history="1">
        <w:r w:rsidR="00E1441F" w:rsidRPr="00887E02">
          <w:rPr>
            <w:rStyle w:val="Hyperlink"/>
            <w:noProof/>
          </w:rPr>
          <w:t>Cost implications</w:t>
        </w:r>
        <w:r w:rsidR="00E1441F">
          <w:rPr>
            <w:noProof/>
            <w:webHidden/>
          </w:rPr>
          <w:tab/>
        </w:r>
        <w:r w:rsidR="00E1441F">
          <w:rPr>
            <w:noProof/>
            <w:webHidden/>
          </w:rPr>
          <w:fldChar w:fldCharType="begin"/>
        </w:r>
        <w:r w:rsidR="00E1441F">
          <w:rPr>
            <w:noProof/>
            <w:webHidden/>
          </w:rPr>
          <w:instrText xml:space="preserve"> PAGEREF _Toc41306062 \h </w:instrText>
        </w:r>
        <w:r w:rsidR="00E1441F">
          <w:rPr>
            <w:noProof/>
            <w:webHidden/>
          </w:rPr>
        </w:r>
        <w:r w:rsidR="00E1441F">
          <w:rPr>
            <w:noProof/>
            <w:webHidden/>
          </w:rPr>
          <w:fldChar w:fldCharType="separate"/>
        </w:r>
        <w:r w:rsidR="00156182">
          <w:rPr>
            <w:noProof/>
            <w:webHidden/>
          </w:rPr>
          <w:t>21</w:t>
        </w:r>
        <w:r w:rsidR="00E1441F">
          <w:rPr>
            <w:noProof/>
            <w:webHidden/>
          </w:rPr>
          <w:fldChar w:fldCharType="end"/>
        </w:r>
      </w:hyperlink>
    </w:p>
    <w:p w14:paraId="70ED3C69" w14:textId="5A86D1EF" w:rsidR="00E1441F" w:rsidRDefault="00F977B8">
      <w:pPr>
        <w:pStyle w:val="TOC3"/>
        <w:tabs>
          <w:tab w:val="right" w:leader="dot" w:pos="9628"/>
        </w:tabs>
        <w:rPr>
          <w:rFonts w:eastAsiaTheme="minorEastAsia" w:cstheme="minorBidi"/>
          <w:noProof/>
          <w:color w:val="auto"/>
          <w:sz w:val="24"/>
          <w:szCs w:val="24"/>
          <w:lang w:eastAsia="en-US"/>
        </w:rPr>
      </w:pPr>
      <w:hyperlink w:anchor="_Toc41306063" w:history="1">
        <w:r w:rsidR="00E1441F" w:rsidRPr="00887E02">
          <w:rPr>
            <w:rStyle w:val="Hyperlink"/>
            <w:noProof/>
          </w:rPr>
          <w:t>Recommendation 6</w:t>
        </w:r>
        <w:r w:rsidR="00E1441F">
          <w:rPr>
            <w:noProof/>
            <w:webHidden/>
          </w:rPr>
          <w:tab/>
        </w:r>
        <w:r w:rsidR="00E1441F">
          <w:rPr>
            <w:noProof/>
            <w:webHidden/>
          </w:rPr>
          <w:fldChar w:fldCharType="begin"/>
        </w:r>
        <w:r w:rsidR="00E1441F">
          <w:rPr>
            <w:noProof/>
            <w:webHidden/>
          </w:rPr>
          <w:instrText xml:space="preserve"> PAGEREF _Toc41306063 \h </w:instrText>
        </w:r>
        <w:r w:rsidR="00E1441F">
          <w:rPr>
            <w:noProof/>
            <w:webHidden/>
          </w:rPr>
        </w:r>
        <w:r w:rsidR="00E1441F">
          <w:rPr>
            <w:noProof/>
            <w:webHidden/>
          </w:rPr>
          <w:fldChar w:fldCharType="separate"/>
        </w:r>
        <w:r w:rsidR="00156182">
          <w:rPr>
            <w:noProof/>
            <w:webHidden/>
          </w:rPr>
          <w:t>21</w:t>
        </w:r>
        <w:r w:rsidR="00E1441F">
          <w:rPr>
            <w:noProof/>
            <w:webHidden/>
          </w:rPr>
          <w:fldChar w:fldCharType="end"/>
        </w:r>
      </w:hyperlink>
    </w:p>
    <w:p w14:paraId="583384C0" w14:textId="4167D8B9"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64" w:history="1">
        <w:r w:rsidR="00E1441F" w:rsidRPr="00887E02">
          <w:rPr>
            <w:rStyle w:val="Hyperlink"/>
            <w:noProof/>
          </w:rPr>
          <w:t>5</w:t>
        </w:r>
        <w:r w:rsidR="00E1441F">
          <w:rPr>
            <w:rFonts w:eastAsiaTheme="minorEastAsia" w:cstheme="minorBidi"/>
            <w:b w:val="0"/>
            <w:bCs w:val="0"/>
            <w:i w:val="0"/>
            <w:iCs w:val="0"/>
            <w:noProof/>
            <w:color w:val="auto"/>
            <w:lang w:eastAsia="en-US"/>
          </w:rPr>
          <w:tab/>
        </w:r>
        <w:r w:rsidR="00E1441F" w:rsidRPr="00887E02">
          <w:rPr>
            <w:rStyle w:val="Hyperlink"/>
            <w:noProof/>
          </w:rPr>
          <w:t>Living away from home allowance for magistrates</w:t>
        </w:r>
        <w:r w:rsidR="00E1441F">
          <w:rPr>
            <w:noProof/>
            <w:webHidden/>
          </w:rPr>
          <w:tab/>
        </w:r>
        <w:r w:rsidR="00E1441F">
          <w:rPr>
            <w:noProof/>
            <w:webHidden/>
          </w:rPr>
          <w:fldChar w:fldCharType="begin"/>
        </w:r>
        <w:r w:rsidR="00E1441F">
          <w:rPr>
            <w:noProof/>
            <w:webHidden/>
          </w:rPr>
          <w:instrText xml:space="preserve"> PAGEREF _Toc41306064 \h </w:instrText>
        </w:r>
        <w:r w:rsidR="00E1441F">
          <w:rPr>
            <w:noProof/>
            <w:webHidden/>
          </w:rPr>
        </w:r>
        <w:r w:rsidR="00E1441F">
          <w:rPr>
            <w:noProof/>
            <w:webHidden/>
          </w:rPr>
          <w:fldChar w:fldCharType="separate"/>
        </w:r>
        <w:r w:rsidR="00156182">
          <w:rPr>
            <w:noProof/>
            <w:webHidden/>
          </w:rPr>
          <w:t>22</w:t>
        </w:r>
        <w:r w:rsidR="00E1441F">
          <w:rPr>
            <w:noProof/>
            <w:webHidden/>
          </w:rPr>
          <w:fldChar w:fldCharType="end"/>
        </w:r>
      </w:hyperlink>
    </w:p>
    <w:p w14:paraId="4B789649" w14:textId="295442E1"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65"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_Toc41306065 \h </w:instrText>
        </w:r>
        <w:r w:rsidR="00E1441F">
          <w:rPr>
            <w:noProof/>
            <w:webHidden/>
          </w:rPr>
        </w:r>
        <w:r w:rsidR="00E1441F">
          <w:rPr>
            <w:noProof/>
            <w:webHidden/>
          </w:rPr>
          <w:fldChar w:fldCharType="separate"/>
        </w:r>
        <w:r w:rsidR="00156182">
          <w:rPr>
            <w:noProof/>
            <w:webHidden/>
          </w:rPr>
          <w:t>22</w:t>
        </w:r>
        <w:r w:rsidR="00E1441F">
          <w:rPr>
            <w:noProof/>
            <w:webHidden/>
          </w:rPr>
          <w:fldChar w:fldCharType="end"/>
        </w:r>
      </w:hyperlink>
    </w:p>
    <w:p w14:paraId="6C2A54DF" w14:textId="48B232BE"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66"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_Toc41306066 \h </w:instrText>
        </w:r>
        <w:r w:rsidR="00E1441F">
          <w:rPr>
            <w:noProof/>
            <w:webHidden/>
          </w:rPr>
        </w:r>
        <w:r w:rsidR="00E1441F">
          <w:rPr>
            <w:noProof/>
            <w:webHidden/>
          </w:rPr>
          <w:fldChar w:fldCharType="separate"/>
        </w:r>
        <w:r w:rsidR="00156182">
          <w:rPr>
            <w:noProof/>
            <w:webHidden/>
          </w:rPr>
          <w:t>22</w:t>
        </w:r>
        <w:r w:rsidR="00E1441F">
          <w:rPr>
            <w:noProof/>
            <w:webHidden/>
          </w:rPr>
          <w:fldChar w:fldCharType="end"/>
        </w:r>
      </w:hyperlink>
    </w:p>
    <w:p w14:paraId="2F06CD7F" w14:textId="0B5865A9" w:rsidR="00E1441F" w:rsidRDefault="00F977B8">
      <w:pPr>
        <w:pStyle w:val="TOC3"/>
        <w:tabs>
          <w:tab w:val="right" w:leader="dot" w:pos="9628"/>
        </w:tabs>
        <w:rPr>
          <w:rFonts w:eastAsiaTheme="minorEastAsia" w:cstheme="minorBidi"/>
          <w:noProof/>
          <w:color w:val="auto"/>
          <w:sz w:val="24"/>
          <w:szCs w:val="24"/>
          <w:lang w:eastAsia="en-US"/>
        </w:rPr>
      </w:pPr>
      <w:hyperlink w:anchor="_Toc41306067" w:history="1">
        <w:r w:rsidR="00E1441F" w:rsidRPr="00887E02">
          <w:rPr>
            <w:rStyle w:val="Hyperlink"/>
            <w:noProof/>
          </w:rPr>
          <w:t>Recommendation 7</w:t>
        </w:r>
        <w:r w:rsidR="00E1441F">
          <w:rPr>
            <w:noProof/>
            <w:webHidden/>
          </w:rPr>
          <w:tab/>
        </w:r>
        <w:r w:rsidR="00E1441F">
          <w:rPr>
            <w:noProof/>
            <w:webHidden/>
          </w:rPr>
          <w:fldChar w:fldCharType="begin"/>
        </w:r>
        <w:r w:rsidR="00E1441F">
          <w:rPr>
            <w:noProof/>
            <w:webHidden/>
          </w:rPr>
          <w:instrText xml:space="preserve"> PAGEREF _Toc41306067 \h </w:instrText>
        </w:r>
        <w:r w:rsidR="00E1441F">
          <w:rPr>
            <w:noProof/>
            <w:webHidden/>
          </w:rPr>
        </w:r>
        <w:r w:rsidR="00E1441F">
          <w:rPr>
            <w:noProof/>
            <w:webHidden/>
          </w:rPr>
          <w:fldChar w:fldCharType="separate"/>
        </w:r>
        <w:r w:rsidR="00156182">
          <w:rPr>
            <w:noProof/>
            <w:webHidden/>
          </w:rPr>
          <w:t>22</w:t>
        </w:r>
        <w:r w:rsidR="00E1441F">
          <w:rPr>
            <w:noProof/>
            <w:webHidden/>
          </w:rPr>
          <w:fldChar w:fldCharType="end"/>
        </w:r>
      </w:hyperlink>
    </w:p>
    <w:p w14:paraId="33065CED" w14:textId="231FB495" w:rsidR="00E1441F" w:rsidRDefault="00F977B8">
      <w:pPr>
        <w:pStyle w:val="TOC3"/>
        <w:tabs>
          <w:tab w:val="right" w:leader="dot" w:pos="9628"/>
        </w:tabs>
        <w:rPr>
          <w:rFonts w:eastAsiaTheme="minorEastAsia" w:cstheme="minorBidi"/>
          <w:noProof/>
          <w:color w:val="auto"/>
          <w:sz w:val="24"/>
          <w:szCs w:val="24"/>
          <w:lang w:eastAsia="en-US"/>
        </w:rPr>
      </w:pPr>
      <w:hyperlink w:anchor="_Toc41306068" w:history="1">
        <w:r w:rsidR="00E1441F" w:rsidRPr="00887E02">
          <w:rPr>
            <w:rStyle w:val="Hyperlink"/>
            <w:noProof/>
          </w:rPr>
          <w:t>Observation 1</w:t>
        </w:r>
        <w:r w:rsidR="00E1441F">
          <w:rPr>
            <w:noProof/>
            <w:webHidden/>
          </w:rPr>
          <w:tab/>
        </w:r>
        <w:r w:rsidR="00E1441F">
          <w:rPr>
            <w:noProof/>
            <w:webHidden/>
          </w:rPr>
          <w:fldChar w:fldCharType="begin"/>
        </w:r>
        <w:r w:rsidR="00E1441F">
          <w:rPr>
            <w:noProof/>
            <w:webHidden/>
          </w:rPr>
          <w:instrText xml:space="preserve"> PAGEREF _Toc41306068 \h </w:instrText>
        </w:r>
        <w:r w:rsidR="00E1441F">
          <w:rPr>
            <w:noProof/>
            <w:webHidden/>
          </w:rPr>
        </w:r>
        <w:r w:rsidR="00E1441F">
          <w:rPr>
            <w:noProof/>
            <w:webHidden/>
          </w:rPr>
          <w:fldChar w:fldCharType="separate"/>
        </w:r>
        <w:r w:rsidR="00156182">
          <w:rPr>
            <w:noProof/>
            <w:webHidden/>
          </w:rPr>
          <w:t>23</w:t>
        </w:r>
        <w:r w:rsidR="00E1441F">
          <w:rPr>
            <w:noProof/>
            <w:webHidden/>
          </w:rPr>
          <w:fldChar w:fldCharType="end"/>
        </w:r>
      </w:hyperlink>
    </w:p>
    <w:p w14:paraId="1627B722" w14:textId="740B8FD2"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69" w:history="1">
        <w:r w:rsidR="00E1441F" w:rsidRPr="00887E02">
          <w:rPr>
            <w:rStyle w:val="Hyperlink"/>
            <w:noProof/>
          </w:rPr>
          <w:t>6</w:t>
        </w:r>
        <w:r w:rsidR="00E1441F">
          <w:rPr>
            <w:rFonts w:eastAsiaTheme="minorEastAsia" w:cstheme="minorBidi"/>
            <w:b w:val="0"/>
            <w:bCs w:val="0"/>
            <w:i w:val="0"/>
            <w:iCs w:val="0"/>
            <w:noProof/>
            <w:color w:val="auto"/>
            <w:lang w:eastAsia="en-US"/>
          </w:rPr>
          <w:tab/>
        </w:r>
        <w:r w:rsidR="00E1441F" w:rsidRPr="00887E02">
          <w:rPr>
            <w:rStyle w:val="Hyperlink"/>
            <w:noProof/>
          </w:rPr>
          <w:t>Income protection scheme for magistrates</w:t>
        </w:r>
        <w:r w:rsidR="00E1441F">
          <w:rPr>
            <w:noProof/>
            <w:webHidden/>
          </w:rPr>
          <w:tab/>
        </w:r>
        <w:r w:rsidR="00E1441F">
          <w:rPr>
            <w:noProof/>
            <w:webHidden/>
          </w:rPr>
          <w:fldChar w:fldCharType="begin"/>
        </w:r>
        <w:r w:rsidR="00E1441F">
          <w:rPr>
            <w:noProof/>
            <w:webHidden/>
          </w:rPr>
          <w:instrText xml:space="preserve"> PAGEREF _Toc41306069 \h </w:instrText>
        </w:r>
        <w:r w:rsidR="00E1441F">
          <w:rPr>
            <w:noProof/>
            <w:webHidden/>
          </w:rPr>
        </w:r>
        <w:r w:rsidR="00E1441F">
          <w:rPr>
            <w:noProof/>
            <w:webHidden/>
          </w:rPr>
          <w:fldChar w:fldCharType="separate"/>
        </w:r>
        <w:r w:rsidR="00156182">
          <w:rPr>
            <w:noProof/>
            <w:webHidden/>
          </w:rPr>
          <w:t>24</w:t>
        </w:r>
        <w:r w:rsidR="00E1441F">
          <w:rPr>
            <w:noProof/>
            <w:webHidden/>
          </w:rPr>
          <w:fldChar w:fldCharType="end"/>
        </w:r>
      </w:hyperlink>
    </w:p>
    <w:p w14:paraId="0CA94E53" w14:textId="67763848"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70"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_Toc41306070 \h </w:instrText>
        </w:r>
        <w:r w:rsidR="00E1441F">
          <w:rPr>
            <w:noProof/>
            <w:webHidden/>
          </w:rPr>
        </w:r>
        <w:r w:rsidR="00E1441F">
          <w:rPr>
            <w:noProof/>
            <w:webHidden/>
          </w:rPr>
          <w:fldChar w:fldCharType="separate"/>
        </w:r>
        <w:r w:rsidR="00156182">
          <w:rPr>
            <w:noProof/>
            <w:webHidden/>
          </w:rPr>
          <w:t>24</w:t>
        </w:r>
        <w:r w:rsidR="00E1441F">
          <w:rPr>
            <w:noProof/>
            <w:webHidden/>
          </w:rPr>
          <w:fldChar w:fldCharType="end"/>
        </w:r>
      </w:hyperlink>
    </w:p>
    <w:p w14:paraId="562E77C1" w14:textId="433E939D"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71"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_Toc41306071 \h </w:instrText>
        </w:r>
        <w:r w:rsidR="00E1441F">
          <w:rPr>
            <w:noProof/>
            <w:webHidden/>
          </w:rPr>
        </w:r>
        <w:r w:rsidR="00E1441F">
          <w:rPr>
            <w:noProof/>
            <w:webHidden/>
          </w:rPr>
          <w:fldChar w:fldCharType="separate"/>
        </w:r>
        <w:r w:rsidR="00156182">
          <w:rPr>
            <w:noProof/>
            <w:webHidden/>
          </w:rPr>
          <w:t>24</w:t>
        </w:r>
        <w:r w:rsidR="00E1441F">
          <w:rPr>
            <w:noProof/>
            <w:webHidden/>
          </w:rPr>
          <w:fldChar w:fldCharType="end"/>
        </w:r>
      </w:hyperlink>
    </w:p>
    <w:p w14:paraId="4FB50A65" w14:textId="0B41D78C" w:rsidR="00E1441F" w:rsidRDefault="00F977B8">
      <w:pPr>
        <w:pStyle w:val="TOC3"/>
        <w:tabs>
          <w:tab w:val="right" w:leader="dot" w:pos="9628"/>
        </w:tabs>
        <w:rPr>
          <w:rFonts w:eastAsiaTheme="minorEastAsia" w:cstheme="minorBidi"/>
          <w:noProof/>
          <w:color w:val="auto"/>
          <w:sz w:val="24"/>
          <w:szCs w:val="24"/>
          <w:lang w:eastAsia="en-US"/>
        </w:rPr>
      </w:pPr>
      <w:hyperlink w:anchor="_Toc41306072" w:history="1">
        <w:r w:rsidR="00E1441F" w:rsidRPr="00887E02">
          <w:rPr>
            <w:rStyle w:val="Hyperlink"/>
            <w:noProof/>
          </w:rPr>
          <w:t>Observation 2</w:t>
        </w:r>
        <w:r w:rsidR="00E1441F">
          <w:rPr>
            <w:noProof/>
            <w:webHidden/>
          </w:rPr>
          <w:tab/>
        </w:r>
        <w:r w:rsidR="00E1441F">
          <w:rPr>
            <w:noProof/>
            <w:webHidden/>
          </w:rPr>
          <w:fldChar w:fldCharType="begin"/>
        </w:r>
        <w:r w:rsidR="00E1441F">
          <w:rPr>
            <w:noProof/>
            <w:webHidden/>
          </w:rPr>
          <w:instrText xml:space="preserve"> PAGEREF _Toc41306072 \h </w:instrText>
        </w:r>
        <w:r w:rsidR="00E1441F">
          <w:rPr>
            <w:noProof/>
            <w:webHidden/>
          </w:rPr>
        </w:r>
        <w:r w:rsidR="00E1441F">
          <w:rPr>
            <w:noProof/>
            <w:webHidden/>
          </w:rPr>
          <w:fldChar w:fldCharType="separate"/>
        </w:r>
        <w:r w:rsidR="00156182">
          <w:rPr>
            <w:noProof/>
            <w:webHidden/>
          </w:rPr>
          <w:t>25</w:t>
        </w:r>
        <w:r w:rsidR="00E1441F">
          <w:rPr>
            <w:noProof/>
            <w:webHidden/>
          </w:rPr>
          <w:fldChar w:fldCharType="end"/>
        </w:r>
      </w:hyperlink>
    </w:p>
    <w:p w14:paraId="6F5C9204" w14:textId="534BA641" w:rsidR="00E1441F" w:rsidRDefault="00F977B8">
      <w:pPr>
        <w:pStyle w:val="TOC1"/>
        <w:tabs>
          <w:tab w:val="left" w:pos="440"/>
          <w:tab w:val="right" w:leader="dot" w:pos="9628"/>
        </w:tabs>
        <w:rPr>
          <w:rFonts w:eastAsiaTheme="minorEastAsia" w:cstheme="minorBidi"/>
          <w:b w:val="0"/>
          <w:bCs w:val="0"/>
          <w:i w:val="0"/>
          <w:iCs w:val="0"/>
          <w:noProof/>
          <w:color w:val="auto"/>
          <w:lang w:eastAsia="en-US"/>
        </w:rPr>
      </w:pPr>
      <w:hyperlink w:anchor="_Toc41306073" w:history="1">
        <w:r w:rsidR="00E1441F" w:rsidRPr="00887E02">
          <w:rPr>
            <w:rStyle w:val="Hyperlink"/>
            <w:noProof/>
          </w:rPr>
          <w:t>7</w:t>
        </w:r>
        <w:r w:rsidR="00E1441F">
          <w:rPr>
            <w:rFonts w:eastAsiaTheme="minorEastAsia" w:cstheme="minorBidi"/>
            <w:b w:val="0"/>
            <w:bCs w:val="0"/>
            <w:i w:val="0"/>
            <w:iCs w:val="0"/>
            <w:noProof/>
            <w:color w:val="auto"/>
            <w:lang w:eastAsia="en-US"/>
          </w:rPr>
          <w:tab/>
        </w:r>
        <w:r w:rsidR="00E1441F" w:rsidRPr="00887E02">
          <w:rPr>
            <w:rStyle w:val="Hyperlink"/>
            <w:noProof/>
          </w:rPr>
          <w:t>Motor vehicle entitlements for magistrates</w:t>
        </w:r>
        <w:r w:rsidR="00E1441F">
          <w:rPr>
            <w:noProof/>
            <w:webHidden/>
          </w:rPr>
          <w:tab/>
        </w:r>
        <w:r w:rsidR="00E1441F">
          <w:rPr>
            <w:noProof/>
            <w:webHidden/>
          </w:rPr>
          <w:fldChar w:fldCharType="begin"/>
        </w:r>
        <w:r w:rsidR="00E1441F">
          <w:rPr>
            <w:noProof/>
            <w:webHidden/>
          </w:rPr>
          <w:instrText xml:space="preserve"> PAGEREF _Toc41306073 \h </w:instrText>
        </w:r>
        <w:r w:rsidR="00E1441F">
          <w:rPr>
            <w:noProof/>
            <w:webHidden/>
          </w:rPr>
        </w:r>
        <w:r w:rsidR="00E1441F">
          <w:rPr>
            <w:noProof/>
            <w:webHidden/>
          </w:rPr>
          <w:fldChar w:fldCharType="separate"/>
        </w:r>
        <w:r w:rsidR="00156182">
          <w:rPr>
            <w:noProof/>
            <w:webHidden/>
          </w:rPr>
          <w:t>26</w:t>
        </w:r>
        <w:r w:rsidR="00E1441F">
          <w:rPr>
            <w:noProof/>
            <w:webHidden/>
          </w:rPr>
          <w:fldChar w:fldCharType="end"/>
        </w:r>
      </w:hyperlink>
    </w:p>
    <w:p w14:paraId="4D5A8EAD" w14:textId="6A81B8D7"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74" w:history="1">
        <w:r w:rsidR="00E1441F" w:rsidRPr="00887E02">
          <w:rPr>
            <w:rStyle w:val="Hyperlink"/>
            <w:noProof/>
          </w:rPr>
          <w:t>Current entitlement</w:t>
        </w:r>
        <w:r w:rsidR="00E1441F">
          <w:rPr>
            <w:noProof/>
            <w:webHidden/>
          </w:rPr>
          <w:tab/>
        </w:r>
        <w:r w:rsidR="00E1441F">
          <w:rPr>
            <w:noProof/>
            <w:webHidden/>
          </w:rPr>
          <w:fldChar w:fldCharType="begin"/>
        </w:r>
        <w:r w:rsidR="00E1441F">
          <w:rPr>
            <w:noProof/>
            <w:webHidden/>
          </w:rPr>
          <w:instrText xml:space="preserve"> PAGEREF _Toc41306074 \h </w:instrText>
        </w:r>
        <w:r w:rsidR="00E1441F">
          <w:rPr>
            <w:noProof/>
            <w:webHidden/>
          </w:rPr>
        </w:r>
        <w:r w:rsidR="00E1441F">
          <w:rPr>
            <w:noProof/>
            <w:webHidden/>
          </w:rPr>
          <w:fldChar w:fldCharType="separate"/>
        </w:r>
        <w:r w:rsidR="00156182">
          <w:rPr>
            <w:noProof/>
            <w:webHidden/>
          </w:rPr>
          <w:t>26</w:t>
        </w:r>
        <w:r w:rsidR="00E1441F">
          <w:rPr>
            <w:noProof/>
            <w:webHidden/>
          </w:rPr>
          <w:fldChar w:fldCharType="end"/>
        </w:r>
      </w:hyperlink>
    </w:p>
    <w:p w14:paraId="262059FE" w14:textId="5A73DBCE"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75" w:history="1">
        <w:r w:rsidR="00E1441F" w:rsidRPr="00887E02">
          <w:rPr>
            <w:rStyle w:val="Hyperlink"/>
            <w:noProof/>
          </w:rPr>
          <w:t>Issues</w:t>
        </w:r>
        <w:r w:rsidR="00E1441F">
          <w:rPr>
            <w:noProof/>
            <w:webHidden/>
          </w:rPr>
          <w:tab/>
        </w:r>
        <w:r w:rsidR="00E1441F">
          <w:rPr>
            <w:noProof/>
            <w:webHidden/>
          </w:rPr>
          <w:fldChar w:fldCharType="begin"/>
        </w:r>
        <w:r w:rsidR="00E1441F">
          <w:rPr>
            <w:noProof/>
            <w:webHidden/>
          </w:rPr>
          <w:instrText xml:space="preserve"> PAGEREF _Toc41306075 \h </w:instrText>
        </w:r>
        <w:r w:rsidR="00E1441F">
          <w:rPr>
            <w:noProof/>
            <w:webHidden/>
          </w:rPr>
        </w:r>
        <w:r w:rsidR="00E1441F">
          <w:rPr>
            <w:noProof/>
            <w:webHidden/>
          </w:rPr>
          <w:fldChar w:fldCharType="separate"/>
        </w:r>
        <w:r w:rsidR="00156182">
          <w:rPr>
            <w:noProof/>
            <w:webHidden/>
          </w:rPr>
          <w:t>26</w:t>
        </w:r>
        <w:r w:rsidR="00E1441F">
          <w:rPr>
            <w:noProof/>
            <w:webHidden/>
          </w:rPr>
          <w:fldChar w:fldCharType="end"/>
        </w:r>
      </w:hyperlink>
    </w:p>
    <w:p w14:paraId="42292244" w14:textId="6C6B6D95" w:rsidR="00E1441F" w:rsidRDefault="00F977B8">
      <w:pPr>
        <w:pStyle w:val="TOC3"/>
        <w:tabs>
          <w:tab w:val="right" w:leader="dot" w:pos="9628"/>
        </w:tabs>
        <w:rPr>
          <w:rFonts w:eastAsiaTheme="minorEastAsia" w:cstheme="minorBidi"/>
          <w:noProof/>
          <w:color w:val="auto"/>
          <w:sz w:val="24"/>
          <w:szCs w:val="24"/>
          <w:lang w:eastAsia="en-US"/>
        </w:rPr>
      </w:pPr>
      <w:hyperlink w:anchor="_Toc41306076" w:history="1">
        <w:r w:rsidR="00E1441F" w:rsidRPr="00887E02">
          <w:rPr>
            <w:rStyle w:val="Hyperlink"/>
            <w:noProof/>
          </w:rPr>
          <w:t>Observation 3</w:t>
        </w:r>
        <w:r w:rsidR="00E1441F">
          <w:rPr>
            <w:noProof/>
            <w:webHidden/>
          </w:rPr>
          <w:tab/>
        </w:r>
        <w:r w:rsidR="00E1441F">
          <w:rPr>
            <w:noProof/>
            <w:webHidden/>
          </w:rPr>
          <w:fldChar w:fldCharType="begin"/>
        </w:r>
        <w:r w:rsidR="00E1441F">
          <w:rPr>
            <w:noProof/>
            <w:webHidden/>
          </w:rPr>
          <w:instrText xml:space="preserve"> PAGEREF _Toc41306076 \h </w:instrText>
        </w:r>
        <w:r w:rsidR="00E1441F">
          <w:rPr>
            <w:noProof/>
            <w:webHidden/>
          </w:rPr>
        </w:r>
        <w:r w:rsidR="00E1441F">
          <w:rPr>
            <w:noProof/>
            <w:webHidden/>
          </w:rPr>
          <w:fldChar w:fldCharType="separate"/>
        </w:r>
        <w:r w:rsidR="00156182">
          <w:rPr>
            <w:noProof/>
            <w:webHidden/>
          </w:rPr>
          <w:t>27</w:t>
        </w:r>
        <w:r w:rsidR="00E1441F">
          <w:rPr>
            <w:noProof/>
            <w:webHidden/>
          </w:rPr>
          <w:fldChar w:fldCharType="end"/>
        </w:r>
      </w:hyperlink>
    </w:p>
    <w:p w14:paraId="3F145EFF" w14:textId="76FC75D9"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77" w:history="1">
        <w:r w:rsidR="00E1441F" w:rsidRPr="00887E02">
          <w:rPr>
            <w:rStyle w:val="Hyperlink"/>
            <w:noProof/>
          </w:rPr>
          <w:t>Table of rejected proposals</w:t>
        </w:r>
        <w:r w:rsidR="00E1441F">
          <w:rPr>
            <w:noProof/>
            <w:webHidden/>
          </w:rPr>
          <w:tab/>
        </w:r>
        <w:r w:rsidR="00E1441F">
          <w:rPr>
            <w:noProof/>
            <w:webHidden/>
          </w:rPr>
          <w:fldChar w:fldCharType="begin"/>
        </w:r>
        <w:r w:rsidR="00E1441F">
          <w:rPr>
            <w:noProof/>
            <w:webHidden/>
          </w:rPr>
          <w:instrText xml:space="preserve"> PAGEREF _Toc41306077 \h </w:instrText>
        </w:r>
        <w:r w:rsidR="00E1441F">
          <w:rPr>
            <w:noProof/>
            <w:webHidden/>
          </w:rPr>
        </w:r>
        <w:r w:rsidR="00E1441F">
          <w:rPr>
            <w:noProof/>
            <w:webHidden/>
          </w:rPr>
          <w:fldChar w:fldCharType="separate"/>
        </w:r>
        <w:r w:rsidR="00156182">
          <w:rPr>
            <w:noProof/>
            <w:webHidden/>
          </w:rPr>
          <w:t>28</w:t>
        </w:r>
        <w:r w:rsidR="00E1441F">
          <w:rPr>
            <w:noProof/>
            <w:webHidden/>
          </w:rPr>
          <w:fldChar w:fldCharType="end"/>
        </w:r>
      </w:hyperlink>
    </w:p>
    <w:p w14:paraId="0B8D43BE" w14:textId="55DD19CB" w:rsidR="00E1441F" w:rsidRDefault="00F977B8">
      <w:pPr>
        <w:pStyle w:val="TOC1"/>
        <w:tabs>
          <w:tab w:val="right" w:leader="dot" w:pos="9628"/>
        </w:tabs>
        <w:rPr>
          <w:rFonts w:eastAsiaTheme="minorEastAsia" w:cstheme="minorBidi"/>
          <w:b w:val="0"/>
          <w:bCs w:val="0"/>
          <w:i w:val="0"/>
          <w:iCs w:val="0"/>
          <w:noProof/>
          <w:color w:val="auto"/>
          <w:lang w:eastAsia="en-US"/>
        </w:rPr>
      </w:pPr>
      <w:hyperlink w:anchor="_Toc41306078" w:history="1">
        <w:r w:rsidR="00E1441F" w:rsidRPr="00887E02">
          <w:rPr>
            <w:rStyle w:val="Hyperlink"/>
            <w:noProof/>
          </w:rPr>
          <w:t>Appendices</w:t>
        </w:r>
        <w:r w:rsidR="00E1441F">
          <w:rPr>
            <w:noProof/>
            <w:webHidden/>
          </w:rPr>
          <w:tab/>
        </w:r>
        <w:r w:rsidR="00E1441F">
          <w:rPr>
            <w:noProof/>
            <w:webHidden/>
          </w:rPr>
          <w:fldChar w:fldCharType="begin"/>
        </w:r>
        <w:r w:rsidR="00E1441F">
          <w:rPr>
            <w:noProof/>
            <w:webHidden/>
          </w:rPr>
          <w:instrText xml:space="preserve"> PAGEREF _Toc41306078 \h </w:instrText>
        </w:r>
        <w:r w:rsidR="00E1441F">
          <w:rPr>
            <w:noProof/>
            <w:webHidden/>
          </w:rPr>
        </w:r>
        <w:r w:rsidR="00E1441F">
          <w:rPr>
            <w:noProof/>
            <w:webHidden/>
          </w:rPr>
          <w:fldChar w:fldCharType="separate"/>
        </w:r>
        <w:r w:rsidR="00156182">
          <w:rPr>
            <w:noProof/>
            <w:webHidden/>
          </w:rPr>
          <w:t>32</w:t>
        </w:r>
        <w:r w:rsidR="00E1441F">
          <w:rPr>
            <w:noProof/>
            <w:webHidden/>
          </w:rPr>
          <w:fldChar w:fldCharType="end"/>
        </w:r>
      </w:hyperlink>
    </w:p>
    <w:p w14:paraId="456C811A" w14:textId="3215EA73"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79" w:history="1">
        <w:r w:rsidR="00E1441F" w:rsidRPr="00887E02">
          <w:rPr>
            <w:rStyle w:val="Hyperlink"/>
            <w:noProof/>
          </w:rPr>
          <w:t>Appendix 1</w:t>
        </w:r>
        <w:r w:rsidR="00E1441F">
          <w:rPr>
            <w:noProof/>
            <w:webHidden/>
          </w:rPr>
          <w:tab/>
        </w:r>
        <w:r w:rsidR="00E1441F">
          <w:rPr>
            <w:noProof/>
            <w:webHidden/>
          </w:rPr>
          <w:fldChar w:fldCharType="begin"/>
        </w:r>
        <w:r w:rsidR="00E1441F">
          <w:rPr>
            <w:noProof/>
            <w:webHidden/>
          </w:rPr>
          <w:instrText xml:space="preserve"> PAGEREF _Toc41306079 \h </w:instrText>
        </w:r>
        <w:r w:rsidR="00E1441F">
          <w:rPr>
            <w:noProof/>
            <w:webHidden/>
          </w:rPr>
        </w:r>
        <w:r w:rsidR="00E1441F">
          <w:rPr>
            <w:noProof/>
            <w:webHidden/>
          </w:rPr>
          <w:fldChar w:fldCharType="separate"/>
        </w:r>
        <w:r w:rsidR="00156182">
          <w:rPr>
            <w:noProof/>
            <w:webHidden/>
          </w:rPr>
          <w:t>33</w:t>
        </w:r>
        <w:r w:rsidR="00E1441F">
          <w:rPr>
            <w:noProof/>
            <w:webHidden/>
          </w:rPr>
          <w:fldChar w:fldCharType="end"/>
        </w:r>
      </w:hyperlink>
    </w:p>
    <w:p w14:paraId="6EA19B4F" w14:textId="04436D45" w:rsidR="00E1441F" w:rsidRDefault="00F977B8">
      <w:pPr>
        <w:pStyle w:val="TOC3"/>
        <w:tabs>
          <w:tab w:val="right" w:leader="dot" w:pos="9628"/>
        </w:tabs>
        <w:rPr>
          <w:rFonts w:eastAsiaTheme="minorEastAsia" w:cstheme="minorBidi"/>
          <w:noProof/>
          <w:color w:val="auto"/>
          <w:sz w:val="24"/>
          <w:szCs w:val="24"/>
          <w:lang w:eastAsia="en-US"/>
        </w:rPr>
      </w:pPr>
      <w:hyperlink w:anchor="_Toc41306080" w:history="1">
        <w:r w:rsidR="00E1441F" w:rsidRPr="00887E02">
          <w:rPr>
            <w:rStyle w:val="Hyperlink"/>
            <w:noProof/>
          </w:rPr>
          <w:t>Extract of relevant approaches to costings from the former Chief Executive Officer, Magistrates’ Court of Victoria</w:t>
        </w:r>
        <w:r w:rsidR="00E1441F">
          <w:rPr>
            <w:noProof/>
            <w:webHidden/>
          </w:rPr>
          <w:tab/>
        </w:r>
        <w:r w:rsidR="00E1441F">
          <w:rPr>
            <w:noProof/>
            <w:webHidden/>
          </w:rPr>
          <w:fldChar w:fldCharType="begin"/>
        </w:r>
        <w:r w:rsidR="00E1441F">
          <w:rPr>
            <w:noProof/>
            <w:webHidden/>
          </w:rPr>
          <w:instrText xml:space="preserve"> PAGEREF _Toc41306080 \h </w:instrText>
        </w:r>
        <w:r w:rsidR="00E1441F">
          <w:rPr>
            <w:noProof/>
            <w:webHidden/>
          </w:rPr>
        </w:r>
        <w:r w:rsidR="00E1441F">
          <w:rPr>
            <w:noProof/>
            <w:webHidden/>
          </w:rPr>
          <w:fldChar w:fldCharType="separate"/>
        </w:r>
        <w:r w:rsidR="00156182">
          <w:rPr>
            <w:noProof/>
            <w:webHidden/>
          </w:rPr>
          <w:t>33</w:t>
        </w:r>
        <w:r w:rsidR="00E1441F">
          <w:rPr>
            <w:noProof/>
            <w:webHidden/>
          </w:rPr>
          <w:fldChar w:fldCharType="end"/>
        </w:r>
      </w:hyperlink>
    </w:p>
    <w:p w14:paraId="48D00FDF" w14:textId="536E25C2"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81" w:history="1">
        <w:r w:rsidR="00E1441F" w:rsidRPr="00887E02">
          <w:rPr>
            <w:rStyle w:val="Hyperlink"/>
            <w:noProof/>
          </w:rPr>
          <w:t>Appendix 2</w:t>
        </w:r>
        <w:r w:rsidR="00E1441F">
          <w:rPr>
            <w:noProof/>
            <w:webHidden/>
          </w:rPr>
          <w:tab/>
        </w:r>
        <w:r w:rsidR="00E1441F">
          <w:rPr>
            <w:noProof/>
            <w:webHidden/>
          </w:rPr>
          <w:fldChar w:fldCharType="begin"/>
        </w:r>
        <w:r w:rsidR="00E1441F">
          <w:rPr>
            <w:noProof/>
            <w:webHidden/>
          </w:rPr>
          <w:instrText xml:space="preserve"> PAGEREF _Toc41306081 \h </w:instrText>
        </w:r>
        <w:r w:rsidR="00E1441F">
          <w:rPr>
            <w:noProof/>
            <w:webHidden/>
          </w:rPr>
        </w:r>
        <w:r w:rsidR="00E1441F">
          <w:rPr>
            <w:noProof/>
            <w:webHidden/>
          </w:rPr>
          <w:fldChar w:fldCharType="separate"/>
        </w:r>
        <w:r w:rsidR="00156182">
          <w:rPr>
            <w:noProof/>
            <w:webHidden/>
          </w:rPr>
          <w:t>37</w:t>
        </w:r>
        <w:r w:rsidR="00E1441F">
          <w:rPr>
            <w:noProof/>
            <w:webHidden/>
          </w:rPr>
          <w:fldChar w:fldCharType="end"/>
        </w:r>
      </w:hyperlink>
    </w:p>
    <w:p w14:paraId="70FDC6AF" w14:textId="2349BA05" w:rsidR="00E1441F" w:rsidRDefault="00F977B8">
      <w:pPr>
        <w:pStyle w:val="TOC3"/>
        <w:tabs>
          <w:tab w:val="right" w:leader="dot" w:pos="9628"/>
        </w:tabs>
        <w:rPr>
          <w:rFonts w:eastAsiaTheme="minorEastAsia" w:cstheme="minorBidi"/>
          <w:noProof/>
          <w:color w:val="auto"/>
          <w:sz w:val="24"/>
          <w:szCs w:val="24"/>
          <w:lang w:eastAsia="en-US"/>
        </w:rPr>
      </w:pPr>
      <w:hyperlink w:anchor="_Toc41306082" w:history="1">
        <w:r w:rsidR="00E1441F" w:rsidRPr="00887E02">
          <w:rPr>
            <w:rStyle w:val="Hyperlink"/>
            <w:noProof/>
          </w:rPr>
          <w:t>Copy of the submission of the Secretary to the Department of Treasury and Finance</w:t>
        </w:r>
        <w:r w:rsidR="00E1441F">
          <w:rPr>
            <w:noProof/>
            <w:webHidden/>
          </w:rPr>
          <w:tab/>
        </w:r>
        <w:r w:rsidR="00E1441F">
          <w:rPr>
            <w:noProof/>
            <w:webHidden/>
          </w:rPr>
          <w:fldChar w:fldCharType="begin"/>
        </w:r>
        <w:r w:rsidR="00E1441F">
          <w:rPr>
            <w:noProof/>
            <w:webHidden/>
          </w:rPr>
          <w:instrText xml:space="preserve"> PAGEREF _Toc41306082 \h </w:instrText>
        </w:r>
        <w:r w:rsidR="00E1441F">
          <w:rPr>
            <w:noProof/>
            <w:webHidden/>
          </w:rPr>
        </w:r>
        <w:r w:rsidR="00E1441F">
          <w:rPr>
            <w:noProof/>
            <w:webHidden/>
          </w:rPr>
          <w:fldChar w:fldCharType="separate"/>
        </w:r>
        <w:r w:rsidR="00156182">
          <w:rPr>
            <w:noProof/>
            <w:webHidden/>
          </w:rPr>
          <w:t>37</w:t>
        </w:r>
        <w:r w:rsidR="00E1441F">
          <w:rPr>
            <w:noProof/>
            <w:webHidden/>
          </w:rPr>
          <w:fldChar w:fldCharType="end"/>
        </w:r>
      </w:hyperlink>
    </w:p>
    <w:p w14:paraId="52BC1E43" w14:textId="575BBEC1" w:rsidR="00E1441F" w:rsidRDefault="00F977B8">
      <w:pPr>
        <w:pStyle w:val="TOC2"/>
        <w:tabs>
          <w:tab w:val="right" w:leader="dot" w:pos="9628"/>
        </w:tabs>
        <w:rPr>
          <w:rFonts w:eastAsiaTheme="minorEastAsia" w:cstheme="minorBidi"/>
          <w:b w:val="0"/>
          <w:bCs w:val="0"/>
          <w:noProof/>
          <w:color w:val="auto"/>
          <w:sz w:val="24"/>
          <w:szCs w:val="24"/>
          <w:lang w:eastAsia="en-US"/>
        </w:rPr>
      </w:pPr>
      <w:hyperlink w:anchor="_Toc41306083" w:history="1">
        <w:r w:rsidR="00E1441F" w:rsidRPr="00887E02">
          <w:rPr>
            <w:rStyle w:val="Hyperlink"/>
            <w:noProof/>
          </w:rPr>
          <w:t>Appendix 3</w:t>
        </w:r>
        <w:r w:rsidR="00E1441F">
          <w:rPr>
            <w:noProof/>
            <w:webHidden/>
          </w:rPr>
          <w:tab/>
        </w:r>
        <w:r w:rsidR="00E1441F">
          <w:rPr>
            <w:noProof/>
            <w:webHidden/>
          </w:rPr>
          <w:fldChar w:fldCharType="begin"/>
        </w:r>
        <w:r w:rsidR="00E1441F">
          <w:rPr>
            <w:noProof/>
            <w:webHidden/>
          </w:rPr>
          <w:instrText xml:space="preserve"> PAGEREF _Toc41306083 \h </w:instrText>
        </w:r>
        <w:r w:rsidR="00E1441F">
          <w:rPr>
            <w:noProof/>
            <w:webHidden/>
          </w:rPr>
        </w:r>
        <w:r w:rsidR="00E1441F">
          <w:rPr>
            <w:noProof/>
            <w:webHidden/>
          </w:rPr>
          <w:fldChar w:fldCharType="separate"/>
        </w:r>
        <w:r w:rsidR="00156182">
          <w:rPr>
            <w:noProof/>
            <w:webHidden/>
          </w:rPr>
          <w:t>40</w:t>
        </w:r>
        <w:r w:rsidR="00E1441F">
          <w:rPr>
            <w:noProof/>
            <w:webHidden/>
          </w:rPr>
          <w:fldChar w:fldCharType="end"/>
        </w:r>
      </w:hyperlink>
    </w:p>
    <w:p w14:paraId="15E1BF64" w14:textId="4109BFE4" w:rsidR="00E1441F" w:rsidRDefault="00F977B8">
      <w:pPr>
        <w:pStyle w:val="TOC3"/>
        <w:tabs>
          <w:tab w:val="right" w:leader="dot" w:pos="9628"/>
        </w:tabs>
        <w:rPr>
          <w:rFonts w:eastAsiaTheme="minorEastAsia" w:cstheme="minorBidi"/>
          <w:noProof/>
          <w:color w:val="auto"/>
          <w:sz w:val="24"/>
          <w:szCs w:val="24"/>
          <w:lang w:eastAsia="en-US"/>
        </w:rPr>
      </w:pPr>
      <w:hyperlink w:anchor="_Toc41306084" w:history="1">
        <w:r w:rsidR="00E1441F" w:rsidRPr="00887E02">
          <w:rPr>
            <w:rStyle w:val="Hyperlink"/>
            <w:noProof/>
          </w:rPr>
          <w:t>Copy of the letter received from CSV on 11 February 2020</w:t>
        </w:r>
        <w:r w:rsidR="00E1441F">
          <w:rPr>
            <w:noProof/>
            <w:webHidden/>
          </w:rPr>
          <w:tab/>
        </w:r>
        <w:r w:rsidR="00E1441F">
          <w:rPr>
            <w:noProof/>
            <w:webHidden/>
          </w:rPr>
          <w:fldChar w:fldCharType="begin"/>
        </w:r>
        <w:r w:rsidR="00E1441F">
          <w:rPr>
            <w:noProof/>
            <w:webHidden/>
          </w:rPr>
          <w:instrText xml:space="preserve"> PAGEREF _Toc41306084 \h </w:instrText>
        </w:r>
        <w:r w:rsidR="00E1441F">
          <w:rPr>
            <w:noProof/>
            <w:webHidden/>
          </w:rPr>
        </w:r>
        <w:r w:rsidR="00E1441F">
          <w:rPr>
            <w:noProof/>
            <w:webHidden/>
          </w:rPr>
          <w:fldChar w:fldCharType="separate"/>
        </w:r>
        <w:r w:rsidR="00156182">
          <w:rPr>
            <w:noProof/>
            <w:webHidden/>
          </w:rPr>
          <w:t>40</w:t>
        </w:r>
        <w:r w:rsidR="00E1441F">
          <w:rPr>
            <w:noProof/>
            <w:webHidden/>
          </w:rPr>
          <w:fldChar w:fldCharType="end"/>
        </w:r>
      </w:hyperlink>
    </w:p>
    <w:p w14:paraId="0752464A" w14:textId="3DC0B263" w:rsidR="009F0180" w:rsidRDefault="0018174D" w:rsidP="00BD6777">
      <w:r>
        <w:rPr>
          <w:b/>
          <w:bCs/>
          <w:i/>
          <w:iCs/>
          <w:caps/>
          <w:sz w:val="20"/>
          <w:szCs w:val="20"/>
        </w:rPr>
        <w:fldChar w:fldCharType="end"/>
      </w:r>
    </w:p>
    <w:p w14:paraId="7A5F39A1" w14:textId="77777777" w:rsidR="009F0180" w:rsidRDefault="009F0180" w:rsidP="00F04848"/>
    <w:p w14:paraId="3232D0E5" w14:textId="77777777" w:rsidR="009F0180" w:rsidRDefault="009F0180" w:rsidP="00983A23"/>
    <w:p w14:paraId="3DE5452F" w14:textId="77777777" w:rsidR="00D31F40" w:rsidRDefault="00D31F40">
      <w:pPr>
        <w:autoSpaceDE/>
        <w:autoSpaceDN/>
        <w:adjustRightInd/>
        <w:spacing w:before="0" w:after="0"/>
        <w:rPr>
          <w:rFonts w:eastAsia="Times New Roman"/>
          <w:b/>
          <w:bCs/>
          <w:color w:val="0063A6"/>
          <w:kern w:val="32"/>
          <w:sz w:val="32"/>
          <w:szCs w:val="32"/>
        </w:rPr>
      </w:pPr>
      <w:r>
        <w:br w:type="page"/>
      </w:r>
    </w:p>
    <w:p w14:paraId="16CA61DB" w14:textId="3418FE6C" w:rsidR="00E46A53" w:rsidRDefault="003747D1" w:rsidP="003747D1">
      <w:pPr>
        <w:pStyle w:val="Heading1"/>
      </w:pPr>
      <w:bookmarkStart w:id="0" w:name="_Toc41306026"/>
      <w:r>
        <w:lastRenderedPageBreak/>
        <w:t xml:space="preserve">Panel </w:t>
      </w:r>
      <w:r w:rsidR="00A277D2">
        <w:t>f</w:t>
      </w:r>
      <w:r>
        <w:t>oreword</w:t>
      </w:r>
      <w:bookmarkEnd w:id="0"/>
    </w:p>
    <w:p w14:paraId="60C21CF2" w14:textId="3BBC2AAB" w:rsidR="00E32333" w:rsidRDefault="00E32333" w:rsidP="00E46A53">
      <w:r>
        <w:t xml:space="preserve">The Judicial Entitlement Panel’s recommendations and our response to the submissions received are grounded in the factors the </w:t>
      </w:r>
      <w:r w:rsidRPr="00E32333">
        <w:rPr>
          <w:i/>
          <w:iCs/>
        </w:rPr>
        <w:t>Judicial Entitlements Act 2015</w:t>
      </w:r>
      <w:r>
        <w:t xml:space="preserve"> requires us to consider.</w:t>
      </w:r>
    </w:p>
    <w:p w14:paraId="3CBDAF99" w14:textId="33A66CA9" w:rsidR="00E32333" w:rsidRDefault="00E32333" w:rsidP="00E46A53">
      <w:r>
        <w:t xml:space="preserve">The legislation requires us to consider, </w:t>
      </w:r>
      <w:r>
        <w:rPr>
          <w:i/>
          <w:iCs/>
        </w:rPr>
        <w:t>inter alia</w:t>
      </w:r>
      <w:r>
        <w:t>:</w:t>
      </w:r>
    </w:p>
    <w:p w14:paraId="12A37141" w14:textId="26E76C9D" w:rsidR="00E32333" w:rsidRDefault="00E32333" w:rsidP="00956138">
      <w:pPr>
        <w:pStyle w:val="ListParagraph"/>
        <w:numPr>
          <w:ilvl w:val="0"/>
          <w:numId w:val="31"/>
        </w:numPr>
        <w:spacing w:before="240" w:after="240"/>
        <w:ind w:left="714" w:hanging="357"/>
      </w:pPr>
      <w:r>
        <w:t>the importance of the judicial function to the community</w:t>
      </w:r>
    </w:p>
    <w:p w14:paraId="659EE78A" w14:textId="3E46E821" w:rsidR="00E32333" w:rsidRDefault="00E32333" w:rsidP="00956138">
      <w:pPr>
        <w:pStyle w:val="ListParagraph"/>
        <w:numPr>
          <w:ilvl w:val="0"/>
          <w:numId w:val="31"/>
        </w:numPr>
        <w:spacing w:before="240" w:after="240"/>
        <w:ind w:left="714" w:hanging="357"/>
      </w:pPr>
      <w:r>
        <w:t>the need to maintain the standing of the judiciary in the community</w:t>
      </w:r>
    </w:p>
    <w:p w14:paraId="3F3A0E22" w14:textId="6886428B" w:rsidR="00E32333" w:rsidRDefault="00E32333" w:rsidP="00956138">
      <w:pPr>
        <w:pStyle w:val="ListParagraph"/>
        <w:numPr>
          <w:ilvl w:val="0"/>
          <w:numId w:val="31"/>
        </w:numPr>
        <w:spacing w:before="240" w:after="240"/>
        <w:ind w:left="714" w:hanging="357"/>
      </w:pPr>
      <w:r>
        <w:t>the need to attract and retain suitably qualified candidates to judicial office, and</w:t>
      </w:r>
    </w:p>
    <w:p w14:paraId="0ACAB297" w14:textId="1B9445A4" w:rsidR="00E32333" w:rsidRPr="00E32333" w:rsidRDefault="00E32333" w:rsidP="00956138">
      <w:pPr>
        <w:pStyle w:val="ListParagraph"/>
        <w:numPr>
          <w:ilvl w:val="0"/>
          <w:numId w:val="31"/>
        </w:numPr>
        <w:spacing w:before="240" w:after="240"/>
        <w:ind w:left="714" w:hanging="357"/>
      </w:pPr>
      <w:r>
        <w:t>the capacity of the State to me</w:t>
      </w:r>
      <w:r w:rsidR="006960EC">
        <w:t>e</w:t>
      </w:r>
      <w:r>
        <w:t>t any proposal for more generous conditions of service.</w:t>
      </w:r>
    </w:p>
    <w:p w14:paraId="2FAEC5D5" w14:textId="6D366A5B" w:rsidR="00837DAD" w:rsidRDefault="00E32333" w:rsidP="00E46A53">
      <w:r>
        <w:t>We were also guided by the</w:t>
      </w:r>
      <w:r w:rsidR="00CD667F">
        <w:t xml:space="preserve"> </w:t>
      </w:r>
      <w:r w:rsidR="005F5306">
        <w:t xml:space="preserve">principles of equity, </w:t>
      </w:r>
      <w:proofErr w:type="gramStart"/>
      <w:r w:rsidR="005F5306">
        <w:t>sustainability</w:t>
      </w:r>
      <w:proofErr w:type="gramEnd"/>
      <w:r w:rsidR="005F5306">
        <w:t xml:space="preserve"> and practicality. </w:t>
      </w:r>
    </w:p>
    <w:p w14:paraId="77A1765F" w14:textId="40546E2C" w:rsidR="0080621B" w:rsidRDefault="0080621B" w:rsidP="00E46A53">
      <w:r>
        <w:t xml:space="preserve">Equity underpins our </w:t>
      </w:r>
      <w:r w:rsidR="00E32333">
        <w:t xml:space="preserve">support for the modest submissions of the Supreme Court of Victoria in relation to associate judges and reserve associate judges. The cost of implementing our recommendations on these issues is negligible. </w:t>
      </w:r>
    </w:p>
    <w:p w14:paraId="5A89C449" w14:textId="3AA371E1" w:rsidR="00CD667F" w:rsidRDefault="001C0895" w:rsidP="00E46A53">
      <w:r>
        <w:t xml:space="preserve">Equity also </w:t>
      </w:r>
      <w:r w:rsidR="00E32333">
        <w:t xml:space="preserve">requires the Government to address the recommendation in our previous report, reiterated here, that magistrates are granted six weeks’ annual leave as a first step. Judges enjoy eight weeks’ annual leave. Members of Victoria Police and Emergency Service workers also have annual leave entitlements </w:t>
      </w:r>
      <w:proofErr w:type="gramStart"/>
      <w:r w:rsidR="00E32333">
        <w:t>in excess of</w:t>
      </w:r>
      <w:proofErr w:type="gramEnd"/>
      <w:r w:rsidR="00E32333">
        <w:t xml:space="preserve"> those enjoyed by the wider community. M</w:t>
      </w:r>
      <w:r w:rsidR="006960EC">
        <w:t xml:space="preserve">agistrates work at the sharp end of the judicial system and – for reasons for equity, </w:t>
      </w:r>
      <w:proofErr w:type="gramStart"/>
      <w:r w:rsidR="006960EC">
        <w:t>well-being</w:t>
      </w:r>
      <w:proofErr w:type="gramEnd"/>
      <w:r w:rsidR="006960EC">
        <w:t xml:space="preserve"> and sustainability – should be similarly entitled to longer annual leave. The cost of implementing this recommendation, which would require the appointment of an additional three magistrates, is not insignificant, but is a small increase to the Budget and the overall cost of the Victorian justice system.</w:t>
      </w:r>
    </w:p>
    <w:p w14:paraId="795BCE89" w14:textId="3FF91E11" w:rsidR="00E44C8F" w:rsidRDefault="006960EC" w:rsidP="00E46A53">
      <w:r>
        <w:t xml:space="preserve">Fiscal prudence, as required by the legislation, is reflected in our recommendations on the issues the Panel supported </w:t>
      </w:r>
      <w:proofErr w:type="gramStart"/>
      <w:r>
        <w:t>and also</w:t>
      </w:r>
      <w:proofErr w:type="gramEnd"/>
      <w:r>
        <w:t xml:space="preserve"> in the many submissions we did not support, as detailed in the report that follows.</w:t>
      </w:r>
    </w:p>
    <w:p w14:paraId="5F1E7E8E" w14:textId="5F319546" w:rsidR="00E46A53" w:rsidRDefault="00252070" w:rsidP="00E46A53">
      <w:r>
        <w:t>Lastly, it is key for judicial entitlements to be practical and simple to administer. This view underpinned our recommendation to clarify long service leave accrues in accordance with standard practice</w:t>
      </w:r>
      <w:r w:rsidR="00C25B0D">
        <w:t>,</w:t>
      </w:r>
      <w:r w:rsidR="00D070F3">
        <w:t xml:space="preserve"> rather than after each completed year of service. </w:t>
      </w:r>
      <w:r w:rsidR="00A66D21">
        <w:t>The importance of p</w:t>
      </w:r>
      <w:r w:rsidR="00D070F3">
        <w:t xml:space="preserve">ractically also led us to </w:t>
      </w:r>
      <w:r w:rsidR="006960EC">
        <w:t>reject</w:t>
      </w:r>
      <w:r w:rsidR="00C25B0D">
        <w:t xml:space="preserve"> administratively complex proposals.</w:t>
      </w:r>
    </w:p>
    <w:p w14:paraId="437A6BE3" w14:textId="3480095C" w:rsidR="007F1F46" w:rsidRDefault="00CD667F" w:rsidP="00E46A53">
      <w:r>
        <w:t>In addition to these three principles, the recommendations are based on our research and consultations with the Courts</w:t>
      </w:r>
      <w:r w:rsidR="00D070F3">
        <w:t>, which allowed us</w:t>
      </w:r>
      <w:r>
        <w:t xml:space="preserve"> to gain an understanding of the operation of existing entitlements and concerns among judicial officers.</w:t>
      </w:r>
    </w:p>
    <w:p w14:paraId="4A89C8C4" w14:textId="3C5A1A89" w:rsidR="007F1F46" w:rsidRDefault="007F1F46" w:rsidP="00E46A53">
      <w:r w:rsidRPr="00230347">
        <w:rPr>
          <w:noProof/>
        </w:rPr>
        <w:drawing>
          <wp:anchor distT="0" distB="0" distL="114300" distR="114300" simplePos="0" relativeHeight="251662336" behindDoc="1" locked="0" layoutInCell="1" allowOverlap="1" wp14:anchorId="441ECE91" wp14:editId="6442ECF6">
            <wp:simplePos x="0" y="0"/>
            <wp:positionH relativeFrom="column">
              <wp:posOffset>-58420</wp:posOffset>
            </wp:positionH>
            <wp:positionV relativeFrom="paragraph">
              <wp:posOffset>225276</wp:posOffset>
            </wp:positionV>
            <wp:extent cx="6235430" cy="852805"/>
            <wp:effectExtent l="0" t="0" r="635" b="0"/>
            <wp:wrapNone/>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5430" cy="852805"/>
                    </a:xfrm>
                    <a:prstGeom prst="rect">
                      <a:avLst/>
                    </a:prstGeom>
                  </pic:spPr>
                </pic:pic>
              </a:graphicData>
            </a:graphic>
            <wp14:sizeRelH relativeFrom="page">
              <wp14:pctWidth>0</wp14:pctWidth>
            </wp14:sizeRelH>
            <wp14:sizeRelV relativeFrom="page">
              <wp14:pctHeight>0</wp14:pctHeight>
            </wp14:sizeRelV>
          </wp:anchor>
        </w:drawing>
      </w:r>
    </w:p>
    <w:p w14:paraId="3BD8AC56" w14:textId="647D7764" w:rsidR="00230347" w:rsidRDefault="00230347" w:rsidP="00E46A53"/>
    <w:p w14:paraId="1CC51683" w14:textId="6E02BC91" w:rsidR="000704BB" w:rsidRDefault="00070267" w:rsidP="00E46A53">
      <w: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3209"/>
        <w:gridCol w:w="3209"/>
        <w:gridCol w:w="3210"/>
      </w:tblGrid>
      <w:tr w:rsidR="00CE16AD" w14:paraId="036126A1" w14:textId="77777777" w:rsidTr="00CE16AD">
        <w:tc>
          <w:tcPr>
            <w:tcW w:w="3209" w:type="dxa"/>
            <w:vAlign w:val="center"/>
          </w:tcPr>
          <w:p w14:paraId="761797B8" w14:textId="77777777" w:rsidR="00CE16AD" w:rsidRPr="00CE16AD" w:rsidRDefault="00CE16AD" w:rsidP="00CE16AD">
            <w:pPr>
              <w:spacing w:before="0" w:after="0"/>
              <w:jc w:val="center"/>
              <w:rPr>
                <w:b/>
              </w:rPr>
            </w:pPr>
            <w:r w:rsidRPr="00CE16AD">
              <w:rPr>
                <w:b/>
              </w:rPr>
              <w:t>Bruce Hartnett AM</w:t>
            </w:r>
          </w:p>
          <w:p w14:paraId="7A506241" w14:textId="02245E04" w:rsidR="00CE16AD" w:rsidRDefault="00CE16AD" w:rsidP="00CE16AD">
            <w:pPr>
              <w:spacing w:before="0" w:after="0"/>
              <w:jc w:val="center"/>
            </w:pPr>
            <w:r>
              <w:t>Chairperson</w:t>
            </w:r>
          </w:p>
        </w:tc>
        <w:tc>
          <w:tcPr>
            <w:tcW w:w="3209" w:type="dxa"/>
            <w:vAlign w:val="center"/>
          </w:tcPr>
          <w:p w14:paraId="48376FC8" w14:textId="3D66061F" w:rsidR="00CE16AD" w:rsidRPr="00CE16AD" w:rsidRDefault="00C27493" w:rsidP="00CE16AD">
            <w:pPr>
              <w:spacing w:before="0" w:after="0"/>
              <w:jc w:val="center"/>
              <w:rPr>
                <w:b/>
              </w:rPr>
            </w:pPr>
            <w:r w:rsidRPr="00CE16AD">
              <w:rPr>
                <w:b/>
              </w:rPr>
              <w:t>Kath</w:t>
            </w:r>
            <w:r>
              <w:rPr>
                <w:b/>
              </w:rPr>
              <w:t>leen</w:t>
            </w:r>
            <w:r w:rsidRPr="00CE16AD">
              <w:rPr>
                <w:b/>
              </w:rPr>
              <w:t xml:space="preserve"> </w:t>
            </w:r>
            <w:r w:rsidR="00CE16AD" w:rsidRPr="00CE16AD">
              <w:rPr>
                <w:b/>
              </w:rPr>
              <w:t>Townsend</w:t>
            </w:r>
          </w:p>
          <w:p w14:paraId="4E30C9EC" w14:textId="11C82B92" w:rsidR="00CE16AD" w:rsidRDefault="00CE16AD" w:rsidP="00CE16AD">
            <w:pPr>
              <w:spacing w:before="0" w:after="0"/>
              <w:jc w:val="center"/>
            </w:pPr>
            <w:r>
              <w:t>Member</w:t>
            </w:r>
          </w:p>
        </w:tc>
        <w:tc>
          <w:tcPr>
            <w:tcW w:w="3210" w:type="dxa"/>
            <w:vAlign w:val="center"/>
          </w:tcPr>
          <w:p w14:paraId="473C3756" w14:textId="77777777" w:rsidR="00CE16AD" w:rsidRPr="00CE16AD" w:rsidRDefault="00CE16AD" w:rsidP="00CE16AD">
            <w:pPr>
              <w:spacing w:before="0" w:after="0"/>
              <w:jc w:val="center"/>
              <w:rPr>
                <w:b/>
              </w:rPr>
            </w:pPr>
            <w:r w:rsidRPr="00CE16AD">
              <w:rPr>
                <w:b/>
              </w:rPr>
              <w:t>Ilona Charles</w:t>
            </w:r>
          </w:p>
          <w:p w14:paraId="40BF3BAD" w14:textId="6C23BA07" w:rsidR="00CE16AD" w:rsidRDefault="00CE16AD" w:rsidP="00CE16AD">
            <w:pPr>
              <w:spacing w:before="0" w:after="0"/>
              <w:jc w:val="center"/>
            </w:pPr>
            <w:r>
              <w:t>Member</w:t>
            </w:r>
          </w:p>
        </w:tc>
      </w:tr>
    </w:tbl>
    <w:p w14:paraId="378FCDAE" w14:textId="6D18D61D" w:rsidR="003747D1" w:rsidRDefault="003747D1" w:rsidP="00E46A53">
      <w:r>
        <w:br w:type="page"/>
      </w:r>
    </w:p>
    <w:p w14:paraId="5E50657A" w14:textId="084CB9E0" w:rsidR="00DE52EC" w:rsidRDefault="003747D1" w:rsidP="00DE52EC">
      <w:pPr>
        <w:pStyle w:val="Heading1"/>
        <w:rPr>
          <w:rFonts w:eastAsia="Calibri"/>
        </w:rPr>
      </w:pPr>
      <w:bookmarkStart w:id="1" w:name="_Toc41306027"/>
      <w:r>
        <w:rPr>
          <w:rFonts w:eastAsia="Calibri"/>
        </w:rPr>
        <w:lastRenderedPageBreak/>
        <w:t>Summary of r</w:t>
      </w:r>
      <w:r w:rsidRPr="00327B54">
        <w:rPr>
          <w:rFonts w:eastAsia="Calibri"/>
        </w:rPr>
        <w:t>ecommendations</w:t>
      </w:r>
      <w:r w:rsidR="00E3369E">
        <w:rPr>
          <w:rFonts w:eastAsia="Calibri"/>
        </w:rPr>
        <w:t xml:space="preserve"> and observations</w:t>
      </w:r>
      <w:bookmarkEnd w:id="1"/>
    </w:p>
    <w:p w14:paraId="2C9FF733" w14:textId="0000DD7A" w:rsidR="00DE52EC" w:rsidRDefault="00DE52EC" w:rsidP="00DE52EC">
      <w:r>
        <w:t xml:space="preserve">Page references in this section of the report are to the first </w:t>
      </w:r>
      <w:r w:rsidR="00240B59">
        <w:t xml:space="preserve">page </w:t>
      </w:r>
      <w:r w:rsidR="00572AC4">
        <w:t xml:space="preserve">of </w:t>
      </w:r>
      <w:r>
        <w:t xml:space="preserve">the discussion of </w:t>
      </w:r>
      <w:r w:rsidR="00572AC4">
        <w:t xml:space="preserve">the </w:t>
      </w:r>
      <w:r>
        <w:t>issue.</w:t>
      </w:r>
    </w:p>
    <w:p w14:paraId="08B00F6F" w14:textId="0400F064" w:rsidR="004613CE" w:rsidRPr="00DE52EC" w:rsidRDefault="004613CE" w:rsidP="00707333">
      <w:pPr>
        <w:pStyle w:val="Heading2"/>
      </w:pPr>
      <w:bookmarkStart w:id="2" w:name="_Toc41306028"/>
      <w:r>
        <w:t>Recommendations</w:t>
      </w:r>
      <w:bookmarkEnd w:id="2"/>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84"/>
        <w:gridCol w:w="7218"/>
      </w:tblGrid>
      <w:tr w:rsidR="003747D1" w:rsidRPr="003603F0" w14:paraId="7065AB61" w14:textId="77777777" w:rsidTr="003747D1">
        <w:tc>
          <w:tcPr>
            <w:tcW w:w="2410" w:type="dxa"/>
            <w:gridSpan w:val="2"/>
          </w:tcPr>
          <w:p w14:paraId="4CF98DD2" w14:textId="77777777" w:rsidR="003747D1" w:rsidRPr="00E86658" w:rsidRDefault="003747D1" w:rsidP="00956138">
            <w:pPr>
              <w:pStyle w:val="ListParagraph"/>
              <w:numPr>
                <w:ilvl w:val="0"/>
                <w:numId w:val="23"/>
              </w:numPr>
              <w:spacing w:before="60" w:after="60"/>
              <w:rPr>
                <w:color w:val="0063A6"/>
              </w:rPr>
            </w:pPr>
          </w:p>
        </w:tc>
        <w:tc>
          <w:tcPr>
            <w:tcW w:w="7218" w:type="dxa"/>
          </w:tcPr>
          <w:p w14:paraId="1CC2989E" w14:textId="097BD46A" w:rsidR="003747D1" w:rsidRPr="003603F0" w:rsidRDefault="003747D1" w:rsidP="00240B59">
            <w:pPr>
              <w:spacing w:before="60" w:after="60"/>
              <w:rPr>
                <w:i/>
                <w:color w:val="0063A6"/>
              </w:rPr>
            </w:pPr>
            <w:r w:rsidRPr="00965370">
              <w:rPr>
                <w:i/>
                <w:color w:val="0063A6"/>
              </w:rPr>
              <w:t>(page</w:t>
            </w:r>
            <w:r w:rsidR="00965370">
              <w:rPr>
                <w:i/>
                <w:color w:val="0063A6"/>
              </w:rPr>
              <w:t xml:space="preserve"> </w:t>
            </w:r>
            <w:r w:rsidR="00965370" w:rsidRPr="00D9469D">
              <w:rPr>
                <w:i/>
                <w:color w:val="0063A6"/>
              </w:rPr>
              <w:t>1</w:t>
            </w:r>
            <w:r w:rsidR="000D0EE7" w:rsidRPr="00D9469D">
              <w:rPr>
                <w:i/>
                <w:color w:val="0063A6"/>
              </w:rPr>
              <w:t>5</w:t>
            </w:r>
            <w:r w:rsidR="005A017E">
              <w:rPr>
                <w:i/>
                <w:color w:val="0063A6"/>
              </w:rPr>
              <w:t>)</w:t>
            </w:r>
          </w:p>
        </w:tc>
      </w:tr>
      <w:tr w:rsidR="003747D1" w:rsidRPr="003603F0" w14:paraId="16DC79EF" w14:textId="77777777" w:rsidTr="003747D1">
        <w:tc>
          <w:tcPr>
            <w:tcW w:w="426" w:type="dxa"/>
          </w:tcPr>
          <w:p w14:paraId="076C9B1B" w14:textId="77777777" w:rsidR="003747D1" w:rsidRPr="003603F0" w:rsidRDefault="003747D1" w:rsidP="003747D1">
            <w:pPr>
              <w:pStyle w:val="ListParagraph"/>
              <w:spacing w:before="60" w:after="60"/>
              <w:ind w:left="360"/>
              <w:rPr>
                <w:color w:val="0063A6"/>
              </w:rPr>
            </w:pPr>
          </w:p>
        </w:tc>
        <w:tc>
          <w:tcPr>
            <w:tcW w:w="9202" w:type="dxa"/>
            <w:gridSpan w:val="2"/>
          </w:tcPr>
          <w:p w14:paraId="6C871FD1" w14:textId="6180E75E" w:rsidR="003747D1" w:rsidRPr="003603F0" w:rsidRDefault="0078305C" w:rsidP="003747D1">
            <w:pPr>
              <w:spacing w:before="60" w:after="60"/>
              <w:rPr>
                <w:i/>
                <w:color w:val="0063A6"/>
              </w:rPr>
            </w:pPr>
            <w:r w:rsidRPr="0078305C">
              <w:t xml:space="preserve">The Panel recommends the Attorney-General </w:t>
            </w:r>
            <w:r w:rsidR="002C5F1F">
              <w:t>entitle</w:t>
            </w:r>
            <w:r w:rsidRPr="0078305C">
              <w:t xml:space="preserve"> associate judges of the Supreme Court to</w:t>
            </w:r>
            <w:r w:rsidR="00C32C20">
              <w:t xml:space="preserve"> the same motor vehicle entitlements as </w:t>
            </w:r>
            <w:r w:rsidRPr="0078305C">
              <w:t>County Court judges.</w:t>
            </w:r>
          </w:p>
        </w:tc>
      </w:tr>
      <w:tr w:rsidR="003747D1" w:rsidRPr="003603F0" w14:paraId="65FB33A3" w14:textId="77777777" w:rsidTr="003747D1">
        <w:tc>
          <w:tcPr>
            <w:tcW w:w="2410" w:type="dxa"/>
            <w:gridSpan w:val="2"/>
          </w:tcPr>
          <w:p w14:paraId="233E739C" w14:textId="26B72F40" w:rsidR="003747D1" w:rsidRPr="003603F0" w:rsidRDefault="003747D1" w:rsidP="00956138">
            <w:pPr>
              <w:pStyle w:val="ListParagraph"/>
              <w:numPr>
                <w:ilvl w:val="0"/>
                <w:numId w:val="23"/>
              </w:numPr>
              <w:spacing w:before="60" w:after="60"/>
            </w:pPr>
          </w:p>
        </w:tc>
        <w:tc>
          <w:tcPr>
            <w:tcW w:w="7218" w:type="dxa"/>
          </w:tcPr>
          <w:p w14:paraId="2DE5DA7A" w14:textId="3AA9FEA7" w:rsidR="003747D1" w:rsidRPr="003603F0" w:rsidRDefault="003747D1" w:rsidP="00240B59">
            <w:pPr>
              <w:spacing w:before="60" w:after="60"/>
              <w:rPr>
                <w:i/>
                <w:color w:val="0063A6"/>
              </w:rPr>
            </w:pPr>
            <w:r>
              <w:rPr>
                <w:i/>
                <w:color w:val="0063A6"/>
              </w:rPr>
              <w:t>(</w:t>
            </w:r>
            <w:r w:rsidRPr="00965370">
              <w:rPr>
                <w:i/>
                <w:color w:val="0063A6"/>
              </w:rPr>
              <w:t xml:space="preserve">page </w:t>
            </w:r>
            <w:r w:rsidR="00965370" w:rsidRPr="00D9469D">
              <w:rPr>
                <w:i/>
                <w:color w:val="0063A6"/>
              </w:rPr>
              <w:t>1</w:t>
            </w:r>
            <w:r w:rsidR="000D0EE7" w:rsidRPr="00D9469D">
              <w:rPr>
                <w:i/>
                <w:color w:val="0063A6"/>
              </w:rPr>
              <w:t>6</w:t>
            </w:r>
            <w:r w:rsidR="005A017E">
              <w:rPr>
                <w:i/>
                <w:color w:val="0063A6"/>
              </w:rPr>
              <w:t>)</w:t>
            </w:r>
          </w:p>
        </w:tc>
      </w:tr>
      <w:tr w:rsidR="003747D1" w:rsidRPr="003603F0" w14:paraId="269DF775" w14:textId="77777777" w:rsidTr="003747D1">
        <w:tc>
          <w:tcPr>
            <w:tcW w:w="426" w:type="dxa"/>
          </w:tcPr>
          <w:p w14:paraId="70F8F2B1" w14:textId="77777777" w:rsidR="003747D1" w:rsidRPr="003603F0" w:rsidRDefault="003747D1" w:rsidP="003747D1">
            <w:pPr>
              <w:pStyle w:val="ListParagraph"/>
              <w:spacing w:before="60" w:after="60"/>
              <w:ind w:left="360"/>
              <w:rPr>
                <w:color w:val="0063A6"/>
              </w:rPr>
            </w:pPr>
          </w:p>
        </w:tc>
        <w:tc>
          <w:tcPr>
            <w:tcW w:w="9202" w:type="dxa"/>
            <w:gridSpan w:val="2"/>
          </w:tcPr>
          <w:p w14:paraId="365644E6" w14:textId="4F206CE9" w:rsidR="005808F0" w:rsidRPr="0078305C" w:rsidRDefault="0078305C" w:rsidP="0078305C">
            <w:pPr>
              <w:spacing w:before="60" w:after="60"/>
            </w:pPr>
            <w:r w:rsidRPr="0078305C">
              <w:t>The Panel recommends the Attorney-General amend the entitlement certifi</w:t>
            </w:r>
            <w:r w:rsidR="004D7AE2">
              <w:t>cate</w:t>
            </w:r>
            <w:r w:rsidRPr="0078305C">
              <w:t xml:space="preserve"> issued under the JRT, dated 24 February 2012, to clarify long service leave for judges and the Chief Magistrate accrues </w:t>
            </w:r>
            <w:proofErr w:type="gramStart"/>
            <w:r w:rsidRPr="0078305C">
              <w:t>on a daily basis</w:t>
            </w:r>
            <w:proofErr w:type="gramEnd"/>
            <w:r w:rsidR="00C32C20">
              <w:t>, and not on an anniversary basis</w:t>
            </w:r>
            <w:r w:rsidRPr="0078305C">
              <w:t>. The entitlement certificates dated 8 January 2018, 26 August 2019 and 19 July 2007 should also be amended to clarify</w:t>
            </w:r>
            <w:r w:rsidR="004B7741">
              <w:t xml:space="preserve"> that </w:t>
            </w:r>
            <w:r w:rsidRPr="0078305C">
              <w:t>this approach applies to associate judges, reserve judges and magistrates</w:t>
            </w:r>
            <w:r w:rsidR="005808F0">
              <w:t>.</w:t>
            </w:r>
          </w:p>
        </w:tc>
      </w:tr>
      <w:tr w:rsidR="003747D1" w:rsidRPr="00965370" w14:paraId="5446F8DB" w14:textId="77777777" w:rsidTr="003747D1">
        <w:tc>
          <w:tcPr>
            <w:tcW w:w="2410" w:type="dxa"/>
            <w:gridSpan w:val="2"/>
          </w:tcPr>
          <w:p w14:paraId="152B1D6C" w14:textId="77777777" w:rsidR="003747D1" w:rsidRPr="003603F0" w:rsidRDefault="003747D1" w:rsidP="00956138">
            <w:pPr>
              <w:pStyle w:val="ListParagraph"/>
              <w:numPr>
                <w:ilvl w:val="0"/>
                <w:numId w:val="23"/>
              </w:numPr>
              <w:spacing w:before="60" w:after="60"/>
            </w:pPr>
          </w:p>
        </w:tc>
        <w:tc>
          <w:tcPr>
            <w:tcW w:w="7218" w:type="dxa"/>
          </w:tcPr>
          <w:p w14:paraId="32146A83" w14:textId="2569A2E9" w:rsidR="003747D1" w:rsidRPr="00965370" w:rsidRDefault="003747D1" w:rsidP="00240B59">
            <w:pPr>
              <w:spacing w:before="60" w:after="60"/>
              <w:rPr>
                <w:i/>
                <w:color w:val="0063A6"/>
              </w:rPr>
            </w:pPr>
            <w:r w:rsidRPr="00965370">
              <w:rPr>
                <w:i/>
                <w:color w:val="0063A6"/>
              </w:rPr>
              <w:t xml:space="preserve">(page </w:t>
            </w:r>
            <w:r w:rsidR="007A5DDD">
              <w:rPr>
                <w:i/>
                <w:color w:val="0063A6"/>
              </w:rPr>
              <w:t>17</w:t>
            </w:r>
            <w:r w:rsidR="005A017E" w:rsidRPr="00965370">
              <w:rPr>
                <w:i/>
                <w:color w:val="0063A6"/>
              </w:rPr>
              <w:t>)</w:t>
            </w:r>
          </w:p>
        </w:tc>
      </w:tr>
      <w:tr w:rsidR="003747D1" w:rsidRPr="00965370" w14:paraId="32090262" w14:textId="77777777" w:rsidTr="003747D1">
        <w:tc>
          <w:tcPr>
            <w:tcW w:w="426" w:type="dxa"/>
          </w:tcPr>
          <w:p w14:paraId="41C5DE86" w14:textId="1E16C7CC" w:rsidR="0045446E" w:rsidRPr="0045446E" w:rsidRDefault="0045446E" w:rsidP="0045446E"/>
        </w:tc>
        <w:tc>
          <w:tcPr>
            <w:tcW w:w="9202" w:type="dxa"/>
            <w:gridSpan w:val="2"/>
          </w:tcPr>
          <w:p w14:paraId="5EF682E9" w14:textId="7B797511" w:rsidR="0045446E" w:rsidRPr="00965370" w:rsidRDefault="0078305C" w:rsidP="0045446E">
            <w:pPr>
              <w:spacing w:before="60" w:after="60"/>
              <w:rPr>
                <w:i/>
                <w:color w:val="0063A6"/>
              </w:rPr>
            </w:pPr>
            <w:r w:rsidRPr="00965370">
              <w:t>The Panel recommends the Attorney-General amend the entitlement certificate dated 26 August 2019 to provide that reserve judges’ entitlement to be paid out long service</w:t>
            </w:r>
            <w:r w:rsidR="00D542E0" w:rsidRPr="00965370">
              <w:t xml:space="preserve"> leave</w:t>
            </w:r>
            <w:r w:rsidRPr="00965370">
              <w:t xml:space="preserve"> is calculated on a </w:t>
            </w:r>
            <w:r w:rsidRPr="00965370">
              <w:rPr>
                <w:i/>
              </w:rPr>
              <w:t>pro rata</w:t>
            </w:r>
            <w:r w:rsidRPr="00965370">
              <w:t xml:space="preserve"> basis on the salary for the period of accrual</w:t>
            </w:r>
            <w:r w:rsidR="0045446E">
              <w:t>.</w:t>
            </w:r>
          </w:p>
        </w:tc>
      </w:tr>
      <w:tr w:rsidR="003747D1" w:rsidRPr="00965370" w14:paraId="12DF5E92" w14:textId="77777777" w:rsidTr="003747D1">
        <w:tc>
          <w:tcPr>
            <w:tcW w:w="2410" w:type="dxa"/>
            <w:gridSpan w:val="2"/>
          </w:tcPr>
          <w:p w14:paraId="1EAD25FF" w14:textId="77777777" w:rsidR="003747D1" w:rsidRPr="00965370" w:rsidRDefault="003747D1" w:rsidP="00956138">
            <w:pPr>
              <w:pStyle w:val="ListParagraph"/>
              <w:numPr>
                <w:ilvl w:val="0"/>
                <w:numId w:val="23"/>
              </w:numPr>
              <w:spacing w:before="60" w:after="60"/>
            </w:pPr>
          </w:p>
        </w:tc>
        <w:tc>
          <w:tcPr>
            <w:tcW w:w="7218" w:type="dxa"/>
          </w:tcPr>
          <w:p w14:paraId="73976A8B" w14:textId="4A756B3D" w:rsidR="0045446E" w:rsidRPr="00965370" w:rsidRDefault="003747D1" w:rsidP="00240B59">
            <w:pPr>
              <w:spacing w:before="60" w:after="60"/>
              <w:rPr>
                <w:i/>
                <w:color w:val="0063A6"/>
              </w:rPr>
            </w:pPr>
            <w:r w:rsidRPr="00965370">
              <w:rPr>
                <w:i/>
                <w:color w:val="0063A6"/>
              </w:rPr>
              <w:t xml:space="preserve">(page </w:t>
            </w:r>
            <w:r w:rsidR="007A5DDD">
              <w:rPr>
                <w:i/>
                <w:color w:val="0063A6"/>
              </w:rPr>
              <w:t>17</w:t>
            </w:r>
            <w:r w:rsidR="0045446E">
              <w:rPr>
                <w:i/>
                <w:color w:val="0063A6"/>
              </w:rPr>
              <w:t>)</w:t>
            </w:r>
          </w:p>
        </w:tc>
      </w:tr>
      <w:tr w:rsidR="0045446E" w:rsidRPr="00965370" w14:paraId="4559E335" w14:textId="77777777" w:rsidTr="0045446E">
        <w:tc>
          <w:tcPr>
            <w:tcW w:w="426" w:type="dxa"/>
          </w:tcPr>
          <w:p w14:paraId="39209F10" w14:textId="4DD3949B" w:rsidR="0045446E" w:rsidRPr="00965370" w:rsidRDefault="0045446E" w:rsidP="0045446E">
            <w:pPr>
              <w:spacing w:before="60" w:after="60"/>
            </w:pPr>
          </w:p>
        </w:tc>
        <w:tc>
          <w:tcPr>
            <w:tcW w:w="9202" w:type="dxa"/>
            <w:gridSpan w:val="2"/>
          </w:tcPr>
          <w:p w14:paraId="33830B6B" w14:textId="30282ADC" w:rsidR="0045446E" w:rsidRPr="00965370" w:rsidRDefault="0045446E" w:rsidP="00240B59">
            <w:pPr>
              <w:spacing w:before="60" w:after="60"/>
              <w:rPr>
                <w:i/>
                <w:color w:val="0063A6"/>
              </w:rPr>
            </w:pPr>
            <w:r w:rsidRPr="00C10839">
              <w:t xml:space="preserve">The </w:t>
            </w:r>
            <w:r>
              <w:t>Panel recommends the Attorney-General amend the entitlement certificate dated 19 July 2007 to recognise prior service as an acting magistrate for long service leave purposes</w:t>
            </w:r>
            <w:r w:rsidR="00F64DED">
              <w:t>.</w:t>
            </w:r>
          </w:p>
        </w:tc>
      </w:tr>
      <w:tr w:rsidR="0045446E" w:rsidRPr="00965370" w14:paraId="6AD556F7" w14:textId="77777777" w:rsidTr="003747D1">
        <w:tc>
          <w:tcPr>
            <w:tcW w:w="2410" w:type="dxa"/>
            <w:gridSpan w:val="2"/>
          </w:tcPr>
          <w:p w14:paraId="1EC87DA2" w14:textId="77777777" w:rsidR="0045446E" w:rsidRPr="00965370" w:rsidRDefault="0045446E" w:rsidP="00956138">
            <w:pPr>
              <w:pStyle w:val="ListParagraph"/>
              <w:numPr>
                <w:ilvl w:val="0"/>
                <w:numId w:val="23"/>
              </w:numPr>
              <w:spacing w:before="60" w:after="60"/>
            </w:pPr>
          </w:p>
        </w:tc>
        <w:tc>
          <w:tcPr>
            <w:tcW w:w="7218" w:type="dxa"/>
          </w:tcPr>
          <w:p w14:paraId="0C887AA2" w14:textId="159FEA0A" w:rsidR="0045446E" w:rsidRPr="00965370" w:rsidRDefault="000D0EE7" w:rsidP="00240B59">
            <w:pPr>
              <w:spacing w:before="60" w:after="60"/>
              <w:rPr>
                <w:i/>
                <w:color w:val="0063A6"/>
              </w:rPr>
            </w:pPr>
            <w:r>
              <w:rPr>
                <w:i/>
                <w:color w:val="0063A6"/>
              </w:rPr>
              <w:t xml:space="preserve">(page </w:t>
            </w:r>
            <w:r w:rsidR="007A5DDD">
              <w:rPr>
                <w:i/>
                <w:color w:val="0063A6"/>
              </w:rPr>
              <w:t>19</w:t>
            </w:r>
            <w:r>
              <w:rPr>
                <w:i/>
                <w:color w:val="0063A6"/>
              </w:rPr>
              <w:t>)</w:t>
            </w:r>
          </w:p>
        </w:tc>
      </w:tr>
      <w:tr w:rsidR="003747D1" w:rsidRPr="00965370" w14:paraId="641BAA63" w14:textId="77777777" w:rsidTr="003747D1">
        <w:tc>
          <w:tcPr>
            <w:tcW w:w="426" w:type="dxa"/>
          </w:tcPr>
          <w:p w14:paraId="1E3BB51F" w14:textId="77777777" w:rsidR="003747D1" w:rsidRPr="00965370" w:rsidRDefault="003747D1" w:rsidP="003747D1">
            <w:pPr>
              <w:pStyle w:val="ListParagraph"/>
              <w:spacing w:before="60" w:after="60"/>
              <w:ind w:left="360"/>
              <w:rPr>
                <w:color w:val="0063A6"/>
              </w:rPr>
            </w:pPr>
          </w:p>
        </w:tc>
        <w:tc>
          <w:tcPr>
            <w:tcW w:w="9202" w:type="dxa"/>
            <w:gridSpan w:val="2"/>
          </w:tcPr>
          <w:p w14:paraId="319A40FF" w14:textId="18DAE65D" w:rsidR="0078305C" w:rsidRPr="00965370" w:rsidRDefault="0078305C" w:rsidP="0078305C">
            <w:pPr>
              <w:spacing w:before="60" w:after="60"/>
              <w:rPr>
                <w:color w:val="151616"/>
              </w:rPr>
            </w:pPr>
            <w:r w:rsidRPr="00965370">
              <w:rPr>
                <w:color w:val="151616"/>
              </w:rPr>
              <w:t xml:space="preserve">The </w:t>
            </w:r>
            <w:r w:rsidRPr="00965370">
              <w:t>Panel recommends the Attorney-General create the following entitlements for reserve associate judges of the Supreme Court</w:t>
            </w:r>
            <w:r w:rsidRPr="00965370">
              <w:rPr>
                <w:color w:val="3C3D3D"/>
              </w:rPr>
              <w:t>:</w:t>
            </w:r>
          </w:p>
          <w:p w14:paraId="05BC4A30" w14:textId="5299936E" w:rsidR="0078305C" w:rsidRPr="00965370" w:rsidRDefault="0078305C" w:rsidP="00956138">
            <w:pPr>
              <w:numPr>
                <w:ilvl w:val="0"/>
                <w:numId w:val="15"/>
              </w:numPr>
              <w:ind w:left="419" w:hanging="357"/>
              <w:rPr>
                <w:color w:val="151616"/>
              </w:rPr>
            </w:pPr>
            <w:r w:rsidRPr="00965370">
              <w:rPr>
                <w:color w:val="151616"/>
              </w:rPr>
              <w:t>long service leave when serving on a full-time basis pro rata to the entitlement of associate judges</w:t>
            </w:r>
          </w:p>
          <w:p w14:paraId="2376B4DC" w14:textId="3A38087B" w:rsidR="0078305C" w:rsidRPr="00965370" w:rsidRDefault="0078305C" w:rsidP="00956138">
            <w:pPr>
              <w:numPr>
                <w:ilvl w:val="0"/>
                <w:numId w:val="15"/>
              </w:numPr>
              <w:ind w:left="419" w:hanging="357"/>
              <w:rPr>
                <w:color w:val="3C3D3D"/>
              </w:rPr>
            </w:pPr>
            <w:r w:rsidRPr="00965370">
              <w:rPr>
                <w:i/>
                <w:color w:val="151616"/>
              </w:rPr>
              <w:t>pro rata</w:t>
            </w:r>
            <w:r w:rsidRPr="00965370">
              <w:rPr>
                <w:color w:val="151616"/>
              </w:rPr>
              <w:t xml:space="preserve"> motor vehicle entitlement </w:t>
            </w:r>
          </w:p>
          <w:p w14:paraId="1C050FDA" w14:textId="7F225356" w:rsidR="0078305C" w:rsidRPr="00965370" w:rsidRDefault="0078305C" w:rsidP="00956138">
            <w:pPr>
              <w:numPr>
                <w:ilvl w:val="0"/>
                <w:numId w:val="15"/>
              </w:numPr>
              <w:ind w:left="419" w:hanging="357"/>
              <w:rPr>
                <w:color w:val="151616"/>
              </w:rPr>
            </w:pPr>
            <w:r w:rsidRPr="00965370">
              <w:rPr>
                <w:i/>
                <w:color w:val="2B2B2B"/>
              </w:rPr>
              <w:t>pro rata</w:t>
            </w:r>
            <w:r w:rsidRPr="00965370">
              <w:rPr>
                <w:color w:val="2B2B2B"/>
              </w:rPr>
              <w:t xml:space="preserve"> professional development allowance</w:t>
            </w:r>
          </w:p>
          <w:p w14:paraId="093DCCF4" w14:textId="45D045C0" w:rsidR="0078305C" w:rsidRPr="00965370" w:rsidRDefault="0078305C" w:rsidP="00956138">
            <w:pPr>
              <w:numPr>
                <w:ilvl w:val="0"/>
                <w:numId w:val="15"/>
              </w:numPr>
              <w:ind w:left="419" w:hanging="357"/>
              <w:rPr>
                <w:color w:val="2B2B2B"/>
              </w:rPr>
            </w:pPr>
            <w:r w:rsidRPr="00965370">
              <w:rPr>
                <w:i/>
                <w:color w:val="151616"/>
              </w:rPr>
              <w:t>pro rata</w:t>
            </w:r>
            <w:r w:rsidRPr="00965370">
              <w:rPr>
                <w:color w:val="151616"/>
              </w:rPr>
              <w:t xml:space="preserve"> public transport entitlement</w:t>
            </w:r>
            <w:r w:rsidR="00AC15DC">
              <w:rPr>
                <w:color w:val="151616"/>
              </w:rPr>
              <w:t xml:space="preserve"> </w:t>
            </w:r>
            <w:r w:rsidR="00E841DA">
              <w:rPr>
                <w:color w:val="151616"/>
              </w:rPr>
              <w:t>during periods of engagement</w:t>
            </w:r>
          </w:p>
          <w:p w14:paraId="60B0A3D9" w14:textId="2A1B0499" w:rsidR="0078305C" w:rsidRPr="00965370" w:rsidRDefault="0078305C" w:rsidP="00956138">
            <w:pPr>
              <w:numPr>
                <w:ilvl w:val="0"/>
                <w:numId w:val="15"/>
              </w:numPr>
              <w:ind w:left="419" w:hanging="357"/>
              <w:rPr>
                <w:color w:val="2B2B2B"/>
              </w:rPr>
            </w:pPr>
            <w:r w:rsidRPr="00965370">
              <w:rPr>
                <w:color w:val="151616"/>
              </w:rPr>
              <w:t xml:space="preserve">travel allowances to cover accommodation (where necessary), meals and incidentals when travelling on circuit, in accordance with the CSV judicial travel policy, and </w:t>
            </w:r>
          </w:p>
          <w:p w14:paraId="3D02AAA6" w14:textId="134C2F52" w:rsidR="0078305C" w:rsidRPr="00965370" w:rsidRDefault="0078305C" w:rsidP="00956138">
            <w:pPr>
              <w:numPr>
                <w:ilvl w:val="0"/>
                <w:numId w:val="15"/>
              </w:numPr>
              <w:ind w:left="419" w:hanging="357"/>
              <w:rPr>
                <w:color w:val="2B2B2B"/>
              </w:rPr>
            </w:pPr>
            <w:r w:rsidRPr="00965370">
              <w:rPr>
                <w:color w:val="2B2B2B"/>
              </w:rPr>
              <w:t>overseas or interstate travel in accordance with the CSV judicial travel policy.</w:t>
            </w:r>
          </w:p>
          <w:p w14:paraId="73A034EF" w14:textId="3D0FD8AE" w:rsidR="003747D1" w:rsidRPr="00965370" w:rsidRDefault="0078305C" w:rsidP="0078305C">
            <w:pPr>
              <w:spacing w:before="60" w:after="60"/>
            </w:pPr>
            <w:r w:rsidRPr="00965370">
              <w:t>The motor vehicle entitlement should reflect any amendments to the entitlement provided to associate judges in response to the Panel’s recommendations.</w:t>
            </w:r>
          </w:p>
        </w:tc>
      </w:tr>
      <w:tr w:rsidR="003747D1" w:rsidRPr="00965370" w14:paraId="12DC29D6" w14:textId="77777777" w:rsidTr="003747D1">
        <w:tc>
          <w:tcPr>
            <w:tcW w:w="2410" w:type="dxa"/>
            <w:gridSpan w:val="2"/>
          </w:tcPr>
          <w:p w14:paraId="146471A8" w14:textId="77777777" w:rsidR="003747D1" w:rsidRPr="00965370" w:rsidRDefault="003747D1" w:rsidP="00956138">
            <w:pPr>
              <w:pStyle w:val="ListParagraph"/>
              <w:numPr>
                <w:ilvl w:val="0"/>
                <w:numId w:val="23"/>
              </w:numPr>
              <w:spacing w:before="60" w:after="60"/>
            </w:pPr>
          </w:p>
        </w:tc>
        <w:tc>
          <w:tcPr>
            <w:tcW w:w="7218" w:type="dxa"/>
          </w:tcPr>
          <w:p w14:paraId="6C68FDC4" w14:textId="32E2442C" w:rsidR="003747D1" w:rsidRPr="00965370" w:rsidRDefault="003747D1" w:rsidP="00240B59">
            <w:pPr>
              <w:spacing w:before="60" w:after="60"/>
              <w:rPr>
                <w:i/>
                <w:color w:val="0063A6"/>
              </w:rPr>
            </w:pPr>
            <w:r w:rsidRPr="00965370">
              <w:rPr>
                <w:i/>
                <w:color w:val="0063A6"/>
              </w:rPr>
              <w:t xml:space="preserve">(page </w:t>
            </w:r>
            <w:r w:rsidR="007A5DDD">
              <w:rPr>
                <w:i/>
                <w:color w:val="0063A6"/>
              </w:rPr>
              <w:t>21</w:t>
            </w:r>
            <w:r w:rsidR="005A017E" w:rsidRPr="00965370">
              <w:rPr>
                <w:i/>
                <w:color w:val="0063A6"/>
              </w:rPr>
              <w:t>)</w:t>
            </w:r>
          </w:p>
        </w:tc>
      </w:tr>
      <w:tr w:rsidR="003747D1" w:rsidRPr="00965370" w14:paraId="076A7CCC" w14:textId="77777777" w:rsidTr="003747D1">
        <w:tc>
          <w:tcPr>
            <w:tcW w:w="426" w:type="dxa"/>
          </w:tcPr>
          <w:p w14:paraId="233DC44C" w14:textId="77777777" w:rsidR="003747D1" w:rsidRPr="00965370" w:rsidRDefault="003747D1" w:rsidP="003747D1">
            <w:pPr>
              <w:pStyle w:val="ListParagraph"/>
              <w:spacing w:before="60" w:after="60"/>
              <w:ind w:left="360"/>
              <w:rPr>
                <w:color w:val="0063A6"/>
              </w:rPr>
            </w:pPr>
          </w:p>
        </w:tc>
        <w:tc>
          <w:tcPr>
            <w:tcW w:w="9202" w:type="dxa"/>
            <w:gridSpan w:val="2"/>
          </w:tcPr>
          <w:p w14:paraId="13A04B03" w14:textId="05F8E525" w:rsidR="000A194E" w:rsidRPr="00965370" w:rsidRDefault="000A194E" w:rsidP="000A194E">
            <w:pPr>
              <w:spacing w:before="60" w:after="60"/>
              <w:rPr>
                <w:i/>
                <w:color w:val="0063A6"/>
              </w:rPr>
            </w:pPr>
            <w:r w:rsidRPr="00965370">
              <w:t xml:space="preserve">The </w:t>
            </w:r>
            <w:r w:rsidR="009653F8" w:rsidRPr="00965370">
              <w:t xml:space="preserve">Panel recommends the Attorney-General increase magistrates’ annual leave from four weeks to six weeks.  </w:t>
            </w:r>
          </w:p>
        </w:tc>
      </w:tr>
      <w:tr w:rsidR="006E00E2" w:rsidRPr="00965370" w14:paraId="56427B33" w14:textId="77777777" w:rsidTr="00A269DF">
        <w:tc>
          <w:tcPr>
            <w:tcW w:w="2410" w:type="dxa"/>
            <w:gridSpan w:val="2"/>
          </w:tcPr>
          <w:p w14:paraId="7CF69DD6" w14:textId="749EB30F" w:rsidR="006E00E2" w:rsidRPr="00A269DF" w:rsidRDefault="006E00E2" w:rsidP="000A194E">
            <w:pPr>
              <w:spacing w:before="60" w:after="60"/>
              <w:rPr>
                <w:b/>
                <w:bCs/>
                <w:i/>
                <w:iCs/>
              </w:rPr>
            </w:pPr>
            <w:r w:rsidRPr="00A269DF">
              <w:rPr>
                <w:b/>
                <w:bCs/>
                <w:i/>
                <w:iCs/>
                <w:color w:val="0063A6"/>
              </w:rPr>
              <w:lastRenderedPageBreak/>
              <w:t xml:space="preserve">Recommendation </w:t>
            </w:r>
            <w:r w:rsidR="00DB4324">
              <w:rPr>
                <w:b/>
                <w:bCs/>
                <w:i/>
                <w:iCs/>
                <w:color w:val="0063A6"/>
              </w:rPr>
              <w:t>7</w:t>
            </w:r>
            <w:r w:rsidRPr="00A269DF">
              <w:rPr>
                <w:b/>
                <w:bCs/>
                <w:i/>
                <w:iCs/>
                <w:color w:val="0063A6"/>
              </w:rPr>
              <w:t xml:space="preserve"> </w:t>
            </w:r>
          </w:p>
        </w:tc>
        <w:tc>
          <w:tcPr>
            <w:tcW w:w="7218" w:type="dxa"/>
          </w:tcPr>
          <w:p w14:paraId="686A6F73" w14:textId="19C2735F" w:rsidR="006E00E2" w:rsidRPr="00A269DF" w:rsidRDefault="006E00E2" w:rsidP="000A194E">
            <w:pPr>
              <w:spacing w:before="60" w:after="60"/>
              <w:rPr>
                <w:i/>
                <w:iCs/>
              </w:rPr>
            </w:pPr>
            <w:r w:rsidRPr="00A269DF">
              <w:rPr>
                <w:i/>
                <w:iCs/>
                <w:color w:val="0063A6"/>
              </w:rPr>
              <w:t xml:space="preserve">(page </w:t>
            </w:r>
            <w:r w:rsidR="000D0EE7" w:rsidRPr="00D9469D">
              <w:rPr>
                <w:i/>
                <w:iCs/>
                <w:color w:val="0063A6"/>
              </w:rPr>
              <w:t>22</w:t>
            </w:r>
            <w:r w:rsidRPr="00A269DF">
              <w:rPr>
                <w:i/>
                <w:iCs/>
                <w:color w:val="0063A6"/>
              </w:rPr>
              <w:t>)</w:t>
            </w:r>
          </w:p>
        </w:tc>
      </w:tr>
      <w:tr w:rsidR="006E00E2" w:rsidRPr="00965370" w14:paraId="4DFCD141" w14:textId="77777777" w:rsidTr="003747D1">
        <w:tc>
          <w:tcPr>
            <w:tcW w:w="426" w:type="dxa"/>
          </w:tcPr>
          <w:p w14:paraId="7023AC90" w14:textId="77777777" w:rsidR="006E00E2" w:rsidRPr="00965370" w:rsidRDefault="006E00E2" w:rsidP="003747D1">
            <w:pPr>
              <w:pStyle w:val="ListParagraph"/>
              <w:spacing w:before="60" w:after="60"/>
              <w:ind w:left="360"/>
              <w:rPr>
                <w:color w:val="0063A6"/>
              </w:rPr>
            </w:pPr>
          </w:p>
        </w:tc>
        <w:tc>
          <w:tcPr>
            <w:tcW w:w="9202" w:type="dxa"/>
            <w:gridSpan w:val="2"/>
          </w:tcPr>
          <w:p w14:paraId="23A00C19" w14:textId="2F748FFD" w:rsidR="006E00E2" w:rsidRPr="00965370" w:rsidRDefault="00DB4324" w:rsidP="000A194E">
            <w:pPr>
              <w:spacing w:before="60" w:after="60"/>
            </w:pPr>
            <w:r>
              <w:t xml:space="preserve">The </w:t>
            </w:r>
            <w:r w:rsidRPr="00DB4324">
              <w:t>Panel recommends the Attorney-General amends the entitlement certificate dated 24 February 2012 to increase the value of magistrates’ living away from home allowance, to better reflect the actual costs of assignments away from magistrates’ principal place of residenc</w:t>
            </w:r>
            <w:r>
              <w:t>e.</w:t>
            </w:r>
          </w:p>
        </w:tc>
      </w:tr>
    </w:tbl>
    <w:p w14:paraId="2140D79E" w14:textId="7378A10D" w:rsidR="004613CE" w:rsidRPr="00965370" w:rsidRDefault="004613CE" w:rsidP="00707333">
      <w:pPr>
        <w:pStyle w:val="Heading2"/>
      </w:pPr>
      <w:bookmarkStart w:id="3" w:name="_Toc41306029"/>
      <w:r w:rsidRPr="00537B0A">
        <w:t>Observations</w:t>
      </w:r>
      <w:bookmarkEnd w:id="3"/>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84"/>
        <w:gridCol w:w="7218"/>
      </w:tblGrid>
      <w:tr w:rsidR="004613CE" w:rsidRPr="003603F0" w14:paraId="6E8E57BB" w14:textId="77777777" w:rsidTr="003D40B2">
        <w:tc>
          <w:tcPr>
            <w:tcW w:w="2410" w:type="dxa"/>
            <w:gridSpan w:val="2"/>
          </w:tcPr>
          <w:p w14:paraId="689E2E0F" w14:textId="77777777" w:rsidR="004613CE" w:rsidRPr="00965370" w:rsidRDefault="004613CE" w:rsidP="00956138">
            <w:pPr>
              <w:pStyle w:val="ListParagraph"/>
              <w:numPr>
                <w:ilvl w:val="0"/>
                <w:numId w:val="25"/>
              </w:numPr>
              <w:spacing w:before="60" w:after="60"/>
            </w:pPr>
          </w:p>
        </w:tc>
        <w:tc>
          <w:tcPr>
            <w:tcW w:w="7218" w:type="dxa"/>
          </w:tcPr>
          <w:p w14:paraId="1759E40C" w14:textId="6E69E9F4" w:rsidR="004613CE" w:rsidRPr="003603F0" w:rsidRDefault="004613CE" w:rsidP="00F15039">
            <w:pPr>
              <w:spacing w:before="60" w:after="60"/>
              <w:rPr>
                <w:i/>
                <w:color w:val="0063A6"/>
              </w:rPr>
            </w:pPr>
            <w:r w:rsidRPr="00965370">
              <w:rPr>
                <w:i/>
                <w:color w:val="0063A6"/>
              </w:rPr>
              <w:t xml:space="preserve">(page </w:t>
            </w:r>
            <w:r w:rsidR="000D0EE7" w:rsidRPr="00D9469D">
              <w:rPr>
                <w:i/>
                <w:color w:val="0063A6"/>
              </w:rPr>
              <w:t>23</w:t>
            </w:r>
            <w:r w:rsidRPr="00965370">
              <w:rPr>
                <w:i/>
                <w:color w:val="0063A6"/>
              </w:rPr>
              <w:t>)</w:t>
            </w:r>
          </w:p>
        </w:tc>
      </w:tr>
      <w:tr w:rsidR="004613CE" w:rsidRPr="003603F0" w14:paraId="7D5C1910" w14:textId="77777777" w:rsidTr="003D40B2">
        <w:tc>
          <w:tcPr>
            <w:tcW w:w="426" w:type="dxa"/>
          </w:tcPr>
          <w:p w14:paraId="65C883B0" w14:textId="77777777" w:rsidR="004613CE" w:rsidRPr="003603F0" w:rsidRDefault="004613CE" w:rsidP="00F15039">
            <w:pPr>
              <w:pStyle w:val="ListParagraph"/>
              <w:spacing w:before="60" w:after="60"/>
              <w:ind w:left="360"/>
              <w:rPr>
                <w:color w:val="0063A6"/>
              </w:rPr>
            </w:pPr>
          </w:p>
        </w:tc>
        <w:tc>
          <w:tcPr>
            <w:tcW w:w="9202" w:type="dxa"/>
            <w:gridSpan w:val="2"/>
          </w:tcPr>
          <w:p w14:paraId="5870E05C" w14:textId="4BD66241" w:rsidR="00840267" w:rsidRPr="003603F0" w:rsidRDefault="00794C7C" w:rsidP="004B7741">
            <w:pPr>
              <w:spacing w:before="60" w:after="60"/>
              <w:rPr>
                <w:i/>
                <w:color w:val="0063A6"/>
              </w:rPr>
            </w:pPr>
            <w:r w:rsidRPr="0038594A">
              <w:t xml:space="preserve">The Panel </w:t>
            </w:r>
            <w:r>
              <w:t xml:space="preserve">encourages CSV to review the living away from home allowance policy and the relocation policy with a view to clarifying the scope of each and how they interrelate to reduce confusion regarding their application. </w:t>
            </w:r>
          </w:p>
        </w:tc>
      </w:tr>
      <w:tr w:rsidR="00537B0A" w:rsidRPr="003603F0" w14:paraId="47854A61" w14:textId="77777777" w:rsidTr="003D40B2">
        <w:tc>
          <w:tcPr>
            <w:tcW w:w="2410" w:type="dxa"/>
            <w:gridSpan w:val="2"/>
          </w:tcPr>
          <w:p w14:paraId="278E7A61" w14:textId="3F994449" w:rsidR="00537B0A" w:rsidRPr="003603F0" w:rsidRDefault="00537B0A" w:rsidP="00956138">
            <w:pPr>
              <w:pStyle w:val="ListParagraph"/>
              <w:numPr>
                <w:ilvl w:val="0"/>
                <w:numId w:val="25"/>
              </w:numPr>
              <w:spacing w:before="60" w:after="60"/>
              <w:rPr>
                <w:color w:val="0063A6"/>
              </w:rPr>
            </w:pPr>
          </w:p>
        </w:tc>
        <w:tc>
          <w:tcPr>
            <w:tcW w:w="7218" w:type="dxa"/>
          </w:tcPr>
          <w:p w14:paraId="1FF9A6EB" w14:textId="6C1C9B77" w:rsidR="00537B0A" w:rsidRPr="003603F0" w:rsidRDefault="00537B0A" w:rsidP="004B7741">
            <w:pPr>
              <w:spacing w:before="60" w:after="60"/>
            </w:pPr>
            <w:r w:rsidRPr="00965370">
              <w:rPr>
                <w:i/>
                <w:color w:val="0063A6"/>
              </w:rPr>
              <w:t xml:space="preserve">(page </w:t>
            </w:r>
            <w:r w:rsidRPr="00D9469D">
              <w:rPr>
                <w:i/>
                <w:color w:val="0063A6"/>
              </w:rPr>
              <w:t>2</w:t>
            </w:r>
            <w:r w:rsidR="00794C7C" w:rsidRPr="00D9469D">
              <w:rPr>
                <w:i/>
                <w:color w:val="0063A6"/>
              </w:rPr>
              <w:t>5</w:t>
            </w:r>
            <w:r w:rsidRPr="00965370">
              <w:rPr>
                <w:i/>
                <w:color w:val="0063A6"/>
              </w:rPr>
              <w:t>)</w:t>
            </w:r>
          </w:p>
        </w:tc>
      </w:tr>
      <w:tr w:rsidR="00537B0A" w:rsidRPr="003603F0" w14:paraId="5ACD2F49" w14:textId="77777777" w:rsidTr="003D40B2">
        <w:tc>
          <w:tcPr>
            <w:tcW w:w="426" w:type="dxa"/>
          </w:tcPr>
          <w:p w14:paraId="5F83503D" w14:textId="77777777" w:rsidR="00537B0A" w:rsidRPr="003603F0" w:rsidRDefault="00537B0A" w:rsidP="00F15039">
            <w:pPr>
              <w:pStyle w:val="ListParagraph"/>
              <w:spacing w:before="60" w:after="60"/>
              <w:ind w:left="360"/>
              <w:rPr>
                <w:color w:val="0063A6"/>
              </w:rPr>
            </w:pPr>
          </w:p>
        </w:tc>
        <w:tc>
          <w:tcPr>
            <w:tcW w:w="9202" w:type="dxa"/>
            <w:gridSpan w:val="2"/>
          </w:tcPr>
          <w:p w14:paraId="4BAA2EAB" w14:textId="32AB68E6" w:rsidR="00537B0A" w:rsidRPr="003603F0" w:rsidRDefault="00794C7C" w:rsidP="004B7741">
            <w:pPr>
              <w:spacing w:before="60" w:after="60"/>
            </w:pPr>
            <w:r w:rsidRPr="003603F0">
              <w:t xml:space="preserve">The </w:t>
            </w:r>
            <w:r w:rsidRPr="009653F8">
              <w:t xml:space="preserve">Panel again </w:t>
            </w:r>
            <w:r>
              <w:t>encourages</w:t>
            </w:r>
            <w:r w:rsidRPr="009653F8">
              <w:t xml:space="preserve"> </w:t>
            </w:r>
            <w:r>
              <w:t>CSV</w:t>
            </w:r>
            <w:r w:rsidRPr="009653F8">
              <w:t xml:space="preserve"> to engage with other relevant stakeholders to establish a scheme for magistrates similar to the scheme that exists to protect judicial officers in the Supreme and County Courts from loss of income, whether through loss of capacity, ill health or disability.</w:t>
            </w:r>
          </w:p>
        </w:tc>
      </w:tr>
      <w:tr w:rsidR="000F7143" w:rsidRPr="003603F0" w14:paraId="4D2C208E" w14:textId="77777777" w:rsidTr="003D40B2">
        <w:tc>
          <w:tcPr>
            <w:tcW w:w="2410" w:type="dxa"/>
            <w:gridSpan w:val="2"/>
          </w:tcPr>
          <w:p w14:paraId="1DB4F7A8" w14:textId="77777777" w:rsidR="000F7143" w:rsidRPr="00965370" w:rsidRDefault="000F7143" w:rsidP="00956138">
            <w:pPr>
              <w:pStyle w:val="ListParagraph"/>
              <w:numPr>
                <w:ilvl w:val="0"/>
                <w:numId w:val="25"/>
              </w:numPr>
              <w:spacing w:before="60" w:after="60"/>
            </w:pPr>
          </w:p>
        </w:tc>
        <w:tc>
          <w:tcPr>
            <w:tcW w:w="7218" w:type="dxa"/>
          </w:tcPr>
          <w:p w14:paraId="428D98CF" w14:textId="2F018601" w:rsidR="000F7143" w:rsidRPr="003603F0" w:rsidRDefault="000F7143" w:rsidP="00C17F4D">
            <w:pPr>
              <w:spacing w:before="60" w:after="60"/>
              <w:rPr>
                <w:i/>
                <w:color w:val="0063A6"/>
              </w:rPr>
            </w:pPr>
            <w:r w:rsidRPr="00965370">
              <w:rPr>
                <w:i/>
                <w:color w:val="0063A6"/>
              </w:rPr>
              <w:t xml:space="preserve">(page </w:t>
            </w:r>
            <w:r w:rsidR="000D0EE7" w:rsidRPr="00D9469D">
              <w:rPr>
                <w:i/>
                <w:color w:val="0063A6"/>
              </w:rPr>
              <w:t>2</w:t>
            </w:r>
            <w:r w:rsidR="00794C7C" w:rsidRPr="00D9469D">
              <w:rPr>
                <w:i/>
                <w:color w:val="0063A6"/>
              </w:rPr>
              <w:t>7</w:t>
            </w:r>
            <w:r w:rsidRPr="00965370">
              <w:rPr>
                <w:i/>
                <w:color w:val="0063A6"/>
              </w:rPr>
              <w:t>)</w:t>
            </w:r>
          </w:p>
        </w:tc>
      </w:tr>
      <w:tr w:rsidR="000F7143" w:rsidRPr="003603F0" w14:paraId="6223488C" w14:textId="77777777" w:rsidTr="003D40B2">
        <w:tc>
          <w:tcPr>
            <w:tcW w:w="426" w:type="dxa"/>
          </w:tcPr>
          <w:p w14:paraId="30E9BBE2" w14:textId="77777777" w:rsidR="000F7143" w:rsidRPr="003603F0" w:rsidRDefault="000F7143" w:rsidP="00C17F4D">
            <w:pPr>
              <w:pStyle w:val="ListParagraph"/>
              <w:spacing w:before="60" w:after="60"/>
              <w:ind w:left="360"/>
              <w:rPr>
                <w:color w:val="0063A6"/>
              </w:rPr>
            </w:pPr>
          </w:p>
        </w:tc>
        <w:tc>
          <w:tcPr>
            <w:tcW w:w="9202" w:type="dxa"/>
            <w:gridSpan w:val="2"/>
          </w:tcPr>
          <w:p w14:paraId="23B0DDA5" w14:textId="5333CD58" w:rsidR="00D9755B" w:rsidRDefault="000D0EE7" w:rsidP="00FA7E7F">
            <w:pPr>
              <w:spacing w:before="60" w:after="60"/>
            </w:pPr>
            <w:r>
              <w:t>The Panel supports a review of the car scheme available to magistrates and coroners, with a focus on whether changes to the</w:t>
            </w:r>
            <w:r w:rsidR="00537B0A">
              <w:t xml:space="preserve"> VPS car</w:t>
            </w:r>
            <w:r>
              <w:t xml:space="preserve"> scheme result</w:t>
            </w:r>
            <w:r w:rsidR="00537B0A">
              <w:t>ed</w:t>
            </w:r>
            <w:r>
              <w:t xml:space="preserve"> in increased costs for </w:t>
            </w:r>
            <w:r w:rsidR="00537B0A">
              <w:t xml:space="preserve">these </w:t>
            </w:r>
            <w:r>
              <w:t>judicial officers for which they are not being compensated.</w:t>
            </w:r>
            <w:r w:rsidR="00D9755B" w:rsidRPr="008744DF">
              <w:t xml:space="preserve"> Any increase in the allowance arising from this review should be backdated to 1 July 2019 to ensure m</w:t>
            </w:r>
            <w:r w:rsidR="00D9755B" w:rsidRPr="00714D96">
              <w:t>agis</w:t>
            </w:r>
            <w:r w:rsidR="00D9755B" w:rsidRPr="00A749F7">
              <w:t>trates are not financially disadvantaged.</w:t>
            </w:r>
          </w:p>
          <w:p w14:paraId="3D091A77" w14:textId="71D90808" w:rsidR="000D0EE7" w:rsidRDefault="000D0EE7" w:rsidP="00AF4D57">
            <w:pPr>
              <w:spacing w:before="60" w:after="60"/>
            </w:pPr>
          </w:p>
          <w:p w14:paraId="11D98DD8" w14:textId="73E322F2" w:rsidR="000F7143" w:rsidRPr="003603F0" w:rsidRDefault="000D0EE7" w:rsidP="00115667">
            <w:pPr>
              <w:spacing w:before="60" w:after="60"/>
              <w:rPr>
                <w:i/>
                <w:color w:val="0063A6"/>
              </w:rPr>
            </w:pPr>
            <w:r>
              <w:t>The Panel reinforces the need for magistrates and coroners to have access to vehicles with the highest safety standards.</w:t>
            </w:r>
          </w:p>
        </w:tc>
      </w:tr>
      <w:tr w:rsidR="000F7143" w:rsidRPr="003603F0" w14:paraId="5766CC35" w14:textId="77777777" w:rsidTr="003D40B2">
        <w:tc>
          <w:tcPr>
            <w:tcW w:w="426" w:type="dxa"/>
          </w:tcPr>
          <w:p w14:paraId="645C10D5" w14:textId="77777777" w:rsidR="000F7143" w:rsidRPr="003603F0" w:rsidRDefault="000F7143" w:rsidP="00F15039">
            <w:pPr>
              <w:pStyle w:val="ListParagraph"/>
              <w:spacing w:before="60" w:after="60"/>
              <w:ind w:left="360"/>
              <w:rPr>
                <w:color w:val="0063A6"/>
              </w:rPr>
            </w:pPr>
          </w:p>
        </w:tc>
        <w:tc>
          <w:tcPr>
            <w:tcW w:w="9202" w:type="dxa"/>
            <w:gridSpan w:val="2"/>
          </w:tcPr>
          <w:p w14:paraId="3AFEAE05" w14:textId="77777777" w:rsidR="000F7143" w:rsidRPr="003603F0" w:rsidRDefault="000F7143" w:rsidP="004B7741">
            <w:pPr>
              <w:spacing w:before="60" w:after="60"/>
            </w:pPr>
          </w:p>
        </w:tc>
      </w:tr>
    </w:tbl>
    <w:p w14:paraId="3DDCBD92" w14:textId="77777777" w:rsidR="00EF59DA" w:rsidRDefault="00EF59DA" w:rsidP="003747D1">
      <w:pPr>
        <w:autoSpaceDE/>
        <w:autoSpaceDN/>
        <w:adjustRightInd/>
        <w:spacing w:before="0" w:after="0"/>
        <w:rPr>
          <w:highlight w:val="yellow"/>
        </w:rPr>
      </w:pPr>
    </w:p>
    <w:p w14:paraId="6EE6245D" w14:textId="36DFAC2B" w:rsidR="003747D1" w:rsidRDefault="003747D1" w:rsidP="003747D1">
      <w:pPr>
        <w:autoSpaceDE/>
        <w:autoSpaceDN/>
        <w:adjustRightInd/>
        <w:spacing w:before="0" w:after="0"/>
        <w:rPr>
          <w:highlight w:val="yellow"/>
        </w:rPr>
      </w:pPr>
      <w:r>
        <w:rPr>
          <w:highlight w:val="yellow"/>
        </w:rPr>
        <w:br w:type="page"/>
      </w:r>
    </w:p>
    <w:p w14:paraId="0E0DF202" w14:textId="4115AF47" w:rsidR="003747D1" w:rsidRPr="004D5952" w:rsidRDefault="003747D1" w:rsidP="003747D1">
      <w:pPr>
        <w:pStyle w:val="Heading1"/>
      </w:pPr>
      <w:bookmarkStart w:id="4" w:name="_Ref521490791"/>
      <w:bookmarkStart w:id="5" w:name="_Toc41306030"/>
      <w:r>
        <w:lastRenderedPageBreak/>
        <w:t>Summary of approximate costs of recommendations</w:t>
      </w:r>
      <w:bookmarkEnd w:id="4"/>
      <w:bookmarkEnd w:id="5"/>
    </w:p>
    <w:p w14:paraId="4809F1B2" w14:textId="43B6C4D1" w:rsidR="003747D1" w:rsidRDefault="003747D1" w:rsidP="003747D1">
      <w:pPr>
        <w:autoSpaceDE/>
        <w:autoSpaceDN/>
        <w:adjustRightInd/>
        <w:spacing w:before="0" w:after="0"/>
      </w:pPr>
      <w:r>
        <w:t xml:space="preserve">The following table </w:t>
      </w:r>
      <w:r w:rsidR="006A028A">
        <w:t>gives</w:t>
      </w:r>
      <w:r>
        <w:t xml:space="preserve"> approximate funding </w:t>
      </w:r>
      <w:r w:rsidRPr="004C1615">
        <w:t>increases</w:t>
      </w:r>
      <w:r>
        <w:t xml:space="preserve"> that would be necessary to implement the </w:t>
      </w:r>
      <w:r w:rsidR="006A028A">
        <w:t>proposal in each recommendation</w:t>
      </w:r>
      <w:r>
        <w:t>. As approximate costs, they are intended to be indicative only.</w:t>
      </w:r>
    </w:p>
    <w:p w14:paraId="408A11A1" w14:textId="77777777" w:rsidR="003747D1" w:rsidRDefault="003747D1" w:rsidP="003747D1">
      <w:pPr>
        <w:autoSpaceDE/>
        <w:autoSpaceDN/>
        <w:adjustRightInd/>
        <w:spacing w:before="0" w:after="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6747"/>
        <w:gridCol w:w="2263"/>
      </w:tblGrid>
      <w:tr w:rsidR="003747D1" w:rsidRPr="002A0CFA" w14:paraId="01D219CB" w14:textId="77777777" w:rsidTr="003747D1">
        <w:tc>
          <w:tcPr>
            <w:tcW w:w="483" w:type="dxa"/>
            <w:shd w:val="clear" w:color="auto" w:fill="0063A6"/>
            <w:tcMar>
              <w:top w:w="57" w:type="dxa"/>
              <w:left w:w="57" w:type="dxa"/>
              <w:bottom w:w="57" w:type="dxa"/>
              <w:right w:w="57" w:type="dxa"/>
            </w:tcMar>
          </w:tcPr>
          <w:p w14:paraId="0BD330C6" w14:textId="77777777" w:rsidR="003747D1" w:rsidRPr="002A0CFA" w:rsidRDefault="003747D1" w:rsidP="003747D1">
            <w:pPr>
              <w:autoSpaceDE/>
              <w:autoSpaceDN/>
              <w:adjustRightInd/>
              <w:spacing w:before="0" w:after="0"/>
              <w:rPr>
                <w:b/>
                <w:color w:val="FFFFFF" w:themeColor="background1"/>
                <w:sz w:val="20"/>
                <w:szCs w:val="20"/>
              </w:rPr>
            </w:pPr>
            <w:r w:rsidRPr="002A0CFA">
              <w:rPr>
                <w:b/>
                <w:color w:val="FFFFFF" w:themeColor="background1"/>
                <w:sz w:val="20"/>
                <w:szCs w:val="20"/>
              </w:rPr>
              <w:t>#</w:t>
            </w:r>
          </w:p>
        </w:tc>
        <w:tc>
          <w:tcPr>
            <w:tcW w:w="6747" w:type="dxa"/>
            <w:shd w:val="clear" w:color="auto" w:fill="0063A6"/>
            <w:tcMar>
              <w:top w:w="57" w:type="dxa"/>
              <w:left w:w="57" w:type="dxa"/>
              <w:bottom w:w="57" w:type="dxa"/>
              <w:right w:w="57" w:type="dxa"/>
            </w:tcMar>
          </w:tcPr>
          <w:p w14:paraId="4002C2E5" w14:textId="77777777" w:rsidR="003747D1" w:rsidRPr="002A0CFA" w:rsidRDefault="003747D1" w:rsidP="003747D1">
            <w:pPr>
              <w:autoSpaceDE/>
              <w:autoSpaceDN/>
              <w:adjustRightInd/>
              <w:spacing w:before="0" w:after="0"/>
              <w:rPr>
                <w:b/>
                <w:color w:val="FFFFFF" w:themeColor="background1"/>
                <w:sz w:val="20"/>
                <w:szCs w:val="20"/>
              </w:rPr>
            </w:pPr>
            <w:r w:rsidRPr="002A0CFA">
              <w:rPr>
                <w:b/>
                <w:color w:val="FFFFFF" w:themeColor="background1"/>
                <w:sz w:val="20"/>
                <w:szCs w:val="20"/>
              </w:rPr>
              <w:t>Recommendation</w:t>
            </w:r>
          </w:p>
        </w:tc>
        <w:tc>
          <w:tcPr>
            <w:tcW w:w="2263" w:type="dxa"/>
            <w:shd w:val="clear" w:color="auto" w:fill="0063A6"/>
            <w:tcMar>
              <w:top w:w="57" w:type="dxa"/>
              <w:left w:w="57" w:type="dxa"/>
              <w:bottom w:w="57" w:type="dxa"/>
              <w:right w:w="57" w:type="dxa"/>
            </w:tcMar>
          </w:tcPr>
          <w:p w14:paraId="44FB900D" w14:textId="77777777" w:rsidR="003747D1" w:rsidRPr="002A0CFA" w:rsidRDefault="003747D1" w:rsidP="003747D1">
            <w:pPr>
              <w:autoSpaceDE/>
              <w:autoSpaceDN/>
              <w:adjustRightInd/>
              <w:spacing w:before="0" w:after="0"/>
              <w:rPr>
                <w:b/>
                <w:color w:val="FFFFFF" w:themeColor="background1"/>
                <w:sz w:val="20"/>
                <w:szCs w:val="20"/>
              </w:rPr>
            </w:pPr>
            <w:r w:rsidRPr="002A0CFA">
              <w:rPr>
                <w:b/>
                <w:color w:val="FFFFFF" w:themeColor="background1"/>
                <w:sz w:val="20"/>
                <w:szCs w:val="20"/>
              </w:rPr>
              <w:t>Indicative funding ($)</w:t>
            </w:r>
          </w:p>
        </w:tc>
      </w:tr>
      <w:tr w:rsidR="003747D1" w:rsidRPr="002A0CFA" w14:paraId="0E91C7C7" w14:textId="77777777" w:rsidTr="00F74208">
        <w:tc>
          <w:tcPr>
            <w:tcW w:w="483" w:type="dxa"/>
            <w:tcBorders>
              <w:bottom w:val="single" w:sz="4" w:space="0" w:color="0063A6"/>
            </w:tcBorders>
            <w:tcMar>
              <w:top w:w="57" w:type="dxa"/>
              <w:left w:w="57" w:type="dxa"/>
              <w:bottom w:w="57" w:type="dxa"/>
              <w:right w:w="57" w:type="dxa"/>
            </w:tcMar>
          </w:tcPr>
          <w:p w14:paraId="743436C4" w14:textId="77777777" w:rsidR="003747D1" w:rsidRPr="002A0CFA" w:rsidRDefault="003747D1" w:rsidP="00956138">
            <w:pPr>
              <w:pStyle w:val="ListParagraph"/>
              <w:numPr>
                <w:ilvl w:val="0"/>
                <w:numId w:val="22"/>
              </w:numPr>
              <w:rPr>
                <w:sz w:val="20"/>
                <w:szCs w:val="20"/>
              </w:rPr>
            </w:pPr>
          </w:p>
        </w:tc>
        <w:tc>
          <w:tcPr>
            <w:tcW w:w="6747" w:type="dxa"/>
            <w:tcBorders>
              <w:bottom w:val="single" w:sz="4" w:space="0" w:color="0063A6"/>
            </w:tcBorders>
            <w:tcMar>
              <w:top w:w="57" w:type="dxa"/>
              <w:left w:w="57" w:type="dxa"/>
              <w:bottom w:w="57" w:type="dxa"/>
              <w:right w:w="57" w:type="dxa"/>
            </w:tcMar>
          </w:tcPr>
          <w:p w14:paraId="1225FBFD" w14:textId="19972A45" w:rsidR="003747D1" w:rsidRPr="002A0CFA" w:rsidRDefault="003747D1">
            <w:pPr>
              <w:autoSpaceDE/>
              <w:autoSpaceDN/>
              <w:adjustRightInd/>
              <w:spacing w:before="0" w:after="0"/>
              <w:rPr>
                <w:sz w:val="20"/>
                <w:szCs w:val="20"/>
              </w:rPr>
            </w:pPr>
            <w:r w:rsidRPr="002A0CFA">
              <w:rPr>
                <w:sz w:val="20"/>
                <w:szCs w:val="20"/>
              </w:rPr>
              <w:t xml:space="preserve">Entitling </w:t>
            </w:r>
            <w:r w:rsidR="00D542E0" w:rsidRPr="00D542E0">
              <w:rPr>
                <w:sz w:val="20"/>
                <w:szCs w:val="20"/>
              </w:rPr>
              <w:t>associate judges of the Supreme Court to a motor vehicle under the Judicial Car Scheme, for an annual contribution of $837, in line with the current arrangements for County Court judges</w:t>
            </w:r>
          </w:p>
        </w:tc>
        <w:tc>
          <w:tcPr>
            <w:tcW w:w="2263" w:type="dxa"/>
            <w:tcBorders>
              <w:bottom w:val="single" w:sz="4" w:space="0" w:color="0063A6"/>
            </w:tcBorders>
            <w:tcMar>
              <w:top w:w="57" w:type="dxa"/>
              <w:left w:w="57" w:type="dxa"/>
              <w:bottom w:w="57" w:type="dxa"/>
              <w:right w:w="57" w:type="dxa"/>
            </w:tcMar>
            <w:vAlign w:val="bottom"/>
          </w:tcPr>
          <w:p w14:paraId="5640C9FD" w14:textId="1D7E6F17" w:rsidR="003747D1" w:rsidRPr="002A0CFA" w:rsidRDefault="00B558A2" w:rsidP="003747D1">
            <w:pPr>
              <w:autoSpaceDE/>
              <w:autoSpaceDN/>
              <w:adjustRightInd/>
              <w:spacing w:before="0" w:after="0"/>
              <w:jc w:val="right"/>
              <w:rPr>
                <w:sz w:val="20"/>
                <w:szCs w:val="20"/>
              </w:rPr>
            </w:pPr>
            <w:r>
              <w:rPr>
                <w:sz w:val="20"/>
                <w:szCs w:val="20"/>
              </w:rPr>
              <w:t>100,000 per year</w:t>
            </w:r>
          </w:p>
        </w:tc>
      </w:tr>
      <w:tr w:rsidR="003747D1" w:rsidRPr="002A0CFA" w14:paraId="16DDE0FE" w14:textId="77777777" w:rsidTr="00F74208">
        <w:tc>
          <w:tcPr>
            <w:tcW w:w="483" w:type="dxa"/>
            <w:tcBorders>
              <w:top w:val="single" w:sz="4" w:space="0" w:color="0063A6"/>
            </w:tcBorders>
            <w:tcMar>
              <w:top w:w="57" w:type="dxa"/>
              <w:left w:w="57" w:type="dxa"/>
              <w:bottom w:w="57" w:type="dxa"/>
              <w:right w:w="57" w:type="dxa"/>
            </w:tcMar>
          </w:tcPr>
          <w:p w14:paraId="09A9E11B" w14:textId="77777777" w:rsidR="003747D1" w:rsidRPr="002A0CFA" w:rsidRDefault="003747D1" w:rsidP="00956138">
            <w:pPr>
              <w:pStyle w:val="ListParagraph"/>
              <w:numPr>
                <w:ilvl w:val="0"/>
                <w:numId w:val="22"/>
              </w:numPr>
              <w:rPr>
                <w:sz w:val="20"/>
                <w:szCs w:val="20"/>
              </w:rPr>
            </w:pPr>
          </w:p>
        </w:tc>
        <w:tc>
          <w:tcPr>
            <w:tcW w:w="6747" w:type="dxa"/>
            <w:tcBorders>
              <w:top w:val="single" w:sz="4" w:space="0" w:color="0063A6"/>
            </w:tcBorders>
            <w:tcMar>
              <w:top w:w="57" w:type="dxa"/>
              <w:left w:w="57" w:type="dxa"/>
              <w:bottom w:w="57" w:type="dxa"/>
              <w:right w:w="57" w:type="dxa"/>
            </w:tcMar>
          </w:tcPr>
          <w:p w14:paraId="4EF383A6" w14:textId="76403DFE" w:rsidR="00AB1095" w:rsidRPr="002D60C2" w:rsidRDefault="00D542E0" w:rsidP="00D542E0">
            <w:pPr>
              <w:autoSpaceDE/>
              <w:autoSpaceDN/>
              <w:adjustRightInd/>
              <w:spacing w:before="0" w:after="0"/>
              <w:rPr>
                <w:sz w:val="20"/>
                <w:szCs w:val="20"/>
              </w:rPr>
            </w:pPr>
            <w:r>
              <w:rPr>
                <w:sz w:val="20"/>
                <w:szCs w:val="20"/>
              </w:rPr>
              <w:t>C</w:t>
            </w:r>
            <w:r w:rsidRPr="00D542E0">
              <w:rPr>
                <w:sz w:val="20"/>
                <w:szCs w:val="20"/>
              </w:rPr>
              <w:t>larify</w:t>
            </w:r>
            <w:r>
              <w:rPr>
                <w:sz w:val="20"/>
                <w:szCs w:val="20"/>
              </w:rPr>
              <w:t>ing</w:t>
            </w:r>
            <w:r w:rsidRPr="00D542E0">
              <w:rPr>
                <w:sz w:val="20"/>
                <w:szCs w:val="20"/>
              </w:rPr>
              <w:t xml:space="preserve"> long service leave for jud</w:t>
            </w:r>
            <w:r>
              <w:rPr>
                <w:sz w:val="20"/>
                <w:szCs w:val="20"/>
              </w:rPr>
              <w:t xml:space="preserve">icial officers </w:t>
            </w:r>
            <w:r w:rsidRPr="00D542E0">
              <w:rPr>
                <w:sz w:val="20"/>
                <w:szCs w:val="20"/>
              </w:rPr>
              <w:t xml:space="preserve">accrues </w:t>
            </w:r>
            <w:proofErr w:type="gramStart"/>
            <w:r w:rsidRPr="00D542E0">
              <w:rPr>
                <w:sz w:val="20"/>
                <w:szCs w:val="20"/>
              </w:rPr>
              <w:t>on a daily basis</w:t>
            </w:r>
            <w:proofErr w:type="gramEnd"/>
          </w:p>
        </w:tc>
        <w:tc>
          <w:tcPr>
            <w:tcW w:w="2263" w:type="dxa"/>
            <w:tcBorders>
              <w:top w:val="single" w:sz="4" w:space="0" w:color="0063A6"/>
            </w:tcBorders>
            <w:tcMar>
              <w:top w:w="57" w:type="dxa"/>
              <w:left w:w="57" w:type="dxa"/>
              <w:bottom w:w="57" w:type="dxa"/>
              <w:right w:w="57" w:type="dxa"/>
            </w:tcMar>
            <w:vAlign w:val="bottom"/>
          </w:tcPr>
          <w:p w14:paraId="6F0E68F8" w14:textId="7B54F480" w:rsidR="003747D1" w:rsidRPr="002A0CFA" w:rsidRDefault="000C451C">
            <w:pPr>
              <w:autoSpaceDE/>
              <w:autoSpaceDN/>
              <w:adjustRightInd/>
              <w:spacing w:before="0" w:after="0"/>
              <w:jc w:val="right"/>
              <w:rPr>
                <w:sz w:val="20"/>
                <w:szCs w:val="20"/>
              </w:rPr>
            </w:pPr>
            <w:r>
              <w:rPr>
                <w:sz w:val="20"/>
                <w:szCs w:val="20"/>
              </w:rPr>
              <w:t>0</w:t>
            </w:r>
          </w:p>
        </w:tc>
      </w:tr>
      <w:tr w:rsidR="003747D1" w:rsidRPr="002A0CFA" w14:paraId="2C615C82" w14:textId="77777777" w:rsidTr="00A70989">
        <w:trPr>
          <w:trHeight w:val="381"/>
        </w:trPr>
        <w:tc>
          <w:tcPr>
            <w:tcW w:w="483" w:type="dxa"/>
            <w:tcBorders>
              <w:top w:val="single" w:sz="4" w:space="0" w:color="0063A6"/>
              <w:bottom w:val="single" w:sz="4" w:space="0" w:color="0063A6"/>
            </w:tcBorders>
            <w:tcMar>
              <w:top w:w="57" w:type="dxa"/>
              <w:left w:w="57" w:type="dxa"/>
              <w:bottom w:w="57" w:type="dxa"/>
              <w:right w:w="57" w:type="dxa"/>
            </w:tcMar>
          </w:tcPr>
          <w:p w14:paraId="590D1D27" w14:textId="77777777" w:rsidR="003747D1" w:rsidRPr="002A0CFA" w:rsidRDefault="003747D1" w:rsidP="00956138">
            <w:pPr>
              <w:pStyle w:val="ListParagraph"/>
              <w:numPr>
                <w:ilvl w:val="0"/>
                <w:numId w:val="22"/>
              </w:numPr>
              <w:rPr>
                <w:sz w:val="20"/>
                <w:szCs w:val="20"/>
              </w:rPr>
            </w:pPr>
          </w:p>
        </w:tc>
        <w:tc>
          <w:tcPr>
            <w:tcW w:w="6747" w:type="dxa"/>
            <w:tcBorders>
              <w:top w:val="single" w:sz="4" w:space="0" w:color="0063A6"/>
              <w:bottom w:val="single" w:sz="4" w:space="0" w:color="0063A6"/>
            </w:tcBorders>
            <w:tcMar>
              <w:top w:w="57" w:type="dxa"/>
              <w:left w:w="57" w:type="dxa"/>
              <w:bottom w:w="57" w:type="dxa"/>
              <w:right w:w="57" w:type="dxa"/>
            </w:tcMar>
          </w:tcPr>
          <w:p w14:paraId="672459CD" w14:textId="7121F277" w:rsidR="003747D1" w:rsidRPr="002A0CFA" w:rsidRDefault="00D542E0" w:rsidP="003747D1">
            <w:pPr>
              <w:autoSpaceDE/>
              <w:autoSpaceDN/>
              <w:adjustRightInd/>
              <w:spacing w:before="0" w:after="0"/>
              <w:rPr>
                <w:sz w:val="20"/>
                <w:szCs w:val="20"/>
              </w:rPr>
            </w:pPr>
            <w:r>
              <w:rPr>
                <w:sz w:val="20"/>
                <w:szCs w:val="20"/>
              </w:rPr>
              <w:t xml:space="preserve">Calculating </w:t>
            </w:r>
            <w:r w:rsidRPr="00D542E0">
              <w:rPr>
                <w:sz w:val="20"/>
                <w:szCs w:val="20"/>
              </w:rPr>
              <w:t xml:space="preserve">reserve judges’ entitlement to be paid out long service </w:t>
            </w:r>
            <w:r>
              <w:rPr>
                <w:sz w:val="20"/>
                <w:szCs w:val="20"/>
              </w:rPr>
              <w:t>leave</w:t>
            </w:r>
            <w:r w:rsidRPr="00D542E0">
              <w:rPr>
                <w:sz w:val="20"/>
                <w:szCs w:val="20"/>
              </w:rPr>
              <w:t xml:space="preserve"> on a </w:t>
            </w:r>
            <w:r w:rsidRPr="00D542E0">
              <w:rPr>
                <w:i/>
                <w:sz w:val="20"/>
                <w:szCs w:val="20"/>
              </w:rPr>
              <w:t>pro rata</w:t>
            </w:r>
            <w:r w:rsidRPr="00D542E0">
              <w:rPr>
                <w:sz w:val="20"/>
                <w:szCs w:val="20"/>
              </w:rPr>
              <w:t xml:space="preserve"> basis on the salary for the period of accrual</w:t>
            </w:r>
          </w:p>
        </w:tc>
        <w:tc>
          <w:tcPr>
            <w:tcW w:w="2263" w:type="dxa"/>
            <w:tcBorders>
              <w:top w:val="single" w:sz="4" w:space="0" w:color="0063A6"/>
              <w:bottom w:val="single" w:sz="4" w:space="0" w:color="0063A6"/>
            </w:tcBorders>
            <w:tcMar>
              <w:top w:w="57" w:type="dxa"/>
              <w:left w:w="57" w:type="dxa"/>
              <w:bottom w:w="57" w:type="dxa"/>
              <w:right w:w="57" w:type="dxa"/>
            </w:tcMar>
            <w:vAlign w:val="bottom"/>
          </w:tcPr>
          <w:p w14:paraId="7895F83E" w14:textId="4491622E" w:rsidR="003747D1" w:rsidRPr="002A0CFA" w:rsidRDefault="00BE10C3" w:rsidP="003747D1">
            <w:pPr>
              <w:autoSpaceDE/>
              <w:autoSpaceDN/>
              <w:adjustRightInd/>
              <w:spacing w:before="0" w:after="0"/>
              <w:jc w:val="right"/>
              <w:rPr>
                <w:sz w:val="20"/>
                <w:szCs w:val="20"/>
              </w:rPr>
            </w:pPr>
            <w:r>
              <w:rPr>
                <w:sz w:val="20"/>
                <w:szCs w:val="20"/>
              </w:rPr>
              <w:t xml:space="preserve">Minimal </w:t>
            </w:r>
          </w:p>
        </w:tc>
      </w:tr>
      <w:tr w:rsidR="00A70989" w:rsidRPr="002A0CFA" w14:paraId="0D4A0014" w14:textId="77777777" w:rsidTr="00A70989">
        <w:trPr>
          <w:trHeight w:val="361"/>
        </w:trPr>
        <w:tc>
          <w:tcPr>
            <w:tcW w:w="483" w:type="dxa"/>
            <w:tcBorders>
              <w:top w:val="single" w:sz="4" w:space="0" w:color="0063A6"/>
              <w:bottom w:val="single" w:sz="4" w:space="0" w:color="0063A6"/>
            </w:tcBorders>
            <w:tcMar>
              <w:top w:w="57" w:type="dxa"/>
              <w:left w:w="57" w:type="dxa"/>
              <w:bottom w:w="57" w:type="dxa"/>
              <w:right w:w="57" w:type="dxa"/>
            </w:tcMar>
          </w:tcPr>
          <w:p w14:paraId="1D16526B" w14:textId="77777777" w:rsidR="00A70989" w:rsidRPr="002A0CFA" w:rsidRDefault="00A70989" w:rsidP="00956138">
            <w:pPr>
              <w:pStyle w:val="ListParagraph"/>
              <w:numPr>
                <w:ilvl w:val="0"/>
                <w:numId w:val="22"/>
              </w:numPr>
              <w:rPr>
                <w:sz w:val="20"/>
                <w:szCs w:val="20"/>
              </w:rPr>
            </w:pPr>
          </w:p>
        </w:tc>
        <w:tc>
          <w:tcPr>
            <w:tcW w:w="6747" w:type="dxa"/>
            <w:tcBorders>
              <w:top w:val="single" w:sz="4" w:space="0" w:color="0063A6"/>
              <w:bottom w:val="single" w:sz="4" w:space="0" w:color="0063A6"/>
            </w:tcBorders>
            <w:tcMar>
              <w:top w:w="57" w:type="dxa"/>
              <w:left w:w="57" w:type="dxa"/>
              <w:bottom w:w="57" w:type="dxa"/>
              <w:right w:w="57" w:type="dxa"/>
            </w:tcMar>
          </w:tcPr>
          <w:p w14:paraId="7C649ED8" w14:textId="7B5F20AF" w:rsidR="00A70989" w:rsidRDefault="00A70989" w:rsidP="003747D1">
            <w:pPr>
              <w:autoSpaceDE/>
              <w:autoSpaceDN/>
              <w:adjustRightInd/>
              <w:spacing w:before="0" w:after="0"/>
              <w:rPr>
                <w:sz w:val="20"/>
                <w:szCs w:val="20"/>
              </w:rPr>
            </w:pPr>
            <w:r>
              <w:rPr>
                <w:sz w:val="20"/>
                <w:szCs w:val="20"/>
              </w:rPr>
              <w:t>Recognising prior service as an acting magistrate for long service leave purposes</w:t>
            </w:r>
          </w:p>
        </w:tc>
        <w:tc>
          <w:tcPr>
            <w:tcW w:w="2263" w:type="dxa"/>
            <w:tcBorders>
              <w:top w:val="single" w:sz="4" w:space="0" w:color="0063A6"/>
              <w:bottom w:val="single" w:sz="4" w:space="0" w:color="0063A6"/>
            </w:tcBorders>
            <w:tcMar>
              <w:top w:w="57" w:type="dxa"/>
              <w:left w:w="57" w:type="dxa"/>
              <w:bottom w:w="57" w:type="dxa"/>
              <w:right w:w="57" w:type="dxa"/>
            </w:tcMar>
            <w:vAlign w:val="bottom"/>
          </w:tcPr>
          <w:p w14:paraId="3B2ECBB7" w14:textId="407F7815" w:rsidR="00A70989" w:rsidRDefault="00A70989" w:rsidP="003B5E6C">
            <w:pPr>
              <w:autoSpaceDE/>
              <w:autoSpaceDN/>
              <w:adjustRightInd/>
              <w:spacing w:before="0" w:after="20"/>
              <w:jc w:val="right"/>
              <w:rPr>
                <w:sz w:val="20"/>
                <w:szCs w:val="20"/>
              </w:rPr>
            </w:pPr>
            <w:r>
              <w:rPr>
                <w:sz w:val="20"/>
                <w:szCs w:val="20"/>
              </w:rPr>
              <w:t>Negligible</w:t>
            </w:r>
          </w:p>
        </w:tc>
      </w:tr>
      <w:tr w:rsidR="003747D1" w:rsidRPr="002A0CFA" w14:paraId="08A8EAED" w14:textId="77777777" w:rsidTr="00F74208">
        <w:tc>
          <w:tcPr>
            <w:tcW w:w="483" w:type="dxa"/>
            <w:tcBorders>
              <w:top w:val="single" w:sz="4" w:space="0" w:color="0063A6"/>
              <w:bottom w:val="single" w:sz="4" w:space="0" w:color="0063A6"/>
            </w:tcBorders>
            <w:tcMar>
              <w:top w:w="57" w:type="dxa"/>
              <w:left w:w="57" w:type="dxa"/>
              <w:bottom w:w="57" w:type="dxa"/>
              <w:right w:w="57" w:type="dxa"/>
            </w:tcMar>
          </w:tcPr>
          <w:p w14:paraId="2E26B5FA" w14:textId="77777777" w:rsidR="003747D1" w:rsidRPr="002A0CFA" w:rsidRDefault="003747D1" w:rsidP="00956138">
            <w:pPr>
              <w:pStyle w:val="ListParagraph"/>
              <w:numPr>
                <w:ilvl w:val="0"/>
                <w:numId w:val="22"/>
              </w:numPr>
              <w:rPr>
                <w:sz w:val="20"/>
                <w:szCs w:val="20"/>
              </w:rPr>
            </w:pPr>
          </w:p>
        </w:tc>
        <w:tc>
          <w:tcPr>
            <w:tcW w:w="6747" w:type="dxa"/>
            <w:tcBorders>
              <w:top w:val="single" w:sz="4" w:space="0" w:color="0063A6"/>
              <w:bottom w:val="single" w:sz="4" w:space="0" w:color="0063A6"/>
            </w:tcBorders>
            <w:tcMar>
              <w:top w:w="57" w:type="dxa"/>
              <w:left w:w="57" w:type="dxa"/>
              <w:bottom w:w="57" w:type="dxa"/>
              <w:right w:w="57" w:type="dxa"/>
            </w:tcMar>
          </w:tcPr>
          <w:p w14:paraId="1AD4A978" w14:textId="0B344EC2" w:rsidR="00D542E0" w:rsidRPr="002A0CFA" w:rsidRDefault="00D542E0" w:rsidP="00D542E0">
            <w:pPr>
              <w:autoSpaceDE/>
              <w:autoSpaceDN/>
              <w:adjustRightInd/>
              <w:spacing w:before="0" w:after="0"/>
              <w:rPr>
                <w:sz w:val="20"/>
                <w:szCs w:val="20"/>
              </w:rPr>
            </w:pPr>
            <w:r w:rsidRPr="002A0CFA">
              <w:rPr>
                <w:sz w:val="20"/>
                <w:szCs w:val="20"/>
              </w:rPr>
              <w:t xml:space="preserve">Entitling </w:t>
            </w:r>
            <w:r w:rsidR="004D7AE2">
              <w:rPr>
                <w:sz w:val="20"/>
                <w:szCs w:val="20"/>
              </w:rPr>
              <w:t xml:space="preserve">reserve </w:t>
            </w:r>
            <w:r w:rsidR="00AA55F4" w:rsidRPr="00AA55F4">
              <w:rPr>
                <w:sz w:val="20"/>
                <w:szCs w:val="20"/>
              </w:rPr>
              <w:t>associate judges of the Supreme Court</w:t>
            </w:r>
            <w:r w:rsidRPr="002A0CFA">
              <w:rPr>
                <w:sz w:val="20"/>
                <w:szCs w:val="20"/>
              </w:rPr>
              <w:t>:</w:t>
            </w:r>
          </w:p>
          <w:p w14:paraId="6B762779" w14:textId="6E4697B4" w:rsidR="00AA55F4" w:rsidRDefault="00AA55F4" w:rsidP="00956138">
            <w:pPr>
              <w:numPr>
                <w:ilvl w:val="0"/>
                <w:numId w:val="16"/>
              </w:numPr>
              <w:spacing w:before="0" w:after="0"/>
              <w:rPr>
                <w:sz w:val="20"/>
                <w:szCs w:val="20"/>
              </w:rPr>
            </w:pPr>
            <w:r>
              <w:rPr>
                <w:sz w:val="20"/>
                <w:szCs w:val="20"/>
              </w:rPr>
              <w:t xml:space="preserve">long </w:t>
            </w:r>
            <w:r w:rsidRPr="00AA55F4">
              <w:rPr>
                <w:sz w:val="20"/>
                <w:szCs w:val="20"/>
              </w:rPr>
              <w:t>service leave when serving on a full-time basis pro rata to the entitlement of associate judges</w:t>
            </w:r>
          </w:p>
          <w:p w14:paraId="50586AF6" w14:textId="4366FE50" w:rsidR="00AA55F4" w:rsidRPr="00AA55F4" w:rsidRDefault="00AA55F4" w:rsidP="00956138">
            <w:pPr>
              <w:numPr>
                <w:ilvl w:val="0"/>
                <w:numId w:val="16"/>
              </w:numPr>
              <w:spacing w:before="0" w:after="0"/>
              <w:rPr>
                <w:sz w:val="20"/>
                <w:szCs w:val="20"/>
              </w:rPr>
            </w:pPr>
            <w:r w:rsidRPr="00CC2F53">
              <w:rPr>
                <w:i/>
                <w:sz w:val="20"/>
                <w:szCs w:val="20"/>
              </w:rPr>
              <w:t>pro rata</w:t>
            </w:r>
            <w:r>
              <w:rPr>
                <w:sz w:val="20"/>
                <w:szCs w:val="20"/>
              </w:rPr>
              <w:t xml:space="preserve"> </w:t>
            </w:r>
            <w:r w:rsidRPr="00AA55F4">
              <w:rPr>
                <w:sz w:val="20"/>
                <w:szCs w:val="20"/>
              </w:rPr>
              <w:t xml:space="preserve">motor vehicle entitlement </w:t>
            </w:r>
          </w:p>
          <w:p w14:paraId="6B0C47D1" w14:textId="77777777" w:rsidR="00AA55F4" w:rsidRPr="00AA55F4" w:rsidRDefault="00AA55F4" w:rsidP="00956138">
            <w:pPr>
              <w:numPr>
                <w:ilvl w:val="0"/>
                <w:numId w:val="16"/>
              </w:numPr>
              <w:spacing w:before="0" w:after="0"/>
              <w:rPr>
                <w:sz w:val="20"/>
                <w:szCs w:val="20"/>
              </w:rPr>
            </w:pPr>
            <w:r w:rsidRPr="00CC2F53">
              <w:rPr>
                <w:i/>
                <w:sz w:val="20"/>
                <w:szCs w:val="20"/>
              </w:rPr>
              <w:t>pro rata</w:t>
            </w:r>
            <w:r w:rsidRPr="00AA55F4">
              <w:rPr>
                <w:sz w:val="20"/>
                <w:szCs w:val="20"/>
              </w:rPr>
              <w:t xml:space="preserve"> professional development allowance</w:t>
            </w:r>
          </w:p>
          <w:p w14:paraId="512BFEB5" w14:textId="0FCF27DD" w:rsidR="00AA55F4" w:rsidRPr="00AA55F4" w:rsidRDefault="00AA55F4" w:rsidP="00956138">
            <w:pPr>
              <w:numPr>
                <w:ilvl w:val="0"/>
                <w:numId w:val="16"/>
              </w:numPr>
              <w:spacing w:before="0" w:after="0"/>
              <w:rPr>
                <w:sz w:val="20"/>
                <w:szCs w:val="20"/>
              </w:rPr>
            </w:pPr>
            <w:r w:rsidRPr="00CC2F53">
              <w:rPr>
                <w:i/>
                <w:sz w:val="20"/>
                <w:szCs w:val="20"/>
              </w:rPr>
              <w:t>pro rata</w:t>
            </w:r>
            <w:r w:rsidRPr="00AA55F4">
              <w:rPr>
                <w:sz w:val="20"/>
                <w:szCs w:val="20"/>
              </w:rPr>
              <w:t xml:space="preserve"> public transport entitlement</w:t>
            </w:r>
            <w:r w:rsidR="0055143B">
              <w:rPr>
                <w:sz w:val="20"/>
                <w:szCs w:val="20"/>
              </w:rPr>
              <w:t xml:space="preserve"> during periods of engagement</w:t>
            </w:r>
          </w:p>
          <w:p w14:paraId="1FD7413E" w14:textId="063631B7" w:rsidR="00AA55F4" w:rsidRPr="00AA55F4" w:rsidRDefault="00AA55F4" w:rsidP="00956138">
            <w:pPr>
              <w:numPr>
                <w:ilvl w:val="0"/>
                <w:numId w:val="16"/>
              </w:numPr>
              <w:spacing w:before="0" w:after="0"/>
              <w:rPr>
                <w:sz w:val="20"/>
                <w:szCs w:val="20"/>
              </w:rPr>
            </w:pPr>
            <w:r w:rsidRPr="00AA55F4">
              <w:rPr>
                <w:sz w:val="20"/>
                <w:szCs w:val="20"/>
              </w:rPr>
              <w:t xml:space="preserve">travel allowances to cover accommodation (where necessary), meals and incidentals when travelling on circuit, in accordance with the </w:t>
            </w:r>
            <w:r w:rsidR="00545725">
              <w:rPr>
                <w:sz w:val="20"/>
                <w:szCs w:val="20"/>
              </w:rPr>
              <w:t>CSV</w:t>
            </w:r>
            <w:r w:rsidRPr="00AA55F4">
              <w:rPr>
                <w:sz w:val="20"/>
                <w:szCs w:val="20"/>
              </w:rPr>
              <w:t xml:space="preserve"> judicial travel policy, and </w:t>
            </w:r>
          </w:p>
          <w:p w14:paraId="1E200DFE" w14:textId="01058186" w:rsidR="00D542E0" w:rsidRPr="00AA55F4" w:rsidRDefault="00AA55F4" w:rsidP="00956138">
            <w:pPr>
              <w:numPr>
                <w:ilvl w:val="0"/>
                <w:numId w:val="16"/>
              </w:numPr>
              <w:spacing w:before="0" w:after="0"/>
              <w:rPr>
                <w:sz w:val="20"/>
                <w:szCs w:val="20"/>
              </w:rPr>
            </w:pPr>
            <w:r w:rsidRPr="00AA55F4">
              <w:rPr>
                <w:sz w:val="20"/>
                <w:szCs w:val="20"/>
              </w:rPr>
              <w:t>overseas or interstate travel in accordance with the CSV judicial travel policy.</w:t>
            </w:r>
          </w:p>
        </w:tc>
        <w:tc>
          <w:tcPr>
            <w:tcW w:w="2263" w:type="dxa"/>
            <w:tcBorders>
              <w:top w:val="single" w:sz="4" w:space="0" w:color="0063A6"/>
              <w:bottom w:val="single" w:sz="4" w:space="0" w:color="0063A6"/>
            </w:tcBorders>
            <w:tcMar>
              <w:top w:w="57" w:type="dxa"/>
              <w:left w:w="57" w:type="dxa"/>
              <w:bottom w:w="57" w:type="dxa"/>
              <w:right w:w="57" w:type="dxa"/>
            </w:tcMar>
            <w:vAlign w:val="bottom"/>
          </w:tcPr>
          <w:p w14:paraId="4EC57867" w14:textId="15A4B0C9" w:rsidR="003747D1" w:rsidRPr="002A0CFA" w:rsidRDefault="000667ED" w:rsidP="00A70989">
            <w:pPr>
              <w:autoSpaceDE/>
              <w:autoSpaceDN/>
              <w:adjustRightInd/>
              <w:spacing w:before="0" w:after="0"/>
              <w:jc w:val="right"/>
              <w:rPr>
                <w:sz w:val="20"/>
                <w:szCs w:val="20"/>
              </w:rPr>
            </w:pPr>
            <w:r>
              <w:rPr>
                <w:sz w:val="20"/>
                <w:szCs w:val="20"/>
              </w:rPr>
              <w:t xml:space="preserve">Negligible </w:t>
            </w:r>
          </w:p>
        </w:tc>
      </w:tr>
      <w:tr w:rsidR="003747D1" w:rsidRPr="002A0CFA" w14:paraId="75224A2E" w14:textId="77777777" w:rsidTr="00F74208">
        <w:tc>
          <w:tcPr>
            <w:tcW w:w="483" w:type="dxa"/>
            <w:tcBorders>
              <w:top w:val="single" w:sz="4" w:space="0" w:color="0063A6"/>
            </w:tcBorders>
            <w:tcMar>
              <w:top w:w="57" w:type="dxa"/>
              <w:left w:w="57" w:type="dxa"/>
              <w:bottom w:w="57" w:type="dxa"/>
              <w:right w:w="57" w:type="dxa"/>
            </w:tcMar>
          </w:tcPr>
          <w:p w14:paraId="534941F7" w14:textId="77777777" w:rsidR="003747D1" w:rsidRPr="002A0CFA" w:rsidRDefault="003747D1" w:rsidP="00956138">
            <w:pPr>
              <w:pStyle w:val="ListParagraph"/>
              <w:numPr>
                <w:ilvl w:val="0"/>
                <w:numId w:val="22"/>
              </w:numPr>
              <w:rPr>
                <w:sz w:val="20"/>
                <w:szCs w:val="20"/>
              </w:rPr>
            </w:pPr>
          </w:p>
        </w:tc>
        <w:tc>
          <w:tcPr>
            <w:tcW w:w="6747" w:type="dxa"/>
            <w:tcBorders>
              <w:top w:val="single" w:sz="4" w:space="0" w:color="0063A6"/>
            </w:tcBorders>
            <w:tcMar>
              <w:top w:w="57" w:type="dxa"/>
              <w:left w:w="57" w:type="dxa"/>
              <w:bottom w:w="57" w:type="dxa"/>
              <w:right w:w="57" w:type="dxa"/>
            </w:tcMar>
          </w:tcPr>
          <w:p w14:paraId="3C747F97" w14:textId="3149F84D" w:rsidR="003747D1" w:rsidRPr="002A0CFA" w:rsidRDefault="003B143E" w:rsidP="003747D1">
            <w:pPr>
              <w:autoSpaceDE/>
              <w:autoSpaceDN/>
              <w:adjustRightInd/>
              <w:spacing w:before="0" w:after="0"/>
              <w:rPr>
                <w:sz w:val="20"/>
                <w:szCs w:val="20"/>
              </w:rPr>
            </w:pPr>
            <w:r>
              <w:rPr>
                <w:sz w:val="20"/>
                <w:szCs w:val="20"/>
              </w:rPr>
              <w:t xml:space="preserve">Increasing </w:t>
            </w:r>
            <w:r w:rsidRPr="003B143E">
              <w:rPr>
                <w:sz w:val="20"/>
                <w:szCs w:val="20"/>
              </w:rPr>
              <w:t>magistrates’ annual leave from four weeks to six weeks</w:t>
            </w:r>
          </w:p>
        </w:tc>
        <w:tc>
          <w:tcPr>
            <w:tcW w:w="2263" w:type="dxa"/>
            <w:tcBorders>
              <w:top w:val="single" w:sz="4" w:space="0" w:color="0063A6"/>
            </w:tcBorders>
            <w:tcMar>
              <w:top w:w="57" w:type="dxa"/>
              <w:left w:w="57" w:type="dxa"/>
              <w:bottom w:w="57" w:type="dxa"/>
              <w:right w:w="57" w:type="dxa"/>
            </w:tcMar>
            <w:vAlign w:val="bottom"/>
          </w:tcPr>
          <w:p w14:paraId="5C4F9C0B" w14:textId="6C9067B0" w:rsidR="003747D1" w:rsidRPr="002A0CFA" w:rsidRDefault="00B558A2" w:rsidP="00793936">
            <w:pPr>
              <w:autoSpaceDE/>
              <w:autoSpaceDN/>
              <w:adjustRightInd/>
              <w:spacing w:before="0" w:after="0"/>
              <w:jc w:val="right"/>
              <w:rPr>
                <w:sz w:val="20"/>
                <w:szCs w:val="20"/>
              </w:rPr>
            </w:pPr>
            <w:r>
              <w:rPr>
                <w:sz w:val="20"/>
                <w:szCs w:val="20"/>
              </w:rPr>
              <w:t>1,250,000 per year</w:t>
            </w:r>
          </w:p>
        </w:tc>
      </w:tr>
      <w:tr w:rsidR="00CE79E0" w:rsidRPr="002A0CFA" w14:paraId="0EC17C0B" w14:textId="77777777" w:rsidTr="00F74208">
        <w:tc>
          <w:tcPr>
            <w:tcW w:w="483" w:type="dxa"/>
            <w:tcBorders>
              <w:top w:val="single" w:sz="4" w:space="0" w:color="0063A6"/>
            </w:tcBorders>
            <w:tcMar>
              <w:top w:w="57" w:type="dxa"/>
              <w:left w:w="57" w:type="dxa"/>
              <w:bottom w:w="57" w:type="dxa"/>
              <w:right w:w="57" w:type="dxa"/>
            </w:tcMar>
          </w:tcPr>
          <w:p w14:paraId="496730D3" w14:textId="77777777" w:rsidR="00CE79E0" w:rsidRPr="002A0CFA" w:rsidRDefault="00CE79E0" w:rsidP="00956138">
            <w:pPr>
              <w:pStyle w:val="ListParagraph"/>
              <w:numPr>
                <w:ilvl w:val="0"/>
                <w:numId w:val="22"/>
              </w:numPr>
              <w:rPr>
                <w:sz w:val="20"/>
                <w:szCs w:val="20"/>
              </w:rPr>
            </w:pPr>
          </w:p>
        </w:tc>
        <w:tc>
          <w:tcPr>
            <w:tcW w:w="6747" w:type="dxa"/>
            <w:tcBorders>
              <w:top w:val="single" w:sz="4" w:space="0" w:color="0063A6"/>
            </w:tcBorders>
            <w:tcMar>
              <w:top w:w="57" w:type="dxa"/>
              <w:left w:w="57" w:type="dxa"/>
              <w:bottom w:w="57" w:type="dxa"/>
              <w:right w:w="57" w:type="dxa"/>
            </w:tcMar>
          </w:tcPr>
          <w:p w14:paraId="16C8EDD0" w14:textId="24DFA753" w:rsidR="00CE79E0" w:rsidRDefault="00D10FB3" w:rsidP="003747D1">
            <w:pPr>
              <w:autoSpaceDE/>
              <w:autoSpaceDN/>
              <w:adjustRightInd/>
              <w:spacing w:before="0" w:after="0"/>
              <w:rPr>
                <w:sz w:val="20"/>
                <w:szCs w:val="20"/>
              </w:rPr>
            </w:pPr>
            <w:r>
              <w:rPr>
                <w:sz w:val="20"/>
                <w:szCs w:val="20"/>
              </w:rPr>
              <w:t>Increasing magistrates’ living away from home allowance</w:t>
            </w:r>
          </w:p>
        </w:tc>
        <w:tc>
          <w:tcPr>
            <w:tcW w:w="2263" w:type="dxa"/>
            <w:tcBorders>
              <w:top w:val="single" w:sz="4" w:space="0" w:color="0063A6"/>
            </w:tcBorders>
            <w:tcMar>
              <w:top w:w="57" w:type="dxa"/>
              <w:left w:w="57" w:type="dxa"/>
              <w:bottom w:w="57" w:type="dxa"/>
              <w:right w:w="57" w:type="dxa"/>
            </w:tcMar>
            <w:vAlign w:val="bottom"/>
          </w:tcPr>
          <w:p w14:paraId="35581244" w14:textId="5C789F99" w:rsidR="00CE79E0" w:rsidRDefault="00D10FB3" w:rsidP="00793936">
            <w:pPr>
              <w:autoSpaceDE/>
              <w:autoSpaceDN/>
              <w:adjustRightInd/>
              <w:spacing w:before="0" w:after="0"/>
              <w:jc w:val="right"/>
              <w:rPr>
                <w:sz w:val="20"/>
                <w:szCs w:val="20"/>
              </w:rPr>
            </w:pPr>
            <w:r>
              <w:rPr>
                <w:sz w:val="20"/>
                <w:szCs w:val="20"/>
              </w:rPr>
              <w:t>Variable</w:t>
            </w:r>
          </w:p>
        </w:tc>
      </w:tr>
      <w:tr w:rsidR="003747D1" w:rsidRPr="002A0CFA" w14:paraId="45154A47" w14:textId="77777777" w:rsidTr="003747D1">
        <w:tc>
          <w:tcPr>
            <w:tcW w:w="7230" w:type="dxa"/>
            <w:gridSpan w:val="2"/>
            <w:tcBorders>
              <w:top w:val="single" w:sz="12" w:space="0" w:color="0063A6"/>
              <w:bottom w:val="single" w:sz="12" w:space="0" w:color="0063A6"/>
            </w:tcBorders>
            <w:tcMar>
              <w:top w:w="57" w:type="dxa"/>
              <w:left w:w="57" w:type="dxa"/>
              <w:bottom w:w="57" w:type="dxa"/>
              <w:right w:w="57" w:type="dxa"/>
            </w:tcMar>
          </w:tcPr>
          <w:p w14:paraId="516253DF" w14:textId="77777777" w:rsidR="003747D1" w:rsidRPr="002A0CFA" w:rsidRDefault="003747D1" w:rsidP="003747D1">
            <w:pPr>
              <w:autoSpaceDE/>
              <w:autoSpaceDN/>
              <w:adjustRightInd/>
              <w:spacing w:before="0" w:after="0"/>
              <w:jc w:val="right"/>
              <w:rPr>
                <w:b/>
                <w:sz w:val="20"/>
                <w:szCs w:val="20"/>
              </w:rPr>
            </w:pPr>
            <w:r w:rsidRPr="002A0CFA">
              <w:rPr>
                <w:b/>
                <w:color w:val="0063A6"/>
                <w:sz w:val="20"/>
                <w:szCs w:val="20"/>
              </w:rPr>
              <w:t>Total</w:t>
            </w:r>
          </w:p>
        </w:tc>
        <w:tc>
          <w:tcPr>
            <w:tcW w:w="2263" w:type="dxa"/>
            <w:tcBorders>
              <w:top w:val="single" w:sz="12" w:space="0" w:color="0063A6"/>
              <w:bottom w:val="single" w:sz="12" w:space="0" w:color="0063A6"/>
            </w:tcBorders>
            <w:tcMar>
              <w:top w:w="57" w:type="dxa"/>
              <w:left w:w="57" w:type="dxa"/>
              <w:bottom w:w="57" w:type="dxa"/>
              <w:right w:w="57" w:type="dxa"/>
            </w:tcMar>
            <w:vAlign w:val="bottom"/>
          </w:tcPr>
          <w:p w14:paraId="34848D1B" w14:textId="3E1B9F46" w:rsidR="00BC2067" w:rsidRDefault="00170CD9" w:rsidP="00BC2067">
            <w:pPr>
              <w:autoSpaceDE/>
              <w:autoSpaceDN/>
              <w:adjustRightInd/>
              <w:spacing w:before="0" w:after="0"/>
              <w:jc w:val="right"/>
              <w:rPr>
                <w:b/>
                <w:sz w:val="20"/>
                <w:szCs w:val="20"/>
              </w:rPr>
            </w:pPr>
            <w:r>
              <w:rPr>
                <w:b/>
                <w:sz w:val="20"/>
                <w:szCs w:val="20"/>
              </w:rPr>
              <w:t xml:space="preserve">Minimally </w:t>
            </w:r>
            <w:proofErr w:type="gramStart"/>
            <w:r w:rsidR="00BC2067">
              <w:rPr>
                <w:b/>
                <w:sz w:val="20"/>
                <w:szCs w:val="20"/>
              </w:rPr>
              <w:t>in excess of</w:t>
            </w:r>
            <w:proofErr w:type="gramEnd"/>
            <w:r w:rsidR="00BC2067">
              <w:rPr>
                <w:b/>
                <w:sz w:val="20"/>
                <w:szCs w:val="20"/>
              </w:rPr>
              <w:t xml:space="preserve"> </w:t>
            </w:r>
          </w:p>
          <w:p w14:paraId="4438760B" w14:textId="26E71AC7" w:rsidR="00BC2067" w:rsidRPr="00F74208" w:rsidRDefault="00B558A2" w:rsidP="00BC2067">
            <w:pPr>
              <w:autoSpaceDE/>
              <w:autoSpaceDN/>
              <w:adjustRightInd/>
              <w:spacing w:before="0" w:after="0"/>
              <w:jc w:val="right"/>
              <w:rPr>
                <w:b/>
                <w:sz w:val="20"/>
                <w:szCs w:val="20"/>
              </w:rPr>
            </w:pPr>
            <w:r>
              <w:rPr>
                <w:b/>
                <w:sz w:val="20"/>
                <w:szCs w:val="20"/>
              </w:rPr>
              <w:t>1,350,000 per yea</w:t>
            </w:r>
            <w:r w:rsidR="00BC2067">
              <w:rPr>
                <w:b/>
                <w:sz w:val="20"/>
                <w:szCs w:val="20"/>
              </w:rPr>
              <w:t>r</w:t>
            </w:r>
          </w:p>
        </w:tc>
      </w:tr>
    </w:tbl>
    <w:p w14:paraId="5405D09C" w14:textId="77777777" w:rsidR="00D60CB4" w:rsidRDefault="00D60CB4" w:rsidP="00651C94">
      <w:pPr>
        <w:pStyle w:val="Heading1"/>
        <w:rPr>
          <w:rFonts w:eastAsia="Calibri"/>
        </w:rPr>
      </w:pPr>
    </w:p>
    <w:p w14:paraId="4F10A6B4" w14:textId="27D0B62E" w:rsidR="00D60CB4" w:rsidRPr="00B0652B" w:rsidRDefault="00D60CB4" w:rsidP="00956138">
      <w:pPr>
        <w:pStyle w:val="ListParagraph"/>
        <w:numPr>
          <w:ilvl w:val="0"/>
          <w:numId w:val="30"/>
        </w:numPr>
        <w:rPr>
          <w:b/>
          <w:bCs/>
          <w:color w:val="0063A6"/>
          <w:kern w:val="32"/>
          <w:sz w:val="32"/>
          <w:szCs w:val="32"/>
        </w:rPr>
      </w:pPr>
      <w:r>
        <w:br w:type="page"/>
      </w:r>
    </w:p>
    <w:p w14:paraId="0E45482E" w14:textId="2E198794" w:rsidR="00685B39" w:rsidRDefault="009F0180" w:rsidP="00651C94">
      <w:pPr>
        <w:pStyle w:val="Heading1"/>
        <w:rPr>
          <w:rFonts w:eastAsia="Calibri"/>
        </w:rPr>
      </w:pPr>
      <w:bookmarkStart w:id="6" w:name="_Toc41306031"/>
      <w:r w:rsidRPr="00685B39">
        <w:rPr>
          <w:rFonts w:eastAsia="Calibri"/>
        </w:rPr>
        <w:lastRenderedPageBreak/>
        <w:t>Background</w:t>
      </w:r>
      <w:bookmarkEnd w:id="6"/>
    </w:p>
    <w:p w14:paraId="12EEC057" w14:textId="02B90A1C" w:rsidR="009F0180" w:rsidRPr="009F3C21" w:rsidRDefault="009F0180" w:rsidP="009F3C21">
      <w:pPr>
        <w:pStyle w:val="Heading2"/>
        <w:rPr>
          <w:rFonts w:eastAsia="Calibri"/>
        </w:rPr>
      </w:pPr>
      <w:bookmarkStart w:id="7" w:name="_Toc41306032"/>
      <w:r w:rsidRPr="009F3C21">
        <w:rPr>
          <w:rFonts w:eastAsia="Calibri"/>
        </w:rPr>
        <w:t xml:space="preserve">Legislative </w:t>
      </w:r>
      <w:r w:rsidR="00A277D2">
        <w:rPr>
          <w:rFonts w:eastAsia="Calibri"/>
        </w:rPr>
        <w:t>b</w:t>
      </w:r>
      <w:r w:rsidRPr="009F3C21">
        <w:rPr>
          <w:rFonts w:eastAsia="Calibri"/>
        </w:rPr>
        <w:t>ackground</w:t>
      </w:r>
      <w:bookmarkEnd w:id="7"/>
      <w:r w:rsidRPr="009F3C21">
        <w:rPr>
          <w:rFonts w:eastAsia="Calibri"/>
        </w:rPr>
        <w:t xml:space="preserve"> </w:t>
      </w:r>
    </w:p>
    <w:p w14:paraId="00AD0B1A" w14:textId="0C21FA55" w:rsidR="00DF6A01" w:rsidRDefault="009F0180" w:rsidP="00DF6A01">
      <w:r w:rsidRPr="00685B39">
        <w:t xml:space="preserve">The </w:t>
      </w:r>
      <w:r w:rsidR="00DF6A01" w:rsidRPr="00A107F1">
        <w:rPr>
          <w:i/>
        </w:rPr>
        <w:t>Judicial Entitlements Act 2015</w:t>
      </w:r>
      <w:r w:rsidR="00DF6A01">
        <w:t xml:space="preserve"> (</w:t>
      </w:r>
      <w:r w:rsidR="00A277D2">
        <w:t>JE Act</w:t>
      </w:r>
      <w:r w:rsidR="00DF6A01">
        <w:t>)</w:t>
      </w:r>
      <w:r w:rsidRPr="00685B39">
        <w:t xml:space="preserve"> </w:t>
      </w:r>
      <w:r w:rsidR="00C32C20">
        <w:t>regulates the</w:t>
      </w:r>
      <w:r w:rsidR="00DF6A01">
        <w:t xml:space="preserve"> determination of salaries, </w:t>
      </w:r>
      <w:proofErr w:type="gramStart"/>
      <w:r w:rsidR="00DF6A01">
        <w:t>allowances</w:t>
      </w:r>
      <w:proofErr w:type="gramEnd"/>
      <w:r w:rsidR="00DF6A01">
        <w:t xml:space="preserve"> and conditions of service for Victorian judicial officers. </w:t>
      </w:r>
    </w:p>
    <w:p w14:paraId="4AF40593" w14:textId="66FEB15B" w:rsidR="000F7F7D" w:rsidRDefault="000F7F7D" w:rsidP="00DF6A01">
      <w:r>
        <w:t>Section 11 of the JE Act entitles a judicial officer to the conditions of service provided for in any entitlement certificate applicable to his or her office. The Attorney-General issues these entitlement certificates under section 35 of the JE Act.</w:t>
      </w:r>
    </w:p>
    <w:p w14:paraId="53E6DE21" w14:textId="7A8446A7" w:rsidR="000F7F7D" w:rsidRPr="008664A2" w:rsidRDefault="000F7F7D" w:rsidP="00DF6A01">
      <w:r>
        <w:t>Some certificates issued under the</w:t>
      </w:r>
      <w:r w:rsidR="008664A2">
        <w:t xml:space="preserve"> previous legislation, the now repealed </w:t>
      </w:r>
      <w:r w:rsidR="008664A2">
        <w:rPr>
          <w:i/>
        </w:rPr>
        <w:t>Judicial Remuneration Tribunal Act 1995</w:t>
      </w:r>
      <w:r w:rsidR="008664A2">
        <w:t xml:space="preserve"> (JRT Act), remain current. Under section 43 of the JE Act, any certifi</w:t>
      </w:r>
      <w:r w:rsidR="004D7AE2">
        <w:t>cate</w:t>
      </w:r>
      <w:r w:rsidR="008664A2">
        <w:t xml:space="preserve"> issued under section 15 of the JRT Act in force immediately before its repeal is </w:t>
      </w:r>
      <w:r w:rsidR="009D2D63">
        <w:t>considered</w:t>
      </w:r>
      <w:r w:rsidR="008664A2">
        <w:t xml:space="preserve"> an entitlement certificate under the JE Act. </w:t>
      </w:r>
    </w:p>
    <w:p w14:paraId="06500297" w14:textId="6189B2C8" w:rsidR="00DF6A01" w:rsidRDefault="00DF6A01" w:rsidP="00DF6A01">
      <w:r>
        <w:t>The Judicial Entitlements Panel (Panel) was established by the JE Act and consists of three members who are appointed by the Governor in Council, on the recommendation of the Attorney-General. The inaugural panel was appointed on 15 June 2016 for a period of four years.</w:t>
      </w:r>
    </w:p>
    <w:p w14:paraId="13B09D73" w14:textId="4A066557" w:rsidR="001F452A" w:rsidRDefault="00DF6A01" w:rsidP="001F452A">
      <w:pPr>
        <w:pStyle w:val="Heading4"/>
        <w:rPr>
          <w:rFonts w:eastAsia="Calibri"/>
        </w:rPr>
      </w:pPr>
      <w:r>
        <w:rPr>
          <w:rFonts w:eastAsia="Calibri"/>
        </w:rPr>
        <w:t xml:space="preserve">Panel </w:t>
      </w:r>
      <w:r w:rsidR="001F452A">
        <w:rPr>
          <w:rFonts w:eastAsia="Calibri"/>
        </w:rPr>
        <w:t>Responsibilities</w:t>
      </w:r>
    </w:p>
    <w:p w14:paraId="7994F28E" w14:textId="76DC8FFD" w:rsidR="009F0180" w:rsidRPr="00685B39" w:rsidRDefault="00685B39" w:rsidP="00BD6777">
      <w:r w:rsidRPr="00685B39">
        <w:t xml:space="preserve">Under the JE Act, the </w:t>
      </w:r>
      <w:r w:rsidR="009F0180" w:rsidRPr="00685B39">
        <w:t xml:space="preserve">Panel is responsible </w:t>
      </w:r>
      <w:r w:rsidR="009F0180" w:rsidRPr="00685B39">
        <w:rPr>
          <w:color w:val="222323"/>
        </w:rPr>
        <w:t>for:</w:t>
      </w:r>
    </w:p>
    <w:p w14:paraId="622A311D" w14:textId="0226F469" w:rsidR="009F0180" w:rsidRPr="00685B39" w:rsidRDefault="009F0180" w:rsidP="00956138">
      <w:pPr>
        <w:numPr>
          <w:ilvl w:val="0"/>
          <w:numId w:val="17"/>
        </w:numPr>
        <w:ind w:left="714" w:hanging="357"/>
      </w:pPr>
      <w:r w:rsidRPr="00685B39">
        <w:t xml:space="preserve">making </w:t>
      </w:r>
      <w:r w:rsidRPr="00453000">
        <w:t xml:space="preserve">own </w:t>
      </w:r>
      <w:r w:rsidRPr="00685B39">
        <w:t xml:space="preserve">motion recommendations to </w:t>
      </w:r>
      <w:r w:rsidRPr="00453000">
        <w:t xml:space="preserve">the </w:t>
      </w:r>
      <w:r w:rsidRPr="00685B39">
        <w:t xml:space="preserve">Attorney-General </w:t>
      </w:r>
      <w:r w:rsidRPr="00453000">
        <w:t>i</w:t>
      </w:r>
      <w:r w:rsidRPr="00685B39">
        <w:t xml:space="preserve">n </w:t>
      </w:r>
      <w:r w:rsidRPr="00453000">
        <w:t xml:space="preserve">relation to </w:t>
      </w:r>
      <w:r w:rsidR="00327B54" w:rsidRPr="00685B39">
        <w:t xml:space="preserve">leave </w:t>
      </w:r>
      <w:r w:rsidRPr="00453000">
        <w:t xml:space="preserve">entitlements, accrued </w:t>
      </w:r>
      <w:r w:rsidRPr="00685B39">
        <w:t xml:space="preserve">leave, </w:t>
      </w:r>
      <w:r w:rsidRPr="00453000">
        <w:t xml:space="preserve">allowances and </w:t>
      </w:r>
      <w:r w:rsidRPr="00685B39">
        <w:t xml:space="preserve">benefits provided </w:t>
      </w:r>
      <w:r w:rsidRPr="00453000">
        <w:t xml:space="preserve">to or on </w:t>
      </w:r>
      <w:r w:rsidRPr="00685B39">
        <w:t xml:space="preserve">behalf </w:t>
      </w:r>
      <w:r w:rsidRPr="00453000">
        <w:t xml:space="preserve">of </w:t>
      </w:r>
      <w:r w:rsidR="00327B54" w:rsidRPr="00685B39">
        <w:t xml:space="preserve">judicial </w:t>
      </w:r>
      <w:r w:rsidRPr="00453000">
        <w:t>officers</w:t>
      </w:r>
    </w:p>
    <w:p w14:paraId="07AB055F" w14:textId="2D4B6787" w:rsidR="009F0180" w:rsidRPr="00685B39" w:rsidRDefault="009F0180" w:rsidP="00956138">
      <w:pPr>
        <w:numPr>
          <w:ilvl w:val="0"/>
          <w:numId w:val="17"/>
        </w:numPr>
        <w:ind w:left="714" w:hanging="357"/>
      </w:pPr>
      <w:r w:rsidRPr="00685B39">
        <w:t xml:space="preserve">providing advisory opinions </w:t>
      </w:r>
      <w:r w:rsidRPr="00453000">
        <w:t xml:space="preserve">in relation to </w:t>
      </w:r>
      <w:r w:rsidRPr="00685B39">
        <w:t xml:space="preserve">entitlements of </w:t>
      </w:r>
      <w:r w:rsidRPr="00453000">
        <w:t>judici</w:t>
      </w:r>
      <w:r w:rsidRPr="00685B39">
        <w:t xml:space="preserve">al officers, </w:t>
      </w:r>
      <w:r w:rsidRPr="00453000">
        <w:t xml:space="preserve">judicial </w:t>
      </w:r>
      <w:proofErr w:type="gramStart"/>
      <w:r w:rsidR="00327B54" w:rsidRPr="00685B39">
        <w:t>registrars</w:t>
      </w:r>
      <w:proofErr w:type="gramEnd"/>
      <w:r w:rsidR="00327B54" w:rsidRPr="00685B39">
        <w:t xml:space="preserve"> </w:t>
      </w:r>
      <w:r w:rsidRPr="00453000">
        <w:t xml:space="preserve">and non-judicial members </w:t>
      </w:r>
      <w:r w:rsidRPr="00685B39">
        <w:t xml:space="preserve">of the Victorian Civil </w:t>
      </w:r>
      <w:r w:rsidRPr="00453000">
        <w:t xml:space="preserve">and Administrative </w:t>
      </w:r>
      <w:r w:rsidRPr="00685B39">
        <w:t>Tribunal (VCAT)</w:t>
      </w:r>
      <w:r w:rsidRPr="00453000">
        <w:t xml:space="preserve">, </w:t>
      </w:r>
      <w:r w:rsidR="00327B54" w:rsidRPr="00685B39">
        <w:t xml:space="preserve">when </w:t>
      </w:r>
      <w:r w:rsidRPr="00453000">
        <w:t xml:space="preserve">requested by </w:t>
      </w:r>
      <w:r w:rsidRPr="00685B39">
        <w:t xml:space="preserve">the </w:t>
      </w:r>
      <w:r w:rsidR="005032C9" w:rsidRPr="00453000">
        <w:t>Attorney-General</w:t>
      </w:r>
      <w:r w:rsidR="007A4326">
        <w:t>,</w:t>
      </w:r>
      <w:r w:rsidR="00B420AE">
        <w:t xml:space="preserve"> and</w:t>
      </w:r>
    </w:p>
    <w:p w14:paraId="46F9CD33" w14:textId="77777777" w:rsidR="009F0180" w:rsidRPr="00453000" w:rsidRDefault="009F0180" w:rsidP="00956138">
      <w:pPr>
        <w:numPr>
          <w:ilvl w:val="0"/>
          <w:numId w:val="17"/>
        </w:numPr>
        <w:ind w:left="714" w:hanging="357"/>
      </w:pPr>
      <w:r w:rsidRPr="00685B39">
        <w:t xml:space="preserve">providing </w:t>
      </w:r>
      <w:r w:rsidRPr="00453000">
        <w:t xml:space="preserve">advisory </w:t>
      </w:r>
      <w:r w:rsidRPr="00685B39">
        <w:t xml:space="preserve">opinions </w:t>
      </w:r>
      <w:r w:rsidRPr="00453000">
        <w:t xml:space="preserve">in </w:t>
      </w:r>
      <w:r w:rsidRPr="00685B39">
        <w:t xml:space="preserve">relation </w:t>
      </w:r>
      <w:r w:rsidRPr="00453000">
        <w:t xml:space="preserve">to </w:t>
      </w:r>
      <w:r w:rsidRPr="00685B39">
        <w:t xml:space="preserve">any </w:t>
      </w:r>
      <w:r w:rsidRPr="00453000">
        <w:t xml:space="preserve">matter relating </w:t>
      </w:r>
      <w:r w:rsidRPr="00685B39">
        <w:t xml:space="preserve">to </w:t>
      </w:r>
      <w:r w:rsidRPr="00453000">
        <w:t>leave entitl</w:t>
      </w:r>
      <w:r w:rsidR="00327B54" w:rsidRPr="00453000">
        <w:t xml:space="preserve">ements, accrued </w:t>
      </w:r>
      <w:r w:rsidRPr="00453000">
        <w:t xml:space="preserve">leave, </w:t>
      </w:r>
      <w:r w:rsidRPr="00685B39">
        <w:t xml:space="preserve">allowances and benefits provided to or on behalf of </w:t>
      </w:r>
      <w:r w:rsidRPr="00453000">
        <w:t xml:space="preserve">judicial </w:t>
      </w:r>
      <w:r w:rsidRPr="00685B39">
        <w:t xml:space="preserve">officers, </w:t>
      </w:r>
      <w:r w:rsidRPr="00453000">
        <w:t>judic</w:t>
      </w:r>
      <w:r w:rsidRPr="00685B39">
        <w:t>ial</w:t>
      </w:r>
      <w:r w:rsidR="00ED6174" w:rsidRPr="00453000">
        <w:t xml:space="preserve"> </w:t>
      </w:r>
      <w:r w:rsidRPr="00685B39">
        <w:t xml:space="preserve">registrars, and </w:t>
      </w:r>
      <w:r w:rsidRPr="00453000">
        <w:t xml:space="preserve">non-judicial </w:t>
      </w:r>
      <w:r w:rsidRPr="00685B39">
        <w:t>members of VCAT</w:t>
      </w:r>
      <w:r w:rsidRPr="00453000">
        <w:t xml:space="preserve">, </w:t>
      </w:r>
      <w:r w:rsidRPr="00685B39">
        <w:t xml:space="preserve">when </w:t>
      </w:r>
      <w:r w:rsidRPr="00453000">
        <w:t xml:space="preserve">requested </w:t>
      </w:r>
      <w:r w:rsidRPr="00685B39">
        <w:t xml:space="preserve">by </w:t>
      </w:r>
      <w:r w:rsidRPr="00453000">
        <w:t xml:space="preserve">the </w:t>
      </w:r>
      <w:r w:rsidRPr="00685B39">
        <w:t xml:space="preserve">Attorney </w:t>
      </w:r>
      <w:r w:rsidRPr="00453000">
        <w:t>General.</w:t>
      </w:r>
    </w:p>
    <w:p w14:paraId="5DF1B997" w14:textId="77777777" w:rsidR="001F452A" w:rsidRDefault="001F452A" w:rsidP="001F452A">
      <w:pPr>
        <w:pStyle w:val="Heading4"/>
        <w:rPr>
          <w:rFonts w:eastAsia="Calibri"/>
        </w:rPr>
      </w:pPr>
      <w:r>
        <w:rPr>
          <w:rFonts w:eastAsia="Calibri"/>
        </w:rPr>
        <w:t>Panel members</w:t>
      </w:r>
    </w:p>
    <w:p w14:paraId="1D69C966" w14:textId="77777777" w:rsidR="009F0180" w:rsidRPr="00685B39" w:rsidRDefault="009F0180" w:rsidP="00BD6777">
      <w:r w:rsidRPr="00685B39">
        <w:t xml:space="preserve">The Panel's </w:t>
      </w:r>
      <w:r w:rsidRPr="00BD6777">
        <w:t>members</w:t>
      </w:r>
      <w:r w:rsidRPr="00685B39">
        <w:t xml:space="preserve"> are:</w:t>
      </w:r>
    </w:p>
    <w:p w14:paraId="7E6004F9" w14:textId="2E3E9A57" w:rsidR="009F0180" w:rsidRPr="00685B39" w:rsidRDefault="009F0180" w:rsidP="00956138">
      <w:pPr>
        <w:numPr>
          <w:ilvl w:val="0"/>
          <w:numId w:val="17"/>
        </w:numPr>
        <w:ind w:left="714" w:hanging="357"/>
      </w:pPr>
      <w:r w:rsidRPr="00685B39">
        <w:t>Mr Bruce Hartnett AM, Chair</w:t>
      </w:r>
      <w:r w:rsidR="00901486">
        <w:t>person</w:t>
      </w:r>
    </w:p>
    <w:p w14:paraId="44ABCA21" w14:textId="39B4C46D" w:rsidR="009F0180" w:rsidRPr="00685B39" w:rsidRDefault="009F0180" w:rsidP="00956138">
      <w:pPr>
        <w:numPr>
          <w:ilvl w:val="0"/>
          <w:numId w:val="17"/>
        </w:numPr>
        <w:ind w:left="714" w:hanging="357"/>
      </w:pPr>
      <w:r w:rsidRPr="00685B39">
        <w:t>Ms Kathleen Townsend, Member</w:t>
      </w:r>
      <w:r w:rsidR="007A4326">
        <w:t>, and</w:t>
      </w:r>
      <w:r w:rsidRPr="00685B39">
        <w:t xml:space="preserve"> </w:t>
      </w:r>
    </w:p>
    <w:p w14:paraId="0D762FA1" w14:textId="52C6B8C8" w:rsidR="009F0180" w:rsidRPr="00685B39" w:rsidRDefault="009F0180" w:rsidP="00956138">
      <w:pPr>
        <w:numPr>
          <w:ilvl w:val="0"/>
          <w:numId w:val="17"/>
        </w:numPr>
        <w:ind w:left="714" w:hanging="357"/>
      </w:pPr>
      <w:r w:rsidRPr="00685B39">
        <w:t>Ms Ilona Charles, Member.</w:t>
      </w:r>
    </w:p>
    <w:p w14:paraId="0A0DEC96" w14:textId="77777777" w:rsidR="001F452A" w:rsidRDefault="001F452A" w:rsidP="001F452A">
      <w:pPr>
        <w:pStyle w:val="Heading4"/>
        <w:rPr>
          <w:rFonts w:eastAsia="Calibri"/>
        </w:rPr>
      </w:pPr>
      <w:r>
        <w:rPr>
          <w:rFonts w:eastAsia="Calibri"/>
        </w:rPr>
        <w:t>Reporting</w:t>
      </w:r>
    </w:p>
    <w:p w14:paraId="5339F9B4" w14:textId="3B39740A" w:rsidR="00DE0384" w:rsidRDefault="000E2BA6" w:rsidP="00BD6777">
      <w:r>
        <w:t>The JE Act requires</w:t>
      </w:r>
      <w:r w:rsidR="009F0180" w:rsidRPr="00685B39">
        <w:t xml:space="preserve"> the Panel to report any own motion recommendations it makes to the</w:t>
      </w:r>
      <w:r w:rsidR="00685B39" w:rsidRPr="00685B39">
        <w:t xml:space="preserve"> </w:t>
      </w:r>
      <w:r w:rsidR="005032C9">
        <w:t>Attorney-General</w:t>
      </w:r>
      <w:r w:rsidR="009F0180" w:rsidRPr="00685B39">
        <w:t xml:space="preserve"> at least once every 4 years</w:t>
      </w:r>
      <w:r w:rsidR="00DF6A01">
        <w:t>. This is the third report of the Panel’s own motion recommendations, following reports in October 2016 and August 2018.</w:t>
      </w:r>
    </w:p>
    <w:p w14:paraId="722D459B" w14:textId="2625821F" w:rsidR="009F0180" w:rsidRPr="00685B39" w:rsidRDefault="009F0180" w:rsidP="00F04848">
      <w:r w:rsidRPr="00685B39">
        <w:lastRenderedPageBreak/>
        <w:t>When the Attorney-General receives a report of an own mo</w:t>
      </w:r>
      <w:r w:rsidR="00327B54" w:rsidRPr="00685B39">
        <w:t xml:space="preserve">tion recommendation or advisory </w:t>
      </w:r>
      <w:r w:rsidRPr="00685B39">
        <w:t xml:space="preserve">opinion of the Panel, the Attorney-General, subject to personal or confidential </w:t>
      </w:r>
      <w:r w:rsidRPr="00685B39">
        <w:rPr>
          <w:color w:val="2D2E2E"/>
        </w:rPr>
        <w:t xml:space="preserve">information, </w:t>
      </w:r>
      <w:r w:rsidR="00327B54" w:rsidRPr="00685B39">
        <w:t xml:space="preserve">must </w:t>
      </w:r>
      <w:r w:rsidRPr="00685B39">
        <w:t>table the report before each House of the Parliament within 10 sitting days.</w:t>
      </w:r>
      <w:r w:rsidR="000E2BA6">
        <w:t xml:space="preserve"> </w:t>
      </w:r>
    </w:p>
    <w:p w14:paraId="1C5710E6" w14:textId="05F5F2F6" w:rsidR="00D60CB4" w:rsidRPr="004C0A79" w:rsidRDefault="009F0180" w:rsidP="004C0A79">
      <w:r w:rsidRPr="00685B39">
        <w:t>The</w:t>
      </w:r>
      <w:r w:rsidR="0041785B">
        <w:t xml:space="preserve"> Attorney-General must table a Recommendation S</w:t>
      </w:r>
      <w:r w:rsidRPr="00685B39">
        <w:t>ta</w:t>
      </w:r>
      <w:r w:rsidR="00685B39" w:rsidRPr="00685B39">
        <w:t xml:space="preserve">tement </w:t>
      </w:r>
      <w:r w:rsidR="0041785B">
        <w:t xml:space="preserve">(Statement) </w:t>
      </w:r>
      <w:r w:rsidR="00685B39" w:rsidRPr="00685B39">
        <w:t xml:space="preserve">before each House of the </w:t>
      </w:r>
      <w:r w:rsidRPr="00685B39">
        <w:t>Parliament no later than the first sitting day after 4 months from the tabling of a report of own</w:t>
      </w:r>
      <w:r w:rsidR="00327B54" w:rsidRPr="00685B39">
        <w:t xml:space="preserve"> </w:t>
      </w:r>
      <w:r w:rsidRPr="00685B39">
        <w:t xml:space="preserve">motion recommendation. The </w:t>
      </w:r>
      <w:r w:rsidR="0041785B">
        <w:t>S</w:t>
      </w:r>
      <w:r w:rsidRPr="00685B39">
        <w:t>tatement must spec</w:t>
      </w:r>
      <w:r w:rsidR="00327B54" w:rsidRPr="00685B39">
        <w:t xml:space="preserve">ify whether the Attorney-General </w:t>
      </w:r>
      <w:r w:rsidRPr="00685B39">
        <w:t xml:space="preserve">intends to vary or accept the Panel's recommendations, either </w:t>
      </w:r>
      <w:r w:rsidRPr="00685B39">
        <w:rPr>
          <w:color w:val="2D2E2E"/>
        </w:rPr>
        <w:t xml:space="preserve">in </w:t>
      </w:r>
      <w:r w:rsidRPr="00685B39">
        <w:t xml:space="preserve">part or </w:t>
      </w:r>
      <w:r w:rsidRPr="00685B39">
        <w:rPr>
          <w:color w:val="2D2E2E"/>
        </w:rPr>
        <w:t xml:space="preserve">in </w:t>
      </w:r>
      <w:r w:rsidR="00327B54" w:rsidRPr="00685B39">
        <w:t xml:space="preserve">full, supported </w:t>
      </w:r>
      <w:r w:rsidRPr="00685B39">
        <w:t>with reasons.</w:t>
      </w:r>
      <w:r w:rsidR="000E2BA6">
        <w:t xml:space="preserve"> </w:t>
      </w:r>
    </w:p>
    <w:p w14:paraId="5A6097F8" w14:textId="62F5AAF6" w:rsidR="009F0180" w:rsidRPr="00685B39" w:rsidRDefault="009F0180" w:rsidP="0091125B">
      <w:pPr>
        <w:pStyle w:val="Heading1"/>
        <w:rPr>
          <w:rFonts w:eastAsia="Calibri"/>
        </w:rPr>
      </w:pPr>
      <w:bookmarkStart w:id="8" w:name="_Toc41306033"/>
      <w:r w:rsidRPr="00685B39">
        <w:rPr>
          <w:rFonts w:eastAsia="Calibri"/>
        </w:rPr>
        <w:t>Methodology</w:t>
      </w:r>
      <w:bookmarkEnd w:id="8"/>
    </w:p>
    <w:p w14:paraId="595B65C3" w14:textId="75BDBB30" w:rsidR="009F0180" w:rsidRPr="00EA440F" w:rsidRDefault="009F0180" w:rsidP="00F04848">
      <w:r w:rsidRPr="00685B39">
        <w:t>Section 16 of the JE Act provides that, when carrying out its func</w:t>
      </w:r>
      <w:r w:rsidR="00327B54" w:rsidRPr="00685B39">
        <w:t xml:space="preserve">tions, the Panel is required to </w:t>
      </w:r>
      <w:r w:rsidRPr="00685B39">
        <w:t xml:space="preserve">act in an independent, </w:t>
      </w:r>
      <w:proofErr w:type="gramStart"/>
      <w:r w:rsidRPr="00685B39">
        <w:t>impartial</w:t>
      </w:r>
      <w:proofErr w:type="gramEnd"/>
      <w:r w:rsidRPr="00685B39">
        <w:t xml:space="preserve"> and timely manner.</w:t>
      </w:r>
      <w:r w:rsidR="00EA440F">
        <w:t xml:space="preserve"> The Panel </w:t>
      </w:r>
      <w:r w:rsidRPr="00685B39">
        <w:t xml:space="preserve">may inform itself </w:t>
      </w:r>
      <w:r w:rsidRPr="00685B39">
        <w:rPr>
          <w:color w:val="2D2E2E"/>
        </w:rPr>
        <w:t xml:space="preserve">in any </w:t>
      </w:r>
      <w:r w:rsidRPr="00685B39">
        <w:t xml:space="preserve">manner it </w:t>
      </w:r>
      <w:r w:rsidR="00327B54" w:rsidRPr="00685B39">
        <w:rPr>
          <w:color w:val="2D2E2E"/>
        </w:rPr>
        <w:t xml:space="preserve">sees </w:t>
      </w:r>
      <w:r w:rsidRPr="00685B39">
        <w:t>fit and is not bound by the rules of evidence</w:t>
      </w:r>
      <w:r w:rsidRPr="00685B39">
        <w:rPr>
          <w:color w:val="4A4A4A"/>
        </w:rPr>
        <w:t>.</w:t>
      </w:r>
    </w:p>
    <w:p w14:paraId="440311DD" w14:textId="7F883DB8" w:rsidR="00592FBA" w:rsidRDefault="00592FBA" w:rsidP="00592FBA">
      <w:r>
        <w:t>Section 31</w:t>
      </w:r>
      <w:r w:rsidR="005915B1">
        <w:t>(1)</w:t>
      </w:r>
      <w:r w:rsidR="00EA440F">
        <w:t xml:space="preserve"> </w:t>
      </w:r>
      <w:r>
        <w:t xml:space="preserve">sets out the factors that the Panel must </w:t>
      </w:r>
      <w:r w:rsidR="00EA440F">
        <w:t>consider</w:t>
      </w:r>
      <w:r>
        <w:t xml:space="preserve"> when making an own motion recommendation. The factors are:</w:t>
      </w:r>
    </w:p>
    <w:p w14:paraId="5E20F537" w14:textId="58A00535" w:rsidR="00592FBA" w:rsidRPr="007067E9" w:rsidRDefault="00592FBA" w:rsidP="00956138">
      <w:pPr>
        <w:pStyle w:val="ListParagraph"/>
        <w:numPr>
          <w:ilvl w:val="0"/>
          <w:numId w:val="21"/>
        </w:numPr>
        <w:spacing w:before="240" w:after="240"/>
        <w:ind w:left="714" w:hanging="357"/>
      </w:pPr>
      <w:r w:rsidRPr="007067E9">
        <w:t>the importance of the judicial</w:t>
      </w:r>
      <w:r w:rsidR="007067E9">
        <w:t xml:space="preserve"> function to the community</w:t>
      </w:r>
    </w:p>
    <w:p w14:paraId="316C325F" w14:textId="036F1C5E" w:rsidR="00592FBA" w:rsidRPr="007067E9" w:rsidRDefault="00592FBA" w:rsidP="00956138">
      <w:pPr>
        <w:pStyle w:val="ListParagraph"/>
        <w:numPr>
          <w:ilvl w:val="0"/>
          <w:numId w:val="21"/>
        </w:numPr>
        <w:spacing w:before="240" w:after="240"/>
        <w:ind w:left="714" w:hanging="357"/>
      </w:pPr>
      <w:r w:rsidRPr="007067E9">
        <w:t>the need to maintain the standing of</w:t>
      </w:r>
      <w:r w:rsidR="007067E9">
        <w:t xml:space="preserve"> the judiciary in the community</w:t>
      </w:r>
    </w:p>
    <w:p w14:paraId="1ED535DD" w14:textId="2E2CB02B" w:rsidR="00592FBA" w:rsidRPr="007067E9" w:rsidRDefault="00592FBA" w:rsidP="00956138">
      <w:pPr>
        <w:pStyle w:val="ListParagraph"/>
        <w:numPr>
          <w:ilvl w:val="0"/>
          <w:numId w:val="21"/>
        </w:numPr>
        <w:spacing w:before="240" w:after="240"/>
        <w:ind w:left="714" w:hanging="357"/>
      </w:pPr>
      <w:r w:rsidRPr="007067E9">
        <w:t>the need to attract and retain suitably qualifie</w:t>
      </w:r>
      <w:r w:rsidR="007067E9">
        <w:t>d candidates to judicial office</w:t>
      </w:r>
    </w:p>
    <w:p w14:paraId="74802078" w14:textId="5D30A4BC" w:rsidR="00592FBA" w:rsidRPr="007067E9" w:rsidRDefault="00592FBA" w:rsidP="00956138">
      <w:pPr>
        <w:pStyle w:val="ListParagraph"/>
        <w:numPr>
          <w:ilvl w:val="0"/>
          <w:numId w:val="21"/>
        </w:numPr>
        <w:spacing w:before="240" w:after="240"/>
        <w:ind w:left="714" w:hanging="357"/>
      </w:pPr>
      <w:r w:rsidRPr="007067E9">
        <w:t>the level and nature of conditions of service of judicial officers in other A</w:t>
      </w:r>
      <w:r w:rsidR="007067E9">
        <w:t>ustralian jurisdictions</w:t>
      </w:r>
    </w:p>
    <w:p w14:paraId="726A9CD8" w14:textId="1FB4265E" w:rsidR="00592FBA" w:rsidRPr="007067E9" w:rsidRDefault="00592FBA" w:rsidP="00956138">
      <w:pPr>
        <w:pStyle w:val="ListParagraph"/>
        <w:numPr>
          <w:ilvl w:val="0"/>
          <w:numId w:val="21"/>
        </w:numPr>
        <w:spacing w:before="240" w:after="240"/>
        <w:ind w:left="714" w:hanging="357"/>
      </w:pPr>
      <w:r w:rsidRPr="007067E9">
        <w:t>movement</w:t>
      </w:r>
      <w:r w:rsidR="007067E9">
        <w:t xml:space="preserve"> in the Consumer Price Index</w:t>
      </w:r>
    </w:p>
    <w:p w14:paraId="7F0FF10B" w14:textId="1779335D" w:rsidR="00592FBA" w:rsidRPr="007067E9" w:rsidRDefault="00592FBA" w:rsidP="00956138">
      <w:pPr>
        <w:pStyle w:val="ListParagraph"/>
        <w:numPr>
          <w:ilvl w:val="0"/>
          <w:numId w:val="21"/>
        </w:numPr>
        <w:spacing w:before="240" w:after="240"/>
        <w:ind w:left="714" w:hanging="357"/>
      </w:pPr>
      <w:r w:rsidRPr="007067E9">
        <w:t>the level and nature of conditions in o</w:t>
      </w:r>
      <w:r w:rsidR="007067E9">
        <w:t>ther public offices in Victoria</w:t>
      </w:r>
    </w:p>
    <w:p w14:paraId="219F2676" w14:textId="77E140A0" w:rsidR="00592FBA" w:rsidRPr="007067E9" w:rsidRDefault="00592FBA" w:rsidP="00956138">
      <w:pPr>
        <w:pStyle w:val="ListParagraph"/>
        <w:numPr>
          <w:ilvl w:val="0"/>
          <w:numId w:val="21"/>
        </w:numPr>
        <w:spacing w:before="240" w:after="240"/>
        <w:ind w:left="714" w:hanging="357"/>
      </w:pPr>
      <w:r w:rsidRPr="007067E9">
        <w:t>how any proposed own motion recommendation affects the total remuneratio</w:t>
      </w:r>
      <w:r w:rsidR="007067E9">
        <w:t>n packages of judicial officers</w:t>
      </w:r>
    </w:p>
    <w:p w14:paraId="71935342" w14:textId="3C2BD042" w:rsidR="00592FBA" w:rsidRPr="007067E9" w:rsidRDefault="00592FBA" w:rsidP="00956138">
      <w:pPr>
        <w:pStyle w:val="ListParagraph"/>
        <w:numPr>
          <w:ilvl w:val="0"/>
          <w:numId w:val="21"/>
        </w:numPr>
        <w:spacing w:before="240" w:after="240"/>
        <w:ind w:left="714" w:hanging="357"/>
      </w:pPr>
      <w:r w:rsidRPr="007067E9">
        <w:t>relevant economic and remuneration factors in Victoria, including the capacity of the State to meet any proposal for more</w:t>
      </w:r>
      <w:r w:rsidR="007067E9">
        <w:t xml:space="preserve"> generous conditions of service</w:t>
      </w:r>
      <w:r w:rsidR="00545725">
        <w:t>,</w:t>
      </w:r>
      <w:r w:rsidR="00EA440F">
        <w:t xml:space="preserve"> and</w:t>
      </w:r>
    </w:p>
    <w:p w14:paraId="7DD90E5A" w14:textId="45305D82" w:rsidR="00592FBA" w:rsidRPr="00685B39" w:rsidRDefault="00592FBA" w:rsidP="00956138">
      <w:pPr>
        <w:pStyle w:val="ListParagraph"/>
        <w:numPr>
          <w:ilvl w:val="0"/>
          <w:numId w:val="21"/>
        </w:numPr>
        <w:spacing w:before="240" w:after="240"/>
        <w:ind w:left="714" w:hanging="357"/>
      </w:pPr>
      <w:r w:rsidRPr="007067E9">
        <w:t>any other relevant matter.</w:t>
      </w:r>
    </w:p>
    <w:p w14:paraId="2A79D351" w14:textId="2898B31B" w:rsidR="0016753A" w:rsidRDefault="009F0180" w:rsidP="0016753A">
      <w:r w:rsidRPr="00E152E6">
        <w:t>In drafting this report</w:t>
      </w:r>
      <w:r w:rsidRPr="00E152E6">
        <w:rPr>
          <w:color w:val="4A4A4A"/>
        </w:rPr>
        <w:t xml:space="preserve">, </w:t>
      </w:r>
      <w:r w:rsidR="0016753A">
        <w:rPr>
          <w:color w:val="171717"/>
        </w:rPr>
        <w:t>th</w:t>
      </w:r>
      <w:r w:rsidR="0016753A" w:rsidRPr="00E152E6">
        <w:rPr>
          <w:color w:val="171717"/>
        </w:rPr>
        <w:t xml:space="preserve">e Panel met with the representatives of the </w:t>
      </w:r>
      <w:r w:rsidR="0016753A">
        <w:rPr>
          <w:color w:val="171717"/>
        </w:rPr>
        <w:t xml:space="preserve">Magistrates’ </w:t>
      </w:r>
      <w:r w:rsidR="0016753A" w:rsidRPr="00E152E6">
        <w:rPr>
          <w:color w:val="171717"/>
        </w:rPr>
        <w:t xml:space="preserve">Court and </w:t>
      </w:r>
      <w:r w:rsidR="0016753A" w:rsidRPr="00DB5639">
        <w:t xml:space="preserve">invited written submissions </w:t>
      </w:r>
      <w:r w:rsidR="0016753A">
        <w:t xml:space="preserve">from the Supreme Court, County Court, Magistrates’ Court, Children’s Court, Coroners Court, and the Victorian Civil and Administrative Tribunal (VCAT). </w:t>
      </w:r>
      <w:r w:rsidR="0016753A" w:rsidRPr="00DB5639">
        <w:t xml:space="preserve"> </w:t>
      </w:r>
    </w:p>
    <w:p w14:paraId="3DCCD20D" w14:textId="7091F53B" w:rsidR="0016753A" w:rsidRDefault="0016753A" w:rsidP="0016753A">
      <w:r>
        <w:t xml:space="preserve">The Department of Justice and Community Safety was not asked to provide a </w:t>
      </w:r>
      <w:proofErr w:type="gramStart"/>
      <w:r>
        <w:t>submission, but</w:t>
      </w:r>
      <w:proofErr w:type="gramEnd"/>
      <w:r>
        <w:t xml:space="preserve"> was consulted by the Panel. </w:t>
      </w:r>
    </w:p>
    <w:p w14:paraId="2210AE67" w14:textId="02A91F0A" w:rsidR="00EC47F8" w:rsidRPr="00685B39" w:rsidRDefault="00EC47F8" w:rsidP="00EC47F8">
      <w:r w:rsidRPr="00685B39">
        <w:t xml:space="preserve">The Panel invited the Secretary </w:t>
      </w:r>
      <w:r w:rsidR="00B80D2A">
        <w:t>of</w:t>
      </w:r>
      <w:r w:rsidRPr="00685B39">
        <w:t xml:space="preserve"> the Department of Treasury and Finance (DTF) to make a submission</w:t>
      </w:r>
      <w:r>
        <w:t xml:space="preserve"> in accordance with the requirement under s 30(1) of the JE Act</w:t>
      </w:r>
      <w:r w:rsidRPr="00685B39">
        <w:rPr>
          <w:color w:val="313232"/>
        </w:rPr>
        <w:t>.</w:t>
      </w:r>
    </w:p>
    <w:p w14:paraId="225BD211" w14:textId="0E4CFF61" w:rsidR="00327B54" w:rsidRDefault="00EC47F8" w:rsidP="00983A23">
      <w:pPr>
        <w:rPr>
          <w:color w:val="313232"/>
        </w:rPr>
      </w:pPr>
      <w:r>
        <w:t>A summary of the</w:t>
      </w:r>
      <w:r w:rsidRPr="00DB5639">
        <w:t xml:space="preserve"> submissions </w:t>
      </w:r>
      <w:r>
        <w:t xml:space="preserve">from the </w:t>
      </w:r>
      <w:r w:rsidR="007039E6">
        <w:t>c</w:t>
      </w:r>
      <w:r>
        <w:t>ourts and the Secretary</w:t>
      </w:r>
      <w:r w:rsidR="00CA1CCF">
        <w:t xml:space="preserve"> </w:t>
      </w:r>
      <w:r w:rsidR="00B80D2A">
        <w:t>of</w:t>
      </w:r>
      <w:r>
        <w:t xml:space="preserve"> DTF </w:t>
      </w:r>
      <w:r w:rsidR="00A800FC">
        <w:t>are</w:t>
      </w:r>
      <w:r w:rsidR="005915B1">
        <w:t xml:space="preserve"> provided </w:t>
      </w:r>
      <w:r w:rsidRPr="00DB5639">
        <w:t xml:space="preserve">in </w:t>
      </w:r>
      <w:r w:rsidRPr="00DB5639">
        <w:rPr>
          <w:color w:val="313232"/>
        </w:rPr>
        <w:t>t</w:t>
      </w:r>
      <w:r w:rsidRPr="00DB5639">
        <w:t>he next section</w:t>
      </w:r>
      <w:r w:rsidRPr="00DB5639">
        <w:rPr>
          <w:color w:val="313232"/>
        </w:rPr>
        <w:t>.</w:t>
      </w:r>
    </w:p>
    <w:p w14:paraId="28889A85" w14:textId="362C3D62" w:rsidR="004B0D5C" w:rsidRPr="000667ED" w:rsidRDefault="00F46C45" w:rsidP="00983A23">
      <w:pPr>
        <w:rPr>
          <w:color w:val="313232"/>
        </w:rPr>
      </w:pPr>
      <w:r>
        <w:rPr>
          <w:color w:val="313232"/>
        </w:rPr>
        <w:lastRenderedPageBreak/>
        <w:t xml:space="preserve">The </w:t>
      </w:r>
      <w:r w:rsidR="007039E6">
        <w:rPr>
          <w:color w:val="313232"/>
        </w:rPr>
        <w:t xml:space="preserve">Panel </w:t>
      </w:r>
      <w:r>
        <w:rPr>
          <w:color w:val="313232"/>
        </w:rPr>
        <w:t xml:space="preserve">advised the </w:t>
      </w:r>
      <w:r w:rsidR="00C11589">
        <w:rPr>
          <w:color w:val="313232"/>
        </w:rPr>
        <w:t xml:space="preserve">heads of </w:t>
      </w:r>
      <w:r>
        <w:rPr>
          <w:color w:val="313232"/>
        </w:rPr>
        <w:t xml:space="preserve">jurisdiction it would not revisit the conditions of service </w:t>
      </w:r>
      <w:r w:rsidR="00C11589">
        <w:rPr>
          <w:color w:val="313232"/>
        </w:rPr>
        <w:t xml:space="preserve">considered </w:t>
      </w:r>
      <w:r>
        <w:rPr>
          <w:color w:val="313232"/>
        </w:rPr>
        <w:t xml:space="preserve">in its previous reports. </w:t>
      </w:r>
      <w:r w:rsidR="00C11589">
        <w:rPr>
          <w:color w:val="313232"/>
        </w:rPr>
        <w:t>While the Panel agreed in limited circumstances to revisit some issues raised by the courts, most proposals addressed by previous reports were rejected for this reason.</w:t>
      </w:r>
      <w:r w:rsidR="0034376F">
        <w:t xml:space="preserve"> </w:t>
      </w:r>
      <w:r w:rsidR="00192495">
        <w:t xml:space="preserve"> </w:t>
      </w:r>
    </w:p>
    <w:p w14:paraId="2E5B989A" w14:textId="151155FC" w:rsidR="00327B54" w:rsidRDefault="00327B54" w:rsidP="00651C94">
      <w:pPr>
        <w:pStyle w:val="Heading2"/>
        <w:rPr>
          <w:rFonts w:eastAsia="Calibri"/>
        </w:rPr>
      </w:pPr>
      <w:bookmarkStart w:id="9" w:name="_Toc41306034"/>
      <w:r w:rsidRPr="00685B39">
        <w:rPr>
          <w:rFonts w:eastAsia="Calibri"/>
        </w:rPr>
        <w:t xml:space="preserve">Submissions </w:t>
      </w:r>
      <w:r w:rsidR="00A800FC">
        <w:rPr>
          <w:rFonts w:eastAsia="Calibri"/>
        </w:rPr>
        <w:t>r</w:t>
      </w:r>
      <w:r w:rsidR="00A800FC" w:rsidRPr="00685B39">
        <w:rPr>
          <w:rFonts w:eastAsia="Calibri"/>
        </w:rPr>
        <w:t>eceived</w:t>
      </w:r>
      <w:bookmarkEnd w:id="9"/>
    </w:p>
    <w:p w14:paraId="4663045E" w14:textId="19DF6BBE" w:rsidR="00B34BEB" w:rsidRDefault="00222D9E" w:rsidP="00F04848">
      <w:r>
        <w:t>In 201</w:t>
      </w:r>
      <w:r w:rsidR="005915B1">
        <w:t>9</w:t>
      </w:r>
      <w:r w:rsidR="00963342">
        <w:t xml:space="preserve"> and 2020</w:t>
      </w:r>
      <w:r>
        <w:t>, t</w:t>
      </w:r>
      <w:r w:rsidRPr="00685B39">
        <w:t xml:space="preserve">he </w:t>
      </w:r>
      <w:r w:rsidR="00327B54" w:rsidRPr="00685B39">
        <w:t xml:space="preserve">Panel </w:t>
      </w:r>
      <w:r w:rsidR="009F3C21">
        <w:t xml:space="preserve">received </w:t>
      </w:r>
      <w:r w:rsidR="00C646FE">
        <w:t xml:space="preserve">the following </w:t>
      </w:r>
      <w:r w:rsidR="009F3C21">
        <w:t>written submissions: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126"/>
        <w:gridCol w:w="4678"/>
        <w:gridCol w:w="2126"/>
      </w:tblGrid>
      <w:tr w:rsidR="00AE7CA2" w:rsidRPr="00AE7CA2" w14:paraId="15855DE8" w14:textId="18A0766F" w:rsidTr="00050A0E">
        <w:tc>
          <w:tcPr>
            <w:tcW w:w="2126" w:type="dxa"/>
            <w:tcBorders>
              <w:bottom w:val="single" w:sz="4" w:space="0" w:color="0063A6"/>
            </w:tcBorders>
          </w:tcPr>
          <w:p w14:paraId="3879D59E" w14:textId="4E8D0823" w:rsidR="00C646FE" w:rsidRPr="00050A0E" w:rsidRDefault="00C646FE" w:rsidP="00050A0E">
            <w:pPr>
              <w:spacing w:before="0" w:after="0"/>
              <w:rPr>
                <w:color w:val="0063A6"/>
              </w:rPr>
            </w:pPr>
            <w:r w:rsidRPr="00050A0E">
              <w:rPr>
                <w:color w:val="0063A6"/>
              </w:rPr>
              <w:t>Jurisdiction</w:t>
            </w:r>
          </w:p>
        </w:tc>
        <w:tc>
          <w:tcPr>
            <w:tcW w:w="4678" w:type="dxa"/>
            <w:tcBorders>
              <w:bottom w:val="single" w:sz="4" w:space="0" w:color="0063A6"/>
            </w:tcBorders>
          </w:tcPr>
          <w:p w14:paraId="3504D5A8" w14:textId="137DFED5" w:rsidR="00C646FE" w:rsidRPr="00050A0E" w:rsidRDefault="00C646FE" w:rsidP="00050A0E">
            <w:pPr>
              <w:spacing w:before="0" w:after="0"/>
              <w:rPr>
                <w:color w:val="0063A6"/>
              </w:rPr>
            </w:pPr>
            <w:r w:rsidRPr="00050A0E">
              <w:rPr>
                <w:color w:val="0063A6"/>
              </w:rPr>
              <w:t>Description</w:t>
            </w:r>
          </w:p>
        </w:tc>
        <w:tc>
          <w:tcPr>
            <w:tcW w:w="2126" w:type="dxa"/>
            <w:tcBorders>
              <w:bottom w:val="single" w:sz="4" w:space="0" w:color="0063A6"/>
            </w:tcBorders>
          </w:tcPr>
          <w:p w14:paraId="5EEC3A51" w14:textId="381CDAED" w:rsidR="00C646FE" w:rsidRPr="00050A0E" w:rsidRDefault="00C646FE" w:rsidP="00C646FE">
            <w:pPr>
              <w:spacing w:before="0" w:after="0"/>
              <w:rPr>
                <w:color w:val="0063A6"/>
              </w:rPr>
            </w:pPr>
            <w:r w:rsidRPr="00050A0E">
              <w:rPr>
                <w:color w:val="0063A6"/>
              </w:rPr>
              <w:t>Submission date</w:t>
            </w:r>
          </w:p>
        </w:tc>
      </w:tr>
      <w:tr w:rsidR="00C646FE" w14:paraId="40D8F0AE" w14:textId="278625E5" w:rsidTr="00050A0E">
        <w:tc>
          <w:tcPr>
            <w:tcW w:w="2126" w:type="dxa"/>
            <w:tcBorders>
              <w:top w:val="single" w:sz="4" w:space="0" w:color="0063A6"/>
            </w:tcBorders>
          </w:tcPr>
          <w:p w14:paraId="490EBA81" w14:textId="5E7C0FB3" w:rsidR="00C646FE" w:rsidRPr="00A141FF" w:rsidRDefault="00C646FE" w:rsidP="00050A0E">
            <w:pPr>
              <w:spacing w:before="0" w:after="0"/>
            </w:pPr>
            <w:r w:rsidRPr="00050A0E">
              <w:t>Supreme Court</w:t>
            </w:r>
          </w:p>
        </w:tc>
        <w:tc>
          <w:tcPr>
            <w:tcW w:w="4678" w:type="dxa"/>
            <w:tcBorders>
              <w:top w:val="single" w:sz="4" w:space="0" w:color="0063A6"/>
            </w:tcBorders>
          </w:tcPr>
          <w:p w14:paraId="5515CFFD" w14:textId="16742F86" w:rsidR="00C646FE" w:rsidRPr="00A141FF" w:rsidRDefault="00C646FE" w:rsidP="00050A0E">
            <w:pPr>
              <w:spacing w:before="0" w:after="0"/>
            </w:pPr>
            <w:r w:rsidRPr="00A141FF">
              <w:t>Submission</w:t>
            </w:r>
          </w:p>
        </w:tc>
        <w:tc>
          <w:tcPr>
            <w:tcW w:w="2126" w:type="dxa"/>
            <w:tcBorders>
              <w:top w:val="single" w:sz="4" w:space="0" w:color="0063A6"/>
            </w:tcBorders>
          </w:tcPr>
          <w:p w14:paraId="60688E51" w14:textId="14C15138" w:rsidR="00C646FE" w:rsidRPr="00A141FF" w:rsidRDefault="00B54AAE" w:rsidP="00C646FE">
            <w:pPr>
              <w:spacing w:before="0" w:after="0"/>
            </w:pPr>
            <w:r>
              <w:t>7 June 2019</w:t>
            </w:r>
          </w:p>
        </w:tc>
      </w:tr>
      <w:tr w:rsidR="00C646FE" w14:paraId="7BD8DC8E" w14:textId="2628A83F" w:rsidTr="00050A0E">
        <w:tc>
          <w:tcPr>
            <w:tcW w:w="2126" w:type="dxa"/>
          </w:tcPr>
          <w:p w14:paraId="6352887A" w14:textId="278361F4" w:rsidR="00C646FE" w:rsidRPr="00A141FF" w:rsidRDefault="00C646FE" w:rsidP="00050A0E">
            <w:pPr>
              <w:spacing w:before="0" w:after="0"/>
            </w:pPr>
            <w:r w:rsidRPr="00050A0E">
              <w:t>Magistrates’ Court</w:t>
            </w:r>
          </w:p>
        </w:tc>
        <w:tc>
          <w:tcPr>
            <w:tcW w:w="4678" w:type="dxa"/>
          </w:tcPr>
          <w:p w14:paraId="704AACEC" w14:textId="4B77EC23" w:rsidR="00C646FE" w:rsidRPr="00A141FF" w:rsidRDefault="00C646FE" w:rsidP="00050A0E">
            <w:pPr>
              <w:spacing w:before="0" w:after="0"/>
            </w:pPr>
            <w:r w:rsidRPr="00A141FF">
              <w:t>Submission</w:t>
            </w:r>
          </w:p>
        </w:tc>
        <w:tc>
          <w:tcPr>
            <w:tcW w:w="2126" w:type="dxa"/>
          </w:tcPr>
          <w:p w14:paraId="00CB452B" w14:textId="3F762B54" w:rsidR="00C646FE" w:rsidRPr="00A141FF" w:rsidRDefault="00B54AAE" w:rsidP="00C646FE">
            <w:pPr>
              <w:spacing w:before="0" w:after="0"/>
            </w:pPr>
            <w:r>
              <w:t>21 June 201</w:t>
            </w:r>
            <w:r w:rsidR="00F731DE">
              <w:t>9</w:t>
            </w:r>
          </w:p>
        </w:tc>
      </w:tr>
      <w:tr w:rsidR="00C646FE" w14:paraId="0EEA47DA" w14:textId="112932A7" w:rsidTr="00050A0E">
        <w:tc>
          <w:tcPr>
            <w:tcW w:w="2126" w:type="dxa"/>
          </w:tcPr>
          <w:p w14:paraId="09B4144E" w14:textId="7BD16193" w:rsidR="00C646FE" w:rsidRPr="00A141FF" w:rsidRDefault="00F731DE" w:rsidP="00050A0E">
            <w:pPr>
              <w:spacing w:before="0" w:after="0"/>
            </w:pPr>
            <w:r>
              <w:t xml:space="preserve">County </w:t>
            </w:r>
            <w:r w:rsidR="00C646FE" w:rsidRPr="00050A0E">
              <w:t>Court</w:t>
            </w:r>
          </w:p>
        </w:tc>
        <w:tc>
          <w:tcPr>
            <w:tcW w:w="4678" w:type="dxa"/>
          </w:tcPr>
          <w:p w14:paraId="5C7BA809" w14:textId="52AACA37" w:rsidR="00C646FE" w:rsidRPr="00A141FF" w:rsidRDefault="00C646FE" w:rsidP="00050A0E">
            <w:pPr>
              <w:spacing w:before="0" w:after="0"/>
            </w:pPr>
            <w:r w:rsidRPr="00A141FF">
              <w:t>Submission</w:t>
            </w:r>
          </w:p>
        </w:tc>
        <w:tc>
          <w:tcPr>
            <w:tcW w:w="2126" w:type="dxa"/>
          </w:tcPr>
          <w:p w14:paraId="7488F4B3" w14:textId="0DA391A4" w:rsidR="00C646FE" w:rsidRPr="00A141FF" w:rsidRDefault="00F731DE" w:rsidP="00C646FE">
            <w:pPr>
              <w:spacing w:before="0" w:after="0"/>
            </w:pPr>
            <w:r>
              <w:t>28 June 2019</w:t>
            </w:r>
          </w:p>
        </w:tc>
      </w:tr>
      <w:tr w:rsidR="00C646FE" w14:paraId="03A5D94A" w14:textId="45208009" w:rsidTr="00050A0E">
        <w:tc>
          <w:tcPr>
            <w:tcW w:w="2126" w:type="dxa"/>
          </w:tcPr>
          <w:p w14:paraId="5A06F345" w14:textId="7C0D5168" w:rsidR="00C646FE" w:rsidRPr="00A141FF" w:rsidRDefault="00C646FE" w:rsidP="00050A0E">
            <w:pPr>
              <w:spacing w:before="0" w:after="0"/>
            </w:pPr>
            <w:r w:rsidRPr="00A141FF">
              <w:t>Supreme Court</w:t>
            </w:r>
          </w:p>
        </w:tc>
        <w:tc>
          <w:tcPr>
            <w:tcW w:w="4678" w:type="dxa"/>
          </w:tcPr>
          <w:p w14:paraId="57AF859E" w14:textId="6B80146D" w:rsidR="00C646FE" w:rsidRPr="00A141FF" w:rsidRDefault="00C646FE" w:rsidP="00050A0E">
            <w:pPr>
              <w:spacing w:before="0" w:after="0"/>
            </w:pPr>
            <w:r w:rsidRPr="00A141FF">
              <w:t>Further submission on</w:t>
            </w:r>
            <w:r w:rsidR="00F31F1B">
              <w:t xml:space="preserve"> </w:t>
            </w:r>
            <w:r w:rsidR="007856A3">
              <w:t>r</w:t>
            </w:r>
            <w:r w:rsidR="00F31F1B">
              <w:t>eserve</w:t>
            </w:r>
            <w:r w:rsidRPr="00A141FF">
              <w:t xml:space="preserve"> </w:t>
            </w:r>
            <w:r w:rsidR="007856A3">
              <w:t>a</w:t>
            </w:r>
            <w:r w:rsidRPr="00A141FF">
              <w:t xml:space="preserve">ssociate </w:t>
            </w:r>
            <w:r w:rsidR="007856A3">
              <w:t>j</w:t>
            </w:r>
            <w:r w:rsidRPr="00A141FF">
              <w:t>udges</w:t>
            </w:r>
          </w:p>
        </w:tc>
        <w:tc>
          <w:tcPr>
            <w:tcW w:w="2126" w:type="dxa"/>
          </w:tcPr>
          <w:p w14:paraId="0ADCA507" w14:textId="099EF31C" w:rsidR="00C646FE" w:rsidRPr="00A141FF" w:rsidRDefault="00B972CE" w:rsidP="00C646FE">
            <w:pPr>
              <w:spacing w:before="0" w:after="0"/>
            </w:pPr>
            <w:r>
              <w:t xml:space="preserve">16 </w:t>
            </w:r>
            <w:r w:rsidR="00F731DE">
              <w:t>September 2019</w:t>
            </w:r>
          </w:p>
        </w:tc>
      </w:tr>
      <w:tr w:rsidR="00963342" w14:paraId="6BB6D8C6" w14:textId="77777777" w:rsidTr="00050A0E">
        <w:tc>
          <w:tcPr>
            <w:tcW w:w="2126" w:type="dxa"/>
          </w:tcPr>
          <w:p w14:paraId="24F4E31F" w14:textId="1B07EA5D" w:rsidR="00963342" w:rsidRPr="00A141FF" w:rsidRDefault="00C17F4D" w:rsidP="00050A0E">
            <w:pPr>
              <w:spacing w:before="0" w:after="0"/>
            </w:pPr>
            <w:r>
              <w:t>CSV</w:t>
            </w:r>
          </w:p>
        </w:tc>
        <w:tc>
          <w:tcPr>
            <w:tcW w:w="4678" w:type="dxa"/>
          </w:tcPr>
          <w:p w14:paraId="61B9E085" w14:textId="6CD5CA36" w:rsidR="00963342" w:rsidRPr="00A141FF" w:rsidRDefault="00697CDE" w:rsidP="00050A0E">
            <w:pPr>
              <w:spacing w:before="0" w:after="0"/>
            </w:pPr>
            <w:r>
              <w:t>Letter</w:t>
            </w:r>
          </w:p>
        </w:tc>
        <w:tc>
          <w:tcPr>
            <w:tcW w:w="2126" w:type="dxa"/>
          </w:tcPr>
          <w:p w14:paraId="32E73A5D" w14:textId="250D7209" w:rsidR="00963342" w:rsidRDefault="00963342" w:rsidP="00C646FE">
            <w:pPr>
              <w:spacing w:before="0" w:after="0"/>
            </w:pPr>
            <w:r>
              <w:t>11 February 2020</w:t>
            </w:r>
          </w:p>
        </w:tc>
      </w:tr>
      <w:tr w:rsidR="009C450F" w14:paraId="735DADF5" w14:textId="3216CEEC" w:rsidTr="00050A0E">
        <w:tc>
          <w:tcPr>
            <w:tcW w:w="2126" w:type="dxa"/>
          </w:tcPr>
          <w:p w14:paraId="4561D585" w14:textId="78888E9D" w:rsidR="009C450F" w:rsidRPr="00707333" w:rsidRDefault="009C450F" w:rsidP="009C450F">
            <w:pPr>
              <w:spacing w:before="0" w:after="0"/>
            </w:pPr>
            <w:r w:rsidRPr="00707333">
              <w:t xml:space="preserve">Secretary </w:t>
            </w:r>
            <w:r w:rsidR="00B80D2A">
              <w:t>of</w:t>
            </w:r>
            <w:r w:rsidRPr="00707333">
              <w:t xml:space="preserve"> DTF</w:t>
            </w:r>
          </w:p>
        </w:tc>
        <w:tc>
          <w:tcPr>
            <w:tcW w:w="4678" w:type="dxa"/>
          </w:tcPr>
          <w:p w14:paraId="55492D5A" w14:textId="5871AEC1" w:rsidR="009C450F" w:rsidRPr="00707333" w:rsidRDefault="009C450F" w:rsidP="009C450F">
            <w:pPr>
              <w:spacing w:before="0" w:after="0"/>
            </w:pPr>
            <w:r w:rsidRPr="00707333">
              <w:t>Submission</w:t>
            </w:r>
          </w:p>
        </w:tc>
        <w:tc>
          <w:tcPr>
            <w:tcW w:w="2126" w:type="dxa"/>
          </w:tcPr>
          <w:p w14:paraId="300D0123" w14:textId="2D5E0ADA" w:rsidR="009C450F" w:rsidRPr="00707333" w:rsidRDefault="00144D60" w:rsidP="006079C6">
            <w:pPr>
              <w:spacing w:before="0" w:after="0"/>
            </w:pPr>
            <w:r>
              <w:t>25 May 2020</w:t>
            </w:r>
          </w:p>
        </w:tc>
      </w:tr>
    </w:tbl>
    <w:p w14:paraId="7F6F503E" w14:textId="12859E21" w:rsidR="0016753A" w:rsidRDefault="0016753A">
      <w:r>
        <w:t xml:space="preserve">The Panel did not receive submissions from the Children’s Court, Coroners Court or VCAT. </w:t>
      </w:r>
    </w:p>
    <w:p w14:paraId="2EF72647" w14:textId="26289F2D" w:rsidR="00A141FF" w:rsidRDefault="00A800FC">
      <w:r>
        <w:t>F</w:t>
      </w:r>
      <w:r w:rsidR="00C646FE">
        <w:t xml:space="preserve">ollowing </w:t>
      </w:r>
      <w:r>
        <w:t xml:space="preserve">are </w:t>
      </w:r>
      <w:r w:rsidR="00C646FE">
        <w:t>summar</w:t>
      </w:r>
      <w:r>
        <w:t>ies</w:t>
      </w:r>
      <w:r w:rsidR="00C646FE">
        <w:t xml:space="preserve"> of the </w:t>
      </w:r>
      <w:r>
        <w:t>submissions received</w:t>
      </w:r>
      <w:r w:rsidR="00C646FE">
        <w:t>.</w:t>
      </w:r>
    </w:p>
    <w:p w14:paraId="5605FE09" w14:textId="3DE8C768" w:rsidR="00327B54" w:rsidRPr="00685B39" w:rsidRDefault="00222D9E">
      <w:pPr>
        <w:pStyle w:val="Heading3"/>
      </w:pPr>
      <w:bookmarkStart w:id="10" w:name="_Toc505175059"/>
      <w:bookmarkStart w:id="11" w:name="_Toc41306035"/>
      <w:r>
        <w:t xml:space="preserve">Supreme Court </w:t>
      </w:r>
      <w:r w:rsidR="00327B54" w:rsidRPr="00685B39">
        <w:t>submission</w:t>
      </w:r>
      <w:bookmarkEnd w:id="10"/>
      <w:r w:rsidR="009C450F">
        <w:t>s</w:t>
      </w:r>
      <w:bookmarkEnd w:id="11"/>
    </w:p>
    <w:p w14:paraId="3EEF8BFE" w14:textId="69F5BF1B" w:rsidR="00327B54" w:rsidRDefault="00C646FE" w:rsidP="00BD6777">
      <w:r>
        <w:t>In its submission, dated</w:t>
      </w:r>
      <w:r w:rsidR="00F4699E">
        <w:t xml:space="preserve"> </w:t>
      </w:r>
      <w:r w:rsidR="00F00379">
        <w:t xml:space="preserve">7 </w:t>
      </w:r>
      <w:r w:rsidR="00F4699E">
        <w:t>June 2019</w:t>
      </w:r>
      <w:r>
        <w:t xml:space="preserve">, the Supreme Court proposed </w:t>
      </w:r>
      <w:r w:rsidR="00F4699E">
        <w:t>the following</w:t>
      </w:r>
      <w:r>
        <w:t xml:space="preserve"> amendments to judicial conditions of service:</w:t>
      </w:r>
    </w:p>
    <w:p w14:paraId="7E1ABC66" w14:textId="0DF4B1E7" w:rsidR="00C646FE" w:rsidRPr="00050A0E" w:rsidRDefault="007856A3" w:rsidP="00956138">
      <w:pPr>
        <w:numPr>
          <w:ilvl w:val="0"/>
          <w:numId w:val="18"/>
        </w:numPr>
        <w:ind w:left="714" w:hanging="357"/>
      </w:pPr>
      <w:r>
        <w:t>a</w:t>
      </w:r>
      <w:r w:rsidR="00313267">
        <w:t xml:space="preserve">ssociate </w:t>
      </w:r>
      <w:r>
        <w:t>j</w:t>
      </w:r>
      <w:r w:rsidR="00313267">
        <w:t xml:space="preserve">udges of the Supreme Court should be provided </w:t>
      </w:r>
      <w:r w:rsidR="00A6688C">
        <w:t xml:space="preserve">with the same motor vehicle entitlement as a </w:t>
      </w:r>
      <w:r>
        <w:t>j</w:t>
      </w:r>
      <w:r w:rsidR="00A6688C">
        <w:t>udge of the County Court</w:t>
      </w:r>
    </w:p>
    <w:p w14:paraId="62BA8CB7" w14:textId="127AEA3B" w:rsidR="00C646FE" w:rsidRPr="00050A0E" w:rsidRDefault="00170CD9" w:rsidP="00956138">
      <w:pPr>
        <w:numPr>
          <w:ilvl w:val="0"/>
          <w:numId w:val="18"/>
        </w:numPr>
        <w:ind w:left="714" w:hanging="357"/>
      </w:pPr>
      <w:r>
        <w:t xml:space="preserve">pay out </w:t>
      </w:r>
      <w:r w:rsidR="00A6688C">
        <w:t xml:space="preserve">of accrued long service leave of reserve judicial officers be </w:t>
      </w:r>
      <w:r w:rsidR="00A6688C">
        <w:rPr>
          <w:i/>
        </w:rPr>
        <w:t>pro rata</w:t>
      </w:r>
      <w:r w:rsidR="00A6688C">
        <w:t xml:space="preserve"> at the salary rate at which it was accrued</w:t>
      </w:r>
    </w:p>
    <w:p w14:paraId="29B52578" w14:textId="3D6E3313" w:rsidR="00C646FE" w:rsidRPr="00050A0E" w:rsidRDefault="00A45027" w:rsidP="00956138">
      <w:pPr>
        <w:numPr>
          <w:ilvl w:val="0"/>
          <w:numId w:val="18"/>
        </w:numPr>
        <w:ind w:left="714" w:hanging="357"/>
      </w:pPr>
      <w:r>
        <w:t>a</w:t>
      </w:r>
      <w:r w:rsidR="00A6688C">
        <w:t xml:space="preserve">ccrual of sabbatical/long service leave be clarified to operate on a </w:t>
      </w:r>
      <w:r w:rsidR="00A6688C">
        <w:rPr>
          <w:i/>
        </w:rPr>
        <w:t>pro rata</w:t>
      </w:r>
      <w:r w:rsidR="00A6688C">
        <w:t xml:space="preserve"> basis after 7 years at the rate of 6/7ths of a month each year</w:t>
      </w:r>
      <w:r w:rsidR="00545725">
        <w:t>,</w:t>
      </w:r>
      <w:r w:rsidR="00A6688C">
        <w:t xml:space="preserve"> and</w:t>
      </w:r>
    </w:p>
    <w:p w14:paraId="256B3008" w14:textId="2A39D1A6" w:rsidR="00C646FE" w:rsidRPr="00050A0E" w:rsidRDefault="00A45027" w:rsidP="00956138">
      <w:pPr>
        <w:numPr>
          <w:ilvl w:val="0"/>
          <w:numId w:val="18"/>
        </w:numPr>
        <w:ind w:left="714" w:hanging="357"/>
      </w:pPr>
      <w:r>
        <w:t>t</w:t>
      </w:r>
      <w:r w:rsidR="00A6688C">
        <w:t xml:space="preserve">he words ‘engaged by Court Services Victoria’ from the medical assessment entitlement to allow the assessment to be undertaken with a judicial officer’s regular medical practitioner. </w:t>
      </w:r>
    </w:p>
    <w:p w14:paraId="6143C405" w14:textId="1B2F1A12" w:rsidR="0024426A" w:rsidRDefault="00D21F39" w:rsidP="0024426A">
      <w:r w:rsidRPr="00050A0E">
        <w:t xml:space="preserve">In its further submission on </w:t>
      </w:r>
      <w:r w:rsidR="007856A3">
        <w:t>r</w:t>
      </w:r>
      <w:r w:rsidR="00696B89">
        <w:t xml:space="preserve">eserve </w:t>
      </w:r>
      <w:r w:rsidR="007856A3">
        <w:t>a</w:t>
      </w:r>
      <w:r w:rsidR="00696B89">
        <w:t xml:space="preserve">ssociate </w:t>
      </w:r>
      <w:r w:rsidR="007856A3">
        <w:t>j</w:t>
      </w:r>
      <w:r w:rsidR="00696B89">
        <w:t>udges</w:t>
      </w:r>
      <w:r w:rsidRPr="00050A0E">
        <w:t>, dated</w:t>
      </w:r>
      <w:r w:rsidR="00F00379">
        <w:t xml:space="preserve"> 16</w:t>
      </w:r>
      <w:r w:rsidRPr="00050A0E">
        <w:t xml:space="preserve"> </w:t>
      </w:r>
      <w:r w:rsidR="00696B89">
        <w:t>September 2019</w:t>
      </w:r>
      <w:r w:rsidRPr="00050A0E">
        <w:t xml:space="preserve">, the Supreme Court </w:t>
      </w:r>
      <w:r w:rsidRPr="0053674D">
        <w:t xml:space="preserve">proposed </w:t>
      </w:r>
      <w:r w:rsidR="00503DEB">
        <w:t xml:space="preserve">that </w:t>
      </w:r>
      <w:r w:rsidR="007856A3">
        <w:t>r</w:t>
      </w:r>
      <w:r w:rsidR="00503DEB">
        <w:t xml:space="preserve">eserve </w:t>
      </w:r>
      <w:r w:rsidR="007856A3">
        <w:t>a</w:t>
      </w:r>
      <w:r w:rsidR="00503DEB">
        <w:t xml:space="preserve">ssociate </w:t>
      </w:r>
      <w:r w:rsidR="007856A3">
        <w:t>j</w:t>
      </w:r>
      <w:r w:rsidR="00503DEB">
        <w:t>udges</w:t>
      </w:r>
      <w:r w:rsidRPr="0053674D">
        <w:t xml:space="preserve"> of </w:t>
      </w:r>
      <w:r w:rsidRPr="00D21F39">
        <w:t>the Supreme Court should be provided with the s</w:t>
      </w:r>
      <w:r w:rsidR="006A5FF7">
        <w:t xml:space="preserve">ame non-salary entitlements as </w:t>
      </w:r>
      <w:r w:rsidR="007856A3">
        <w:t>a</w:t>
      </w:r>
      <w:r w:rsidR="00503DEB">
        <w:t xml:space="preserve">ssociate </w:t>
      </w:r>
      <w:r w:rsidR="007856A3">
        <w:t>j</w:t>
      </w:r>
      <w:r w:rsidR="00503DEB">
        <w:t>udges</w:t>
      </w:r>
      <w:r w:rsidRPr="00D21F39">
        <w:t>.</w:t>
      </w:r>
      <w:r w:rsidR="00503DEB">
        <w:t xml:space="preserve"> </w:t>
      </w:r>
      <w:r w:rsidR="0024426A">
        <w:t xml:space="preserve">Specifically, the Supreme Court proposed </w:t>
      </w:r>
      <w:r w:rsidR="007856A3">
        <w:t>r</w:t>
      </w:r>
      <w:r w:rsidR="0024426A">
        <w:t xml:space="preserve">eserve </w:t>
      </w:r>
      <w:r w:rsidR="007856A3">
        <w:t>a</w:t>
      </w:r>
      <w:r w:rsidR="0024426A">
        <w:t xml:space="preserve">ssociate </w:t>
      </w:r>
      <w:r w:rsidR="007856A3">
        <w:t>j</w:t>
      </w:r>
      <w:r w:rsidR="0024426A">
        <w:t>udges be provided with:</w:t>
      </w:r>
    </w:p>
    <w:p w14:paraId="7FC3E1BC" w14:textId="47AA36AB" w:rsidR="0024426A" w:rsidRPr="00050A0E" w:rsidRDefault="0024426A" w:rsidP="00956138">
      <w:pPr>
        <w:numPr>
          <w:ilvl w:val="0"/>
          <w:numId w:val="18"/>
        </w:numPr>
        <w:ind w:left="714" w:hanging="357"/>
      </w:pPr>
      <w:r w:rsidRPr="005A3EA0">
        <w:rPr>
          <w:i/>
        </w:rPr>
        <w:t>pro rata</w:t>
      </w:r>
      <w:r>
        <w:t xml:space="preserve"> long service leave when serving on a full-time basis</w:t>
      </w:r>
    </w:p>
    <w:p w14:paraId="18B7D50C" w14:textId="680024FF" w:rsidR="0024426A" w:rsidRPr="00050A0E" w:rsidRDefault="005A3EA0" w:rsidP="00956138">
      <w:pPr>
        <w:numPr>
          <w:ilvl w:val="0"/>
          <w:numId w:val="18"/>
        </w:numPr>
        <w:ind w:left="714" w:hanging="357"/>
      </w:pPr>
      <w:r w:rsidRPr="005A3EA0">
        <w:rPr>
          <w:i/>
        </w:rPr>
        <w:t>pro rata</w:t>
      </w:r>
      <w:r>
        <w:t xml:space="preserve"> motor vehicle</w:t>
      </w:r>
      <w:r w:rsidR="00DF3358">
        <w:t xml:space="preserve"> entitlement</w:t>
      </w:r>
      <w:r>
        <w:t xml:space="preserve"> (depending on the recommendations made with respect to </w:t>
      </w:r>
      <w:r w:rsidR="007856A3">
        <w:t>a</w:t>
      </w:r>
      <w:r>
        <w:t xml:space="preserve">ssociate </w:t>
      </w:r>
      <w:r w:rsidR="007856A3">
        <w:t>j</w:t>
      </w:r>
      <w:r>
        <w:t>udges)</w:t>
      </w:r>
    </w:p>
    <w:p w14:paraId="5F74E8A0" w14:textId="68983389" w:rsidR="0024426A" w:rsidRPr="00050A0E" w:rsidRDefault="005A3EA0" w:rsidP="00956138">
      <w:pPr>
        <w:numPr>
          <w:ilvl w:val="0"/>
          <w:numId w:val="18"/>
        </w:numPr>
        <w:ind w:left="714" w:hanging="357"/>
      </w:pPr>
      <w:r w:rsidRPr="005A3EA0">
        <w:rPr>
          <w:i/>
        </w:rPr>
        <w:lastRenderedPageBreak/>
        <w:t>pro rata</w:t>
      </w:r>
      <w:r>
        <w:t xml:space="preserve"> professional development allowance</w:t>
      </w:r>
    </w:p>
    <w:p w14:paraId="3F85D4B9" w14:textId="768666AF" w:rsidR="005A3EA0" w:rsidRDefault="005A3EA0" w:rsidP="00956138">
      <w:pPr>
        <w:numPr>
          <w:ilvl w:val="0"/>
          <w:numId w:val="18"/>
        </w:numPr>
      </w:pPr>
      <w:r w:rsidRPr="005A3EA0">
        <w:rPr>
          <w:i/>
        </w:rPr>
        <w:t>pro rata</w:t>
      </w:r>
      <w:r>
        <w:t xml:space="preserve"> public transport</w:t>
      </w:r>
      <w:r w:rsidR="00541EFA">
        <w:t xml:space="preserve"> </w:t>
      </w:r>
      <w:r w:rsidR="003252F6">
        <w:t>entitlement</w:t>
      </w:r>
      <w:r w:rsidR="00545725">
        <w:t>,</w:t>
      </w:r>
      <w:r w:rsidR="003252F6">
        <w:t xml:space="preserve"> and </w:t>
      </w:r>
    </w:p>
    <w:p w14:paraId="2585D399" w14:textId="7308A4D1" w:rsidR="003252F6" w:rsidRPr="00050A0E" w:rsidRDefault="003252F6" w:rsidP="00956138">
      <w:pPr>
        <w:numPr>
          <w:ilvl w:val="0"/>
          <w:numId w:val="18"/>
        </w:numPr>
      </w:pPr>
      <w:r>
        <w:t>travel allowances.</w:t>
      </w:r>
    </w:p>
    <w:p w14:paraId="647EB435" w14:textId="61CB487B" w:rsidR="00C646FE" w:rsidRPr="00D21F39" w:rsidRDefault="00503DEB" w:rsidP="00BD6777">
      <w:r>
        <w:t>The Supreme Court noted there ha</w:t>
      </w:r>
      <w:r w:rsidR="000C451C">
        <w:t xml:space="preserve">d </w:t>
      </w:r>
      <w:r>
        <w:t xml:space="preserve">been no appointments to the office of </w:t>
      </w:r>
      <w:r w:rsidR="00227FA4">
        <w:t>r</w:t>
      </w:r>
      <w:r>
        <w:t xml:space="preserve">eserve </w:t>
      </w:r>
      <w:r w:rsidR="00227FA4">
        <w:t>a</w:t>
      </w:r>
      <w:r>
        <w:t xml:space="preserve">ssociate </w:t>
      </w:r>
      <w:r w:rsidR="00227FA4">
        <w:t>j</w:t>
      </w:r>
      <w:r>
        <w:t xml:space="preserve">udge </w:t>
      </w:r>
      <w:r w:rsidR="000C451C">
        <w:t>as of the date of its submission</w:t>
      </w:r>
      <w:r>
        <w:t xml:space="preserve">. </w:t>
      </w:r>
    </w:p>
    <w:p w14:paraId="307DCE6A" w14:textId="77777777" w:rsidR="009C450F" w:rsidRDefault="009C450F" w:rsidP="009C450F">
      <w:pPr>
        <w:pStyle w:val="Heading3"/>
      </w:pPr>
      <w:bookmarkStart w:id="12" w:name="_Toc505612148"/>
      <w:bookmarkStart w:id="13" w:name="_Toc41306036"/>
      <w:bookmarkStart w:id="14" w:name="_Toc505175060"/>
      <w:r>
        <w:t>County Court submission</w:t>
      </w:r>
      <w:bookmarkEnd w:id="12"/>
      <w:bookmarkEnd w:id="13"/>
    </w:p>
    <w:p w14:paraId="7C67C378" w14:textId="49989915" w:rsidR="004121CB" w:rsidRDefault="009C450F" w:rsidP="002E46DC">
      <w:r>
        <w:t xml:space="preserve">In its submission, dated </w:t>
      </w:r>
      <w:r w:rsidR="00916D45">
        <w:t>28 June 2019</w:t>
      </w:r>
      <w:r>
        <w:t xml:space="preserve">, the County Court </w:t>
      </w:r>
      <w:r w:rsidR="002E46DC">
        <w:t>endorsed the submission made by the Supreme Court</w:t>
      </w:r>
      <w:r w:rsidR="00916D45">
        <w:t xml:space="preserve"> on 7 June 2019.</w:t>
      </w:r>
    </w:p>
    <w:p w14:paraId="06DA5842" w14:textId="2834225E" w:rsidR="00685B39" w:rsidRPr="00685B39" w:rsidRDefault="00DA7255">
      <w:pPr>
        <w:pStyle w:val="Heading3"/>
      </w:pPr>
      <w:bookmarkStart w:id="15" w:name="_Toc41306037"/>
      <w:r>
        <w:t xml:space="preserve">Magistrates’ Court </w:t>
      </w:r>
      <w:r w:rsidR="00685B39" w:rsidRPr="00685B39">
        <w:t>submission</w:t>
      </w:r>
      <w:bookmarkEnd w:id="14"/>
      <w:r w:rsidR="009C450F">
        <w:t>s</w:t>
      </w:r>
      <w:bookmarkEnd w:id="15"/>
    </w:p>
    <w:p w14:paraId="532EC986" w14:textId="6F8CABA1" w:rsidR="00D21F39" w:rsidRDefault="00D21F39" w:rsidP="00D21F39">
      <w:r w:rsidRPr="00417788">
        <w:t xml:space="preserve">In its submission, dated </w:t>
      </w:r>
      <w:r w:rsidR="00F00379">
        <w:t xml:space="preserve">21 </w:t>
      </w:r>
      <w:r w:rsidR="00916D45">
        <w:t>June 2019</w:t>
      </w:r>
      <w:r w:rsidRPr="005630C0">
        <w:t>,</w:t>
      </w:r>
      <w:r w:rsidRPr="00DD0D6D">
        <w:t xml:space="preserve"> the Magistrates’ Court proposed am</w:t>
      </w:r>
      <w:r>
        <w:t xml:space="preserve">endments to </w:t>
      </w:r>
      <w:r w:rsidR="00F0633F">
        <w:t xml:space="preserve">certain </w:t>
      </w:r>
      <w:r w:rsidR="007856A3">
        <w:t>m</w:t>
      </w:r>
      <w:r>
        <w:t>agistrates’ entitlements and allowances</w:t>
      </w:r>
      <w:r w:rsidR="00F0633F">
        <w:t xml:space="preserve"> and the creation of new ones</w:t>
      </w:r>
      <w:r>
        <w:t xml:space="preserve">. Specifically, the Magistrates’ Court proposed: </w:t>
      </w:r>
    </w:p>
    <w:p w14:paraId="0BADE268" w14:textId="1D1E3ABE" w:rsidR="00AF6F23" w:rsidRDefault="00916D45" w:rsidP="00956138">
      <w:pPr>
        <w:pStyle w:val="ListParagraph"/>
        <w:numPr>
          <w:ilvl w:val="0"/>
          <w:numId w:val="18"/>
        </w:numPr>
        <w:spacing w:after="240"/>
      </w:pPr>
      <w:r>
        <w:t xml:space="preserve">an amendment to the living away from home and relocation allowances, which are currently mutually exclusive, to </w:t>
      </w:r>
      <w:r w:rsidR="00AF6F23">
        <w:t xml:space="preserve">provide </w:t>
      </w:r>
      <w:r w:rsidR="007856A3">
        <w:t>m</w:t>
      </w:r>
      <w:r w:rsidR="00AF6F23">
        <w:t>agistrates with a daily fee for meals and incidentals, accommodation, and reimbursement for range of relocation expenses including travel expenses and education expenses of dependent children and/or a spouse</w:t>
      </w:r>
    </w:p>
    <w:p w14:paraId="37F4F38D" w14:textId="2BC0458B" w:rsidR="00916D45" w:rsidRDefault="00AF6F23" w:rsidP="00956138">
      <w:pPr>
        <w:pStyle w:val="ListParagraph"/>
        <w:numPr>
          <w:ilvl w:val="0"/>
          <w:numId w:val="18"/>
        </w:numPr>
        <w:spacing w:after="240"/>
      </w:pPr>
      <w:r>
        <w:t xml:space="preserve">annual leave of eight weeks for </w:t>
      </w:r>
      <w:r w:rsidR="007856A3">
        <w:t>m</w:t>
      </w:r>
      <w:r>
        <w:t>agistrates</w:t>
      </w:r>
    </w:p>
    <w:p w14:paraId="6D7799ED" w14:textId="2F96C0C1" w:rsidR="001268AF" w:rsidRDefault="0031105F" w:rsidP="00956138">
      <w:pPr>
        <w:pStyle w:val="ListParagraph"/>
        <w:numPr>
          <w:ilvl w:val="0"/>
          <w:numId w:val="18"/>
        </w:numPr>
        <w:spacing w:after="240"/>
      </w:pPr>
      <w:r>
        <w:t xml:space="preserve">long service leave for </w:t>
      </w:r>
      <w:proofErr w:type="gramStart"/>
      <w:r w:rsidR="007856A3">
        <w:t>m</w:t>
      </w:r>
      <w:r>
        <w:t>agistrates</w:t>
      </w:r>
      <w:proofErr w:type="gramEnd"/>
      <w:r>
        <w:t xml:space="preserve"> equivalent </w:t>
      </w:r>
      <w:r w:rsidR="006A2F4A">
        <w:t xml:space="preserve">to that provided to County and Supreme Court </w:t>
      </w:r>
      <w:r w:rsidR="00116AF7">
        <w:t>j</w:t>
      </w:r>
      <w:r w:rsidR="006A2F4A">
        <w:t>udges</w:t>
      </w:r>
    </w:p>
    <w:p w14:paraId="001D58D8" w14:textId="3D450119" w:rsidR="006A2F4A" w:rsidRDefault="006A2F4A" w:rsidP="00956138">
      <w:pPr>
        <w:pStyle w:val="ListParagraph"/>
        <w:numPr>
          <w:ilvl w:val="0"/>
          <w:numId w:val="18"/>
        </w:numPr>
        <w:spacing w:after="240"/>
      </w:pPr>
      <w:r>
        <w:t xml:space="preserve">recognising a </w:t>
      </w:r>
      <w:r w:rsidR="007856A3">
        <w:t>m</w:t>
      </w:r>
      <w:r>
        <w:t xml:space="preserve">agistrate’s prior service as an acting </w:t>
      </w:r>
      <w:r w:rsidR="007856A3">
        <w:t>m</w:t>
      </w:r>
      <w:r>
        <w:t>agistrate for the purposes of long service leave</w:t>
      </w:r>
    </w:p>
    <w:p w14:paraId="3E67780F" w14:textId="1B47E72A" w:rsidR="003E454C" w:rsidRDefault="0014222F" w:rsidP="00956138">
      <w:pPr>
        <w:pStyle w:val="ListParagraph"/>
        <w:numPr>
          <w:ilvl w:val="0"/>
          <w:numId w:val="18"/>
        </w:numPr>
        <w:spacing w:after="240"/>
      </w:pPr>
      <w:r>
        <w:t xml:space="preserve">providing </w:t>
      </w:r>
      <w:r w:rsidR="007856A3">
        <w:t>m</w:t>
      </w:r>
      <w:r>
        <w:t xml:space="preserve">agistrates with </w:t>
      </w:r>
      <w:r w:rsidR="003E454C">
        <w:t xml:space="preserve">the equivalent of the statutory disability scheme provided to County and Supreme Court </w:t>
      </w:r>
      <w:r w:rsidR="007856A3">
        <w:t>j</w:t>
      </w:r>
      <w:r w:rsidR="003E454C">
        <w:t>udges, as a minimum and on an interim basis</w:t>
      </w:r>
    </w:p>
    <w:p w14:paraId="65E2274D" w14:textId="307BE9E2" w:rsidR="0014222F" w:rsidRDefault="0014222F" w:rsidP="00956138">
      <w:pPr>
        <w:pStyle w:val="ListParagraph"/>
        <w:numPr>
          <w:ilvl w:val="0"/>
          <w:numId w:val="18"/>
        </w:numPr>
        <w:spacing w:after="240"/>
      </w:pPr>
      <w:r>
        <w:t xml:space="preserve">granting </w:t>
      </w:r>
      <w:r w:rsidR="007856A3">
        <w:t>m</w:t>
      </w:r>
      <w:r>
        <w:t xml:space="preserve">agistrates, </w:t>
      </w:r>
      <w:proofErr w:type="gramStart"/>
      <w:r w:rsidR="007856A3">
        <w:t>c</w:t>
      </w:r>
      <w:r>
        <w:t>oroners</w:t>
      </w:r>
      <w:proofErr w:type="gramEnd"/>
      <w:r>
        <w:t xml:space="preserve"> and </w:t>
      </w:r>
      <w:r w:rsidR="007856A3">
        <w:t>a</w:t>
      </w:r>
      <w:r>
        <w:t xml:space="preserve">ssociate </w:t>
      </w:r>
      <w:r w:rsidR="007856A3">
        <w:t>j</w:t>
      </w:r>
      <w:r>
        <w:t xml:space="preserve">udges of the Supreme Court access to the Judicial Car Scheme currently available to </w:t>
      </w:r>
      <w:r w:rsidR="00515697">
        <w:t>j</w:t>
      </w:r>
      <w:r>
        <w:t>udges</w:t>
      </w:r>
      <w:r w:rsidR="00515697">
        <w:t xml:space="preserve"> of the Supreme and County Courts</w:t>
      </w:r>
    </w:p>
    <w:p w14:paraId="6B7CE0D9" w14:textId="1CC862B6" w:rsidR="00702C87" w:rsidRDefault="00702C87" w:rsidP="00956138">
      <w:pPr>
        <w:pStyle w:val="ListParagraph"/>
        <w:numPr>
          <w:ilvl w:val="0"/>
          <w:numId w:val="18"/>
        </w:numPr>
        <w:spacing w:after="240"/>
      </w:pPr>
      <w:r>
        <w:t xml:space="preserve">removing restrictions on the category of </w:t>
      </w:r>
      <w:proofErr w:type="spellStart"/>
      <w:r>
        <w:t>VicFleet</w:t>
      </w:r>
      <w:proofErr w:type="spellEnd"/>
      <w:r>
        <w:t xml:space="preserve"> vehicles a </w:t>
      </w:r>
      <w:r w:rsidR="007856A3">
        <w:t>m</w:t>
      </w:r>
      <w:r>
        <w:t>agistrate can access</w:t>
      </w:r>
    </w:p>
    <w:p w14:paraId="30116AA0" w14:textId="4E7FB144" w:rsidR="00702C87" w:rsidRDefault="00702C87" w:rsidP="00956138">
      <w:pPr>
        <w:pStyle w:val="ListParagraph"/>
        <w:numPr>
          <w:ilvl w:val="0"/>
          <w:numId w:val="18"/>
        </w:numPr>
        <w:spacing w:after="240"/>
      </w:pPr>
      <w:r>
        <w:t xml:space="preserve">payment of all E-Tag expenses for </w:t>
      </w:r>
      <w:r w:rsidR="007856A3">
        <w:t>m</w:t>
      </w:r>
      <w:r>
        <w:t>agistrates</w:t>
      </w:r>
    </w:p>
    <w:p w14:paraId="1F0D5C33" w14:textId="13C04CAE" w:rsidR="00702C87" w:rsidRDefault="00702C87" w:rsidP="00956138">
      <w:pPr>
        <w:pStyle w:val="ListParagraph"/>
        <w:numPr>
          <w:ilvl w:val="0"/>
          <w:numId w:val="18"/>
        </w:numPr>
        <w:spacing w:after="240"/>
      </w:pPr>
      <w:r>
        <w:t xml:space="preserve">five days’ conference leave per annum for each </w:t>
      </w:r>
      <w:r w:rsidR="007856A3">
        <w:t>m</w:t>
      </w:r>
      <w:r>
        <w:t>agistrate, on a cumulative basis and in addition to any court-organised personal development days</w:t>
      </w:r>
    </w:p>
    <w:p w14:paraId="505A5DB1" w14:textId="16166C65" w:rsidR="009B6178" w:rsidRDefault="009B6178" w:rsidP="00956138">
      <w:pPr>
        <w:pStyle w:val="ListParagraph"/>
        <w:numPr>
          <w:ilvl w:val="0"/>
          <w:numId w:val="18"/>
        </w:numPr>
        <w:spacing w:after="240"/>
      </w:pPr>
      <w:r>
        <w:t xml:space="preserve">conducting an annual security audit at each </w:t>
      </w:r>
      <w:r w:rsidR="007856A3">
        <w:t>m</w:t>
      </w:r>
      <w:r>
        <w:t>agistrate’s residen</w:t>
      </w:r>
      <w:r w:rsidR="0016753A">
        <w:t>ce</w:t>
      </w:r>
      <w:r>
        <w:t xml:space="preserve"> with a court-appointed security expert, with any security issues at the property paid for by </w:t>
      </w:r>
      <w:r w:rsidR="00545725">
        <w:t>CSV</w:t>
      </w:r>
    </w:p>
    <w:p w14:paraId="3047E2B7" w14:textId="6A4DEDDD" w:rsidR="00426542" w:rsidRDefault="00426542" w:rsidP="00956138">
      <w:pPr>
        <w:pStyle w:val="ListParagraph"/>
        <w:numPr>
          <w:ilvl w:val="0"/>
          <w:numId w:val="18"/>
        </w:numPr>
        <w:spacing w:after="240"/>
      </w:pPr>
      <w:r>
        <w:t xml:space="preserve">personal duress alarms for </w:t>
      </w:r>
      <w:r w:rsidR="007856A3">
        <w:t>m</w:t>
      </w:r>
      <w:r>
        <w:t>agistrates that are monitored 24/7 by security or law enforcement bodies</w:t>
      </w:r>
    </w:p>
    <w:p w14:paraId="6FEA6BB1" w14:textId="4AAB1BEA" w:rsidR="00426542" w:rsidRDefault="00426542" w:rsidP="00956138">
      <w:pPr>
        <w:pStyle w:val="ListParagraph"/>
        <w:numPr>
          <w:ilvl w:val="0"/>
          <w:numId w:val="18"/>
        </w:numPr>
        <w:spacing w:after="240"/>
      </w:pPr>
      <w:r>
        <w:lastRenderedPageBreak/>
        <w:t>increasing medical assessment allowance to $1500 every two years, indexing the allowance, and allowing the allowance to be used for any medical provider</w:t>
      </w:r>
    </w:p>
    <w:p w14:paraId="54CFF3DB" w14:textId="3F331059" w:rsidR="00426542" w:rsidRDefault="00E37B24" w:rsidP="00956138">
      <w:pPr>
        <w:pStyle w:val="ListParagraph"/>
        <w:numPr>
          <w:ilvl w:val="0"/>
          <w:numId w:val="18"/>
        </w:numPr>
        <w:spacing w:after="240"/>
      </w:pPr>
      <w:r>
        <w:t xml:space="preserve">providing </w:t>
      </w:r>
      <w:r w:rsidR="007856A3">
        <w:t>r</w:t>
      </w:r>
      <w:r>
        <w:t xml:space="preserve">eserve </w:t>
      </w:r>
      <w:r w:rsidR="007856A3">
        <w:t>m</w:t>
      </w:r>
      <w:r>
        <w:t xml:space="preserve">agistrates with a percentage of the book allowance </w:t>
      </w:r>
      <w:r w:rsidR="00EB4C3E">
        <w:t>(</w:t>
      </w:r>
      <w:r w:rsidR="00307B81">
        <w:t>know</w:t>
      </w:r>
      <w:r w:rsidR="00A12EB7">
        <w:t>n</w:t>
      </w:r>
      <w:r w:rsidR="00307B81">
        <w:t xml:space="preserve"> as the professional development allowance) </w:t>
      </w:r>
      <w:r>
        <w:t>and a daily allowance for attending professional development days, as approved by the Chief Magistrate</w:t>
      </w:r>
      <w:r w:rsidR="00545725">
        <w:t>,</w:t>
      </w:r>
      <w:r w:rsidR="00B80D2A">
        <w:t xml:space="preserve"> and</w:t>
      </w:r>
    </w:p>
    <w:p w14:paraId="5BD31908" w14:textId="75BD7F70" w:rsidR="00E37B24" w:rsidRDefault="00B80D2A" w:rsidP="00956138">
      <w:pPr>
        <w:pStyle w:val="ListParagraph"/>
        <w:numPr>
          <w:ilvl w:val="0"/>
          <w:numId w:val="18"/>
        </w:numPr>
        <w:spacing w:after="240"/>
      </w:pPr>
      <w:r>
        <w:t xml:space="preserve">entitling </w:t>
      </w:r>
      <w:r w:rsidR="007856A3">
        <w:t>m</w:t>
      </w:r>
      <w:r>
        <w:t xml:space="preserve">agistrates to the same travel allowances as </w:t>
      </w:r>
      <w:r w:rsidR="007856A3">
        <w:t>a</w:t>
      </w:r>
      <w:r>
        <w:t xml:space="preserve">ssociate </w:t>
      </w:r>
      <w:r w:rsidR="007856A3">
        <w:t>j</w:t>
      </w:r>
      <w:r>
        <w:t>udges of the Supreme Court.</w:t>
      </w:r>
    </w:p>
    <w:p w14:paraId="14692606" w14:textId="70D20932" w:rsidR="00027914" w:rsidRPr="00685B39" w:rsidRDefault="00C17F4D" w:rsidP="00027914">
      <w:pPr>
        <w:pStyle w:val="Heading3"/>
      </w:pPr>
      <w:bookmarkStart w:id="16" w:name="_Toc41306038"/>
      <w:r>
        <w:t>CSV</w:t>
      </w:r>
      <w:r w:rsidR="00027914">
        <w:t xml:space="preserve"> </w:t>
      </w:r>
      <w:r w:rsidR="00697CDE">
        <w:t>letter</w:t>
      </w:r>
      <w:bookmarkEnd w:id="16"/>
    </w:p>
    <w:p w14:paraId="01CEF52F" w14:textId="3F977C37" w:rsidR="00027914" w:rsidRDefault="00C17F4D" w:rsidP="00027914">
      <w:r>
        <w:t xml:space="preserve">CSV </w:t>
      </w:r>
      <w:r w:rsidR="00076108">
        <w:t xml:space="preserve">provided a </w:t>
      </w:r>
      <w:r w:rsidR="00697CDE">
        <w:t>letter</w:t>
      </w:r>
      <w:r w:rsidR="00076108">
        <w:t xml:space="preserve"> on 11 February </w:t>
      </w:r>
      <w:r w:rsidR="004F0893">
        <w:t>2020,</w:t>
      </w:r>
      <w:r w:rsidR="00076108">
        <w:t xml:space="preserve"> in response </w:t>
      </w:r>
      <w:r>
        <w:t xml:space="preserve">to the Panel’s request for further advice in its 2018 </w:t>
      </w:r>
      <w:r w:rsidR="00B40F8A">
        <w:t>r</w:t>
      </w:r>
      <w:r>
        <w:t>eport of Own Motion Recommendations.</w:t>
      </w:r>
      <w:r w:rsidR="00B602B7">
        <w:t xml:space="preserve"> </w:t>
      </w:r>
    </w:p>
    <w:p w14:paraId="10EBB2A4" w14:textId="1E02C8C4" w:rsidR="00307C32" w:rsidRDefault="00B602B7" w:rsidP="00307C32">
      <w:r>
        <w:t>CSV</w:t>
      </w:r>
      <w:r w:rsidR="00C65A32">
        <w:t xml:space="preserve"> </w:t>
      </w:r>
      <w:r w:rsidR="00307C32">
        <w:t xml:space="preserve">made the following </w:t>
      </w:r>
      <w:r w:rsidR="00076108">
        <w:t xml:space="preserve">submissions </w:t>
      </w:r>
      <w:r w:rsidR="000F7CFA">
        <w:t>regarding</w:t>
      </w:r>
      <w:r w:rsidR="00307C32">
        <w:t xml:space="preserve"> magistrates’ </w:t>
      </w:r>
      <w:r w:rsidR="000F7CFA">
        <w:t>living away from home and relocation allowances</w:t>
      </w:r>
      <w:r w:rsidR="00307C32">
        <w:t xml:space="preserve">: </w:t>
      </w:r>
    </w:p>
    <w:p w14:paraId="3D30EE6F" w14:textId="4315B940" w:rsidR="00307C32" w:rsidRDefault="00307C32" w:rsidP="00956138">
      <w:pPr>
        <w:pStyle w:val="ListParagraph"/>
        <w:numPr>
          <w:ilvl w:val="0"/>
          <w:numId w:val="18"/>
        </w:numPr>
        <w:spacing w:after="240"/>
      </w:pPr>
      <w:r>
        <w:t xml:space="preserve">the </w:t>
      </w:r>
      <w:r w:rsidR="000F7CFA">
        <w:t>living away from home allowance should be $453 per week for magistrates assigned from metropolitan courts to regional courts (no change to the current rate) and increased to $553 for magistrates assigned from regional courts to metropolitan courts</w:t>
      </w:r>
    </w:p>
    <w:p w14:paraId="177A7727" w14:textId="5DA2DBDB" w:rsidR="000F7CFA" w:rsidRDefault="000F7CFA" w:rsidP="00956138">
      <w:pPr>
        <w:pStyle w:val="ListParagraph"/>
        <w:numPr>
          <w:ilvl w:val="0"/>
          <w:numId w:val="18"/>
        </w:numPr>
        <w:spacing w:after="240"/>
      </w:pPr>
      <w:r>
        <w:t>the living away from home allowance should be extended to include:</w:t>
      </w:r>
    </w:p>
    <w:p w14:paraId="4BD93886" w14:textId="6A364C5A" w:rsidR="000F7CFA" w:rsidRDefault="000F7CFA" w:rsidP="00956138">
      <w:pPr>
        <w:pStyle w:val="ListParagraph"/>
        <w:numPr>
          <w:ilvl w:val="1"/>
          <w:numId w:val="18"/>
        </w:numPr>
        <w:spacing w:after="240"/>
      </w:pPr>
      <w:r>
        <w:t>a residential allowance to reimburse the actual costs of a second residence, and</w:t>
      </w:r>
    </w:p>
    <w:p w14:paraId="401C062A" w14:textId="0A2A1F23" w:rsidR="000F7CFA" w:rsidRDefault="000F7CFA" w:rsidP="00956138">
      <w:pPr>
        <w:pStyle w:val="ListParagraph"/>
        <w:numPr>
          <w:ilvl w:val="1"/>
          <w:numId w:val="18"/>
        </w:numPr>
        <w:spacing w:after="240"/>
      </w:pPr>
      <w:r>
        <w:t>a discretionary allowance to ensure magistrates required to work away from their primary place of residence are not financially disadvantaged</w:t>
      </w:r>
    </w:p>
    <w:p w14:paraId="68AB62DB" w14:textId="5494703E" w:rsidR="000F7CFA" w:rsidRDefault="000F7CFA" w:rsidP="00956138">
      <w:pPr>
        <w:pStyle w:val="ListParagraph"/>
        <w:numPr>
          <w:ilvl w:val="0"/>
          <w:numId w:val="18"/>
        </w:numPr>
        <w:spacing w:after="240"/>
      </w:pPr>
      <w:r>
        <w:t xml:space="preserve">CSV should implement a concierge service to facilitate relocation, and </w:t>
      </w:r>
    </w:p>
    <w:p w14:paraId="28845602" w14:textId="388FCF7C" w:rsidR="000F7CFA" w:rsidRDefault="000F7CFA" w:rsidP="00956138">
      <w:pPr>
        <w:pStyle w:val="ListParagraph"/>
        <w:numPr>
          <w:ilvl w:val="0"/>
          <w:numId w:val="18"/>
        </w:numPr>
        <w:spacing w:after="240"/>
      </w:pPr>
      <w:r>
        <w:t xml:space="preserve">the entitlement certificate dated 24 February 2012 should be amended to reflect these </w:t>
      </w:r>
      <w:proofErr w:type="gramStart"/>
      <w:r>
        <w:t>changes, and</w:t>
      </w:r>
      <w:proofErr w:type="gramEnd"/>
      <w:r>
        <w:t xml:space="preserve"> backdated to 1 January 2020 to ensure magistrates are not financially disadvantaged. </w:t>
      </w:r>
    </w:p>
    <w:p w14:paraId="65226D49" w14:textId="77777777" w:rsidR="006D6AEF" w:rsidRDefault="00E336A1" w:rsidP="00B35748">
      <w:r>
        <w:t>CSV</w:t>
      </w:r>
      <w:r w:rsidR="006D6AEF">
        <w:t xml:space="preserve"> recognised the merit in providing magistrates with access to the Judicial Car Scheme available to Supreme and County Court judges. </w:t>
      </w:r>
    </w:p>
    <w:p w14:paraId="0017A171" w14:textId="541C8BE2" w:rsidR="00B35748" w:rsidRDefault="006D6AEF" w:rsidP="00B35748">
      <w:r>
        <w:t>CSV noted the costing formula for the current vehicle scheme available to magistrates was altered on 1 July 2019. CSV proposed that, if the Panel recommended retaining the current scheme, magistrates’ vehicle allowance be increased and backdated to 1 July 2019, to ensure magistrates are not financially disadvantaged.</w:t>
      </w:r>
    </w:p>
    <w:p w14:paraId="76D6C77E" w14:textId="79E5AD34" w:rsidR="00592FBA" w:rsidRDefault="00592FBA" w:rsidP="00592FBA">
      <w:pPr>
        <w:pStyle w:val="Heading3"/>
      </w:pPr>
      <w:bookmarkStart w:id="17" w:name="_Toc41306039"/>
      <w:r>
        <w:t xml:space="preserve">Secretary </w:t>
      </w:r>
      <w:r w:rsidR="000B609B">
        <w:t>of</w:t>
      </w:r>
      <w:r>
        <w:t xml:space="preserve"> the Department of Treasury and Finance</w:t>
      </w:r>
      <w:bookmarkEnd w:id="17"/>
    </w:p>
    <w:p w14:paraId="3A84A7ED" w14:textId="3934BDF3" w:rsidR="00592FBA" w:rsidRDefault="00583C17" w:rsidP="00592FBA">
      <w:r>
        <w:t>Under section 30(1) of the JE Act, before the Panel makes an own motion recommendation, it must, in writing, invite a public service body Head nominated by the Minister to make a submission to the Panel providing:</w:t>
      </w:r>
    </w:p>
    <w:p w14:paraId="48E94CD1" w14:textId="585A4EF5" w:rsidR="00583C17" w:rsidRDefault="00583C17" w:rsidP="00956138">
      <w:pPr>
        <w:pStyle w:val="ListParagraph"/>
        <w:numPr>
          <w:ilvl w:val="0"/>
          <w:numId w:val="24"/>
        </w:numPr>
        <w:spacing w:before="240" w:after="240"/>
      </w:pPr>
      <w:r>
        <w:t>information about relevant economic and remuneration factors in Victoria</w:t>
      </w:r>
      <w:r w:rsidR="00545725">
        <w:t>,</w:t>
      </w:r>
      <w:r>
        <w:t xml:space="preserve"> and</w:t>
      </w:r>
    </w:p>
    <w:p w14:paraId="3ED0D1EC" w14:textId="592993A6" w:rsidR="00583C17" w:rsidRDefault="00583C17" w:rsidP="00956138">
      <w:pPr>
        <w:pStyle w:val="ListParagraph"/>
        <w:numPr>
          <w:ilvl w:val="0"/>
          <w:numId w:val="24"/>
        </w:numPr>
        <w:spacing w:before="240" w:after="240"/>
        <w:ind w:left="714" w:hanging="357"/>
      </w:pPr>
      <w:r>
        <w:lastRenderedPageBreak/>
        <w:t>any other relevant information that the nominated public service body Head considers appropriate.</w:t>
      </w:r>
    </w:p>
    <w:p w14:paraId="443171AA" w14:textId="61B265E8" w:rsidR="00583C17" w:rsidRDefault="00583C17" w:rsidP="00583C17">
      <w:r>
        <w:t xml:space="preserve">The </w:t>
      </w:r>
      <w:r w:rsidR="000B609B">
        <w:t xml:space="preserve">previous </w:t>
      </w:r>
      <w:r>
        <w:t>Attorney-General</w:t>
      </w:r>
      <w:r w:rsidR="000E1EF4">
        <w:t xml:space="preserve">, the Hon Martin </w:t>
      </w:r>
      <w:proofErr w:type="spellStart"/>
      <w:r w:rsidR="000E1EF4">
        <w:t>Pakula</w:t>
      </w:r>
      <w:proofErr w:type="spellEnd"/>
      <w:r w:rsidR="000E1EF4">
        <w:t xml:space="preserve"> MP,</w:t>
      </w:r>
      <w:r>
        <w:t xml:space="preserve"> as the</w:t>
      </w:r>
      <w:r w:rsidR="000E1EF4">
        <w:t xml:space="preserve"> then</w:t>
      </w:r>
      <w:r>
        <w:t xml:space="preserve"> Minister responsible for the JE Act</w:t>
      </w:r>
      <w:r w:rsidR="000044DC">
        <w:t xml:space="preserve">, </w:t>
      </w:r>
      <w:r>
        <w:t xml:space="preserve">nominated the Secretary </w:t>
      </w:r>
      <w:r w:rsidR="000E1EF4">
        <w:t xml:space="preserve">of </w:t>
      </w:r>
      <w:r w:rsidR="000044DC">
        <w:t xml:space="preserve">DTF on 27 September 2016 </w:t>
      </w:r>
      <w:r>
        <w:t>as the public service body Head for the purposes of section 30(1).</w:t>
      </w:r>
    </w:p>
    <w:p w14:paraId="74C1D5B1" w14:textId="3B151DE7" w:rsidR="00C800D6" w:rsidRPr="00C65A32" w:rsidRDefault="00B21800" w:rsidP="000E1EF4">
      <w:r w:rsidRPr="00F74208">
        <w:t xml:space="preserve">The Secretary </w:t>
      </w:r>
      <w:r w:rsidR="000E1EF4">
        <w:t xml:space="preserve">of </w:t>
      </w:r>
      <w:r w:rsidRPr="00F74208">
        <w:t xml:space="preserve">DTF made </w:t>
      </w:r>
      <w:r w:rsidR="001D1D3D" w:rsidRPr="000566D2">
        <w:t xml:space="preserve">a </w:t>
      </w:r>
      <w:r w:rsidRPr="000566D2">
        <w:t xml:space="preserve">submission to the Panel on </w:t>
      </w:r>
      <w:r w:rsidR="00C13000">
        <w:t>25 May 2020</w:t>
      </w:r>
      <w:r w:rsidR="000E1EF4">
        <w:t xml:space="preserve"> in response to a written invitation from the Panel. The submission provides an update on the economic outlook for Victoria since the Secretary of DTF’s January 2019 submission to the Panel’s Advisory Opinion to the Attorney-General.</w:t>
      </w:r>
    </w:p>
    <w:p w14:paraId="769B778A" w14:textId="5A3338F2" w:rsidR="00327B54" w:rsidRDefault="00327B54" w:rsidP="00B21800">
      <w:pPr>
        <w:pStyle w:val="Heading2"/>
        <w:rPr>
          <w:rFonts w:eastAsia="Calibri"/>
        </w:rPr>
      </w:pPr>
      <w:bookmarkStart w:id="18" w:name="_Toc41306040"/>
      <w:r w:rsidRPr="009F3C21">
        <w:rPr>
          <w:rFonts w:eastAsia="Calibri"/>
        </w:rPr>
        <w:t>Issues addressed in this report</w:t>
      </w:r>
      <w:bookmarkEnd w:id="18"/>
    </w:p>
    <w:p w14:paraId="4545DB2C" w14:textId="70707FD8" w:rsidR="00706DA1" w:rsidRDefault="004A6308" w:rsidP="00050A0E">
      <w:pPr>
        <w:pStyle w:val="NoSpacing"/>
        <w:spacing w:after="120"/>
      </w:pPr>
      <w:r>
        <w:t xml:space="preserve">The issues </w:t>
      </w:r>
      <w:r w:rsidR="00266287">
        <w:t>for which recommendations</w:t>
      </w:r>
      <w:r w:rsidR="00E3369E">
        <w:t xml:space="preserve"> and observations </w:t>
      </w:r>
      <w:r w:rsidR="00266287">
        <w:t xml:space="preserve">have been made </w:t>
      </w:r>
      <w:r w:rsidR="00706DA1">
        <w:t>in this report include: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26"/>
        <w:gridCol w:w="8930"/>
      </w:tblGrid>
      <w:tr w:rsidR="00222D9E" w:rsidRPr="005B3819" w14:paraId="15ED97BE" w14:textId="77777777" w:rsidTr="00050A0E">
        <w:tc>
          <w:tcPr>
            <w:tcW w:w="426" w:type="dxa"/>
            <w:tcBorders>
              <w:bottom w:val="single" w:sz="4" w:space="0" w:color="0063A6"/>
            </w:tcBorders>
          </w:tcPr>
          <w:p w14:paraId="51868DDB" w14:textId="764D0EC3" w:rsidR="00222D9E" w:rsidRPr="00EB5665" w:rsidRDefault="00222D9E" w:rsidP="00CC7339">
            <w:pPr>
              <w:spacing w:before="0" w:after="0"/>
              <w:rPr>
                <w:b/>
                <w:color w:val="0063A6"/>
              </w:rPr>
            </w:pPr>
            <w:r w:rsidRPr="00EB5665">
              <w:rPr>
                <w:b/>
                <w:color w:val="0063A6"/>
              </w:rPr>
              <w:t>#</w:t>
            </w:r>
          </w:p>
        </w:tc>
        <w:tc>
          <w:tcPr>
            <w:tcW w:w="8930" w:type="dxa"/>
            <w:tcBorders>
              <w:bottom w:val="single" w:sz="4" w:space="0" w:color="0063A6"/>
            </w:tcBorders>
          </w:tcPr>
          <w:p w14:paraId="23F61282" w14:textId="6FF97EE8" w:rsidR="00222D9E" w:rsidRPr="00EB5665" w:rsidRDefault="00222D9E" w:rsidP="00050A0E">
            <w:pPr>
              <w:spacing w:before="0" w:after="0"/>
              <w:rPr>
                <w:b/>
                <w:color w:val="0063A6"/>
              </w:rPr>
            </w:pPr>
            <w:r w:rsidRPr="00EB5665">
              <w:rPr>
                <w:b/>
                <w:color w:val="0063A6"/>
              </w:rPr>
              <w:t>Issue</w:t>
            </w:r>
          </w:p>
        </w:tc>
      </w:tr>
      <w:tr w:rsidR="00222D9E" w:rsidRPr="005B3819" w14:paraId="31655A44" w14:textId="77777777" w:rsidTr="00050A0E">
        <w:tc>
          <w:tcPr>
            <w:tcW w:w="426" w:type="dxa"/>
            <w:tcBorders>
              <w:top w:val="single" w:sz="4" w:space="0" w:color="0063A6"/>
            </w:tcBorders>
          </w:tcPr>
          <w:p w14:paraId="4D997150" w14:textId="77777777" w:rsidR="00222D9E" w:rsidRPr="005B3819" w:rsidRDefault="00222D9E" w:rsidP="00956138">
            <w:pPr>
              <w:pStyle w:val="ListParagraph"/>
              <w:numPr>
                <w:ilvl w:val="0"/>
                <w:numId w:val="14"/>
              </w:numPr>
            </w:pPr>
          </w:p>
        </w:tc>
        <w:tc>
          <w:tcPr>
            <w:tcW w:w="8930" w:type="dxa"/>
            <w:tcBorders>
              <w:top w:val="single" w:sz="4" w:space="0" w:color="0063A6"/>
            </w:tcBorders>
          </w:tcPr>
          <w:p w14:paraId="56E30793" w14:textId="14A8708B" w:rsidR="00222D9E" w:rsidRPr="005B3819" w:rsidRDefault="000D2C04" w:rsidP="006960EC">
            <w:pPr>
              <w:spacing w:before="0" w:after="0"/>
            </w:pPr>
            <w:r>
              <w:t>Motor vehicle</w:t>
            </w:r>
            <w:r w:rsidR="002B6E13">
              <w:t xml:space="preserve"> entitlements for</w:t>
            </w:r>
            <w:r w:rsidR="00B16C99">
              <w:t xml:space="preserve"> </w:t>
            </w:r>
            <w:r w:rsidR="007856A3">
              <w:t>a</w:t>
            </w:r>
            <w:r w:rsidR="00B16C99">
              <w:t xml:space="preserve">ssociate </w:t>
            </w:r>
            <w:r w:rsidR="007856A3">
              <w:t>j</w:t>
            </w:r>
            <w:r w:rsidR="00B16C99">
              <w:t xml:space="preserve">udges of the Supreme Court </w:t>
            </w:r>
          </w:p>
        </w:tc>
      </w:tr>
      <w:tr w:rsidR="00222D9E" w:rsidRPr="005B3819" w14:paraId="68722969" w14:textId="77777777" w:rsidTr="00050A0E">
        <w:tc>
          <w:tcPr>
            <w:tcW w:w="426" w:type="dxa"/>
          </w:tcPr>
          <w:p w14:paraId="28A91D8A" w14:textId="77777777" w:rsidR="00222D9E" w:rsidRPr="005B3819" w:rsidRDefault="00222D9E" w:rsidP="00956138">
            <w:pPr>
              <w:pStyle w:val="ListParagraph"/>
              <w:numPr>
                <w:ilvl w:val="0"/>
                <w:numId w:val="14"/>
              </w:numPr>
            </w:pPr>
          </w:p>
        </w:tc>
        <w:tc>
          <w:tcPr>
            <w:tcW w:w="8930" w:type="dxa"/>
          </w:tcPr>
          <w:p w14:paraId="1844B14E" w14:textId="014C47BA" w:rsidR="00723AA0" w:rsidRPr="005B3819" w:rsidRDefault="00EE3A38" w:rsidP="006960EC">
            <w:pPr>
              <w:spacing w:before="0" w:after="0"/>
            </w:pPr>
            <w:r>
              <w:t xml:space="preserve">Calculation of long service leave for </w:t>
            </w:r>
            <w:r w:rsidR="00336710">
              <w:t>judicial officers</w:t>
            </w:r>
          </w:p>
        </w:tc>
      </w:tr>
      <w:tr w:rsidR="0096080E" w:rsidRPr="005B3819" w14:paraId="4E8B4A72" w14:textId="77777777" w:rsidTr="00050A0E">
        <w:tc>
          <w:tcPr>
            <w:tcW w:w="426" w:type="dxa"/>
          </w:tcPr>
          <w:p w14:paraId="29F6A10E" w14:textId="77777777" w:rsidR="0096080E" w:rsidRPr="005B3819" w:rsidRDefault="0096080E" w:rsidP="00956138">
            <w:pPr>
              <w:pStyle w:val="ListParagraph"/>
              <w:numPr>
                <w:ilvl w:val="0"/>
                <w:numId w:val="14"/>
              </w:numPr>
            </w:pPr>
          </w:p>
        </w:tc>
        <w:tc>
          <w:tcPr>
            <w:tcW w:w="8930" w:type="dxa"/>
          </w:tcPr>
          <w:p w14:paraId="7DCBAA85" w14:textId="3410A164" w:rsidR="0096080E" w:rsidRPr="005B3819" w:rsidRDefault="0096080E" w:rsidP="0096080E">
            <w:pPr>
              <w:spacing w:before="0" w:after="0"/>
            </w:pPr>
            <w:r>
              <w:t>Entitlements for reserve associate judges of the Supreme Court</w:t>
            </w:r>
          </w:p>
        </w:tc>
      </w:tr>
      <w:tr w:rsidR="0096080E" w:rsidRPr="005B3819" w14:paraId="1FE9CA02" w14:textId="77777777" w:rsidTr="00050A0E">
        <w:tc>
          <w:tcPr>
            <w:tcW w:w="426" w:type="dxa"/>
          </w:tcPr>
          <w:p w14:paraId="42BC7F41" w14:textId="77777777" w:rsidR="0096080E" w:rsidRPr="005B3819" w:rsidRDefault="0096080E" w:rsidP="00956138">
            <w:pPr>
              <w:pStyle w:val="ListParagraph"/>
              <w:numPr>
                <w:ilvl w:val="0"/>
                <w:numId w:val="14"/>
              </w:numPr>
            </w:pPr>
          </w:p>
        </w:tc>
        <w:tc>
          <w:tcPr>
            <w:tcW w:w="8930" w:type="dxa"/>
          </w:tcPr>
          <w:p w14:paraId="546ACA90" w14:textId="24311A22" w:rsidR="0096080E" w:rsidRDefault="0096080E" w:rsidP="0096080E">
            <w:pPr>
              <w:spacing w:before="0" w:after="0"/>
            </w:pPr>
            <w:r>
              <w:t>Annual leave for magistrates</w:t>
            </w:r>
          </w:p>
        </w:tc>
      </w:tr>
      <w:tr w:rsidR="0096080E" w:rsidRPr="005B3819" w14:paraId="5ED39F35" w14:textId="77777777" w:rsidTr="00050A0E">
        <w:tc>
          <w:tcPr>
            <w:tcW w:w="426" w:type="dxa"/>
          </w:tcPr>
          <w:p w14:paraId="4A851161" w14:textId="77777777" w:rsidR="0096080E" w:rsidRPr="005B3819" w:rsidRDefault="0096080E" w:rsidP="00956138">
            <w:pPr>
              <w:pStyle w:val="ListParagraph"/>
              <w:numPr>
                <w:ilvl w:val="0"/>
                <w:numId w:val="14"/>
              </w:numPr>
            </w:pPr>
          </w:p>
        </w:tc>
        <w:tc>
          <w:tcPr>
            <w:tcW w:w="8930" w:type="dxa"/>
          </w:tcPr>
          <w:p w14:paraId="50B3D479" w14:textId="752004EE" w:rsidR="0096080E" w:rsidRPr="005B3819" w:rsidRDefault="0096080E" w:rsidP="0096080E">
            <w:pPr>
              <w:spacing w:before="0" w:after="0"/>
            </w:pPr>
            <w:r>
              <w:t>Living away from home allowance for magistrates</w:t>
            </w:r>
          </w:p>
        </w:tc>
      </w:tr>
      <w:tr w:rsidR="0096080E" w:rsidRPr="005B3819" w14:paraId="6FA5370F" w14:textId="77777777" w:rsidTr="00050A0E">
        <w:tc>
          <w:tcPr>
            <w:tcW w:w="426" w:type="dxa"/>
          </w:tcPr>
          <w:p w14:paraId="342C547A" w14:textId="77777777" w:rsidR="0096080E" w:rsidRPr="005B3819" w:rsidRDefault="0096080E" w:rsidP="00956138">
            <w:pPr>
              <w:pStyle w:val="ListParagraph"/>
              <w:numPr>
                <w:ilvl w:val="0"/>
                <w:numId w:val="14"/>
              </w:numPr>
            </w:pPr>
          </w:p>
        </w:tc>
        <w:tc>
          <w:tcPr>
            <w:tcW w:w="8930" w:type="dxa"/>
          </w:tcPr>
          <w:p w14:paraId="23B19B72" w14:textId="3C04E725" w:rsidR="0096080E" w:rsidRDefault="0096080E" w:rsidP="0096080E">
            <w:pPr>
              <w:spacing w:before="0" w:after="0"/>
            </w:pPr>
            <w:r>
              <w:t>Income protection scheme for magistrates</w:t>
            </w:r>
          </w:p>
        </w:tc>
      </w:tr>
      <w:tr w:rsidR="0060545A" w:rsidRPr="005B3819" w14:paraId="61EBDC07" w14:textId="77777777" w:rsidTr="00050A0E">
        <w:tc>
          <w:tcPr>
            <w:tcW w:w="426" w:type="dxa"/>
          </w:tcPr>
          <w:p w14:paraId="4E7F9CEC" w14:textId="77777777" w:rsidR="0060545A" w:rsidRPr="005B3819" w:rsidRDefault="0060545A" w:rsidP="00956138">
            <w:pPr>
              <w:pStyle w:val="ListParagraph"/>
              <w:numPr>
                <w:ilvl w:val="0"/>
                <w:numId w:val="14"/>
              </w:numPr>
            </w:pPr>
          </w:p>
        </w:tc>
        <w:tc>
          <w:tcPr>
            <w:tcW w:w="8930" w:type="dxa"/>
          </w:tcPr>
          <w:p w14:paraId="10B3EF31" w14:textId="6EF51462" w:rsidR="0060545A" w:rsidRDefault="0060545A" w:rsidP="0060545A">
            <w:pPr>
              <w:spacing w:before="0" w:after="20"/>
            </w:pPr>
            <w:r>
              <w:t>Motor vehicle entitlements for magistrates</w:t>
            </w:r>
          </w:p>
        </w:tc>
      </w:tr>
    </w:tbl>
    <w:p w14:paraId="3DC59084" w14:textId="40C4868C" w:rsidR="00B21800" w:rsidRDefault="00A52B4F" w:rsidP="008E38E6">
      <w:bookmarkStart w:id="19" w:name="_Toc505612152"/>
      <w:r>
        <w:t>A</w:t>
      </w:r>
      <w:r w:rsidR="008E38E6">
        <w:t xml:space="preserve"> </w:t>
      </w:r>
      <w:r w:rsidR="00B21800">
        <w:t xml:space="preserve">detailed </w:t>
      </w:r>
      <w:r w:rsidR="00551019">
        <w:t>discussion</w:t>
      </w:r>
      <w:r w:rsidR="008E38E6">
        <w:t xml:space="preserve"> of all the </w:t>
      </w:r>
      <w:r w:rsidR="00551019">
        <w:t xml:space="preserve">issues </w:t>
      </w:r>
      <w:r w:rsidR="004F58A8">
        <w:t xml:space="preserve">about </w:t>
      </w:r>
      <w:r w:rsidR="00551019">
        <w:t xml:space="preserve">which the Panel has </w:t>
      </w:r>
      <w:r w:rsidR="008E38E6">
        <w:t>made</w:t>
      </w:r>
      <w:r w:rsidR="00551019">
        <w:t xml:space="preserve"> recommendations</w:t>
      </w:r>
      <w:r w:rsidR="00F15039">
        <w:t xml:space="preserve"> or observations</w:t>
      </w:r>
      <w:r w:rsidR="00551019">
        <w:t xml:space="preserve"> </w:t>
      </w:r>
      <w:r>
        <w:t>follow this section of the report.</w:t>
      </w:r>
    </w:p>
    <w:p w14:paraId="4D5C4E2C" w14:textId="251A3820" w:rsidR="00FD38BD" w:rsidRDefault="008E38E6" w:rsidP="00593D07">
      <w:pPr>
        <w:rPr>
          <w:rFonts w:eastAsia="Times New Roman"/>
          <w:b/>
          <w:bCs/>
          <w:color w:val="0063A6"/>
          <w:kern w:val="32"/>
          <w:sz w:val="32"/>
          <w:szCs w:val="32"/>
        </w:rPr>
      </w:pPr>
      <w:r>
        <w:t xml:space="preserve">Issues </w:t>
      </w:r>
      <w:r w:rsidR="00B21800">
        <w:t xml:space="preserve">and proposals </w:t>
      </w:r>
      <w:r w:rsidR="004F58A8">
        <w:t xml:space="preserve">about which </w:t>
      </w:r>
      <w:r w:rsidR="003747D1">
        <w:t>the Panel</w:t>
      </w:r>
      <w:r w:rsidR="004F58A8">
        <w:t xml:space="preserve"> has decided </w:t>
      </w:r>
      <w:r w:rsidR="008E108C">
        <w:t xml:space="preserve">not </w:t>
      </w:r>
      <w:r w:rsidR="004F58A8">
        <w:t>to make an own motion recommendation</w:t>
      </w:r>
      <w:r>
        <w:t xml:space="preserve">, are </w:t>
      </w:r>
      <w:r w:rsidR="003747D1">
        <w:t xml:space="preserve">provided </w:t>
      </w:r>
      <w:r>
        <w:t xml:space="preserve">in a </w:t>
      </w:r>
      <w:r w:rsidR="008E108C">
        <w:t xml:space="preserve">‘Table of rejected proposals’ later in this report (refer to </w:t>
      </w:r>
      <w:r w:rsidR="00965370">
        <w:br/>
      </w:r>
      <w:r w:rsidR="008E108C" w:rsidRPr="0060545A">
        <w:rPr>
          <w:i/>
          <w:iCs/>
        </w:rPr>
        <w:t xml:space="preserve">page </w:t>
      </w:r>
      <w:r w:rsidR="00AB1D1E">
        <w:rPr>
          <w:i/>
          <w:iCs/>
        </w:rPr>
        <w:t>28</w:t>
      </w:r>
      <w:r w:rsidR="008E108C">
        <w:t xml:space="preserve">). </w:t>
      </w:r>
      <w:r w:rsidR="00B21800">
        <w:t xml:space="preserve">Issues </w:t>
      </w:r>
      <w:r w:rsidR="005F3A9E">
        <w:t xml:space="preserve">and proposals </w:t>
      </w:r>
      <w:r w:rsidR="008E108C">
        <w:t xml:space="preserve">in the table </w:t>
      </w:r>
      <w:r>
        <w:t xml:space="preserve">include </w:t>
      </w:r>
      <w:r w:rsidR="00551019">
        <w:t xml:space="preserve">those </w:t>
      </w:r>
      <w:r w:rsidR="0096080E">
        <w:t>that</w:t>
      </w:r>
      <w:r w:rsidR="00723AA0">
        <w:t xml:space="preserve"> are outside the scope of the Panel as defined in the </w:t>
      </w:r>
      <w:r>
        <w:t>JE Act</w:t>
      </w:r>
      <w:r w:rsidR="00723AA0">
        <w:t xml:space="preserve"> </w:t>
      </w:r>
      <w:r w:rsidR="00551019">
        <w:t xml:space="preserve">or because the Panel does not support </w:t>
      </w:r>
      <w:r w:rsidR="005F3A9E">
        <w:t>them</w:t>
      </w:r>
      <w:r w:rsidR="00551019">
        <w:t>.</w:t>
      </w:r>
      <w:r w:rsidR="004F58A8">
        <w:t xml:space="preserve"> The table </w:t>
      </w:r>
      <w:r w:rsidR="008E108C">
        <w:t xml:space="preserve">includes the Panel’s </w:t>
      </w:r>
      <w:r w:rsidR="000C7BF0">
        <w:t>reasons</w:t>
      </w:r>
      <w:r w:rsidR="004F58A8">
        <w:t xml:space="preserve"> </w:t>
      </w:r>
      <w:r w:rsidR="008E108C">
        <w:t>for deciding not to make recommendations on the respective issues and proposals</w:t>
      </w:r>
      <w:r w:rsidR="000C7BF0">
        <w:t>, in accordance with the requirements of section 32(3) of the JE Act.</w:t>
      </w:r>
      <w:bookmarkEnd w:id="19"/>
      <w:r w:rsidR="00FD38BD">
        <w:br w:type="page"/>
      </w:r>
    </w:p>
    <w:p w14:paraId="70D4E5B2" w14:textId="75D6D2A7" w:rsidR="005F3A9E" w:rsidRPr="005F3A9E" w:rsidRDefault="005F3A9E">
      <w:pPr>
        <w:pStyle w:val="Heading1"/>
      </w:pPr>
      <w:bookmarkStart w:id="20" w:name="_Toc41306041"/>
      <w:r w:rsidRPr="004A3070">
        <w:lastRenderedPageBreak/>
        <w:t xml:space="preserve">Discussion of </w:t>
      </w:r>
      <w:r w:rsidR="009F04D8">
        <w:t>issues</w:t>
      </w:r>
      <w:r w:rsidRPr="004A3070">
        <w:t xml:space="preserve"> with recommendations</w:t>
      </w:r>
      <w:r w:rsidR="00B842F1">
        <w:t xml:space="preserve"> and observations</w:t>
      </w:r>
      <w:bookmarkEnd w:id="20"/>
    </w:p>
    <w:p w14:paraId="549B7CA3" w14:textId="2CAE7404" w:rsidR="00983A23" w:rsidRPr="00050A0E" w:rsidRDefault="002942D7">
      <w:pPr>
        <w:pStyle w:val="Heading1"/>
        <w:rPr>
          <w:rStyle w:val="Heading1Char"/>
          <w:b/>
          <w:bCs/>
        </w:rPr>
      </w:pPr>
      <w:bookmarkStart w:id="21" w:name="_Ref516650888"/>
      <w:bookmarkStart w:id="22" w:name="_Ref516650893"/>
      <w:bookmarkStart w:id="23" w:name="_Ref516650906"/>
      <w:bookmarkStart w:id="24" w:name="_Ref516660188"/>
      <w:bookmarkStart w:id="25" w:name="_Toc41306042"/>
      <w:r w:rsidRPr="00AE7CA2">
        <w:t>1</w:t>
      </w:r>
      <w:r w:rsidRPr="00AE7CA2">
        <w:tab/>
      </w:r>
      <w:bookmarkEnd w:id="21"/>
      <w:bookmarkEnd w:id="22"/>
      <w:bookmarkEnd w:id="23"/>
      <w:bookmarkEnd w:id="24"/>
      <w:r w:rsidR="001F47C8">
        <w:rPr>
          <w:rStyle w:val="Heading1Char"/>
          <w:b/>
          <w:bCs/>
        </w:rPr>
        <w:t xml:space="preserve">Motor </w:t>
      </w:r>
      <w:r w:rsidR="00F87E17">
        <w:rPr>
          <w:rStyle w:val="Heading1Char"/>
          <w:b/>
          <w:bCs/>
        </w:rPr>
        <w:t xml:space="preserve">vehicle entitlements for </w:t>
      </w:r>
      <w:r w:rsidR="008D3E93">
        <w:rPr>
          <w:rStyle w:val="Heading1Char"/>
          <w:b/>
          <w:bCs/>
        </w:rPr>
        <w:t>a</w:t>
      </w:r>
      <w:r w:rsidR="00F87E17">
        <w:rPr>
          <w:rStyle w:val="Heading1Char"/>
          <w:b/>
          <w:bCs/>
        </w:rPr>
        <w:t xml:space="preserve">ssociate </w:t>
      </w:r>
      <w:r w:rsidR="008D3E93">
        <w:rPr>
          <w:rStyle w:val="Heading1Char"/>
          <w:b/>
          <w:bCs/>
        </w:rPr>
        <w:t>j</w:t>
      </w:r>
      <w:r w:rsidR="00F87E17">
        <w:rPr>
          <w:rStyle w:val="Heading1Char"/>
          <w:b/>
          <w:bCs/>
        </w:rPr>
        <w:t>udges of the Supreme Court</w:t>
      </w:r>
      <w:bookmarkEnd w:id="25"/>
      <w:r w:rsidR="00F87E17">
        <w:rPr>
          <w:rStyle w:val="Heading1Char"/>
          <w:b/>
          <w:bCs/>
        </w:rPr>
        <w:t xml:space="preserve"> </w:t>
      </w:r>
    </w:p>
    <w:p w14:paraId="6C0949FC" w14:textId="17C2C625" w:rsidR="00983A23" w:rsidRDefault="00237CA1" w:rsidP="00050A0E">
      <w:r>
        <w:t xml:space="preserve">The Supreme Court </w:t>
      </w:r>
      <w:r w:rsidR="006B2EC5">
        <w:t>submitted th</w:t>
      </w:r>
      <w:r w:rsidR="00B87D7B">
        <w:t xml:space="preserve">at, in recognition of their workload and value, </w:t>
      </w:r>
      <w:r w:rsidR="008D3E93">
        <w:t>a</w:t>
      </w:r>
      <w:r w:rsidR="00B87D7B">
        <w:t xml:space="preserve">ssociate </w:t>
      </w:r>
      <w:r w:rsidR="008D3E93">
        <w:t>j</w:t>
      </w:r>
      <w:r w:rsidR="00B87D7B">
        <w:t>udges should be accorded the same moto</w:t>
      </w:r>
      <w:r w:rsidR="00C65FD9">
        <w:t>r</w:t>
      </w:r>
      <w:r w:rsidR="00B87D7B">
        <w:t xml:space="preserve"> vehicle entitlement as </w:t>
      </w:r>
      <w:r w:rsidR="008D3E93">
        <w:t>j</w:t>
      </w:r>
      <w:r w:rsidR="00B87D7B">
        <w:t>udges of the County Court</w:t>
      </w:r>
      <w:r>
        <w:t>.</w:t>
      </w:r>
    </w:p>
    <w:p w14:paraId="3B684168" w14:textId="724990FF" w:rsidR="00B75A8C" w:rsidRDefault="00B75A8C" w:rsidP="00050A0E">
      <w:pPr>
        <w:pStyle w:val="Heading2"/>
      </w:pPr>
      <w:bookmarkStart w:id="26" w:name="_Toc41306043"/>
      <w:r>
        <w:t xml:space="preserve">Current </w:t>
      </w:r>
      <w:r w:rsidR="00A277D2">
        <w:t>e</w:t>
      </w:r>
      <w:r>
        <w:t>ntitlement</w:t>
      </w:r>
      <w:bookmarkEnd w:id="26"/>
    </w:p>
    <w:p w14:paraId="13122A7E" w14:textId="7B9CBEF9" w:rsidR="001306C5" w:rsidRDefault="00C65FD9" w:rsidP="00050A0E">
      <w:r>
        <w:t xml:space="preserve">Associate </w:t>
      </w:r>
      <w:r w:rsidR="00B41630">
        <w:t>judges have access to the</w:t>
      </w:r>
      <w:r w:rsidR="00723AA0">
        <w:t xml:space="preserve"> </w:t>
      </w:r>
      <w:proofErr w:type="spellStart"/>
      <w:r w:rsidR="00723AA0">
        <w:t>VicFleet</w:t>
      </w:r>
      <w:proofErr w:type="spellEnd"/>
      <w:r w:rsidR="00B41630">
        <w:t xml:space="preserve"> </w:t>
      </w:r>
      <w:r w:rsidR="00905DCD">
        <w:t>car scheme provided to Victorian Public Service (VPS) executives</w:t>
      </w:r>
      <w:r w:rsidR="0022662F">
        <w:t>, which</w:t>
      </w:r>
      <w:r w:rsidR="00C979CF">
        <w:t xml:space="preserve"> requires associate judges to contribute to the costs of the vehicle</w:t>
      </w:r>
      <w:r w:rsidR="00192495">
        <w:t xml:space="preserve"> in the same way as other salary sacrifice arrangements in the public and private sectors</w:t>
      </w:r>
      <w:r w:rsidR="0022662F">
        <w:t>.</w:t>
      </w:r>
    </w:p>
    <w:p w14:paraId="29A20C2C" w14:textId="2DCC08CE" w:rsidR="00470445" w:rsidRDefault="0022662F" w:rsidP="00050A0E">
      <w:r>
        <w:t>In comparison, j</w:t>
      </w:r>
      <w:r w:rsidR="00C65FD9">
        <w:t>udges of the</w:t>
      </w:r>
      <w:r>
        <w:t xml:space="preserve"> County Court and </w:t>
      </w:r>
      <w:r w:rsidR="00C65FD9">
        <w:t>Supreme Court</w:t>
      </w:r>
      <w:r>
        <w:t xml:space="preserve">, and </w:t>
      </w:r>
      <w:r w:rsidR="00C65FD9">
        <w:t>the Chief Magistrate,</w:t>
      </w:r>
      <w:r w:rsidR="00927685">
        <w:t xml:space="preserve"> </w:t>
      </w:r>
      <w:r w:rsidR="00C65FD9">
        <w:t xml:space="preserve">are </w:t>
      </w:r>
      <w:r w:rsidR="00482540">
        <w:t>granted access to</w:t>
      </w:r>
      <w:r w:rsidR="00C65FD9">
        <w:t xml:space="preserve"> a motor vehicle in accordance with the Judicial Car </w:t>
      </w:r>
      <w:r w:rsidR="00B73A05">
        <w:t>Scheme set out in</w:t>
      </w:r>
      <w:r w:rsidR="00710FE3">
        <w:t xml:space="preserve"> </w:t>
      </w:r>
      <w:r w:rsidR="00F859CB">
        <w:t xml:space="preserve">the </w:t>
      </w:r>
      <w:r w:rsidR="00545725">
        <w:t>CSV</w:t>
      </w:r>
      <w:r w:rsidR="00CD1646">
        <w:t xml:space="preserve"> </w:t>
      </w:r>
      <w:r w:rsidR="00F859CB" w:rsidRPr="00A66D21">
        <w:rPr>
          <w:i/>
        </w:rPr>
        <w:t>Fleet Management Policies and Guidelines</w:t>
      </w:r>
      <w:r w:rsidR="00F859CB">
        <w:t xml:space="preserve"> </w:t>
      </w:r>
      <w:r w:rsidR="00710FE3">
        <w:t xml:space="preserve">(or any other </w:t>
      </w:r>
      <w:r w:rsidR="00B56227">
        <w:t xml:space="preserve">relevant </w:t>
      </w:r>
      <w:r w:rsidR="00710FE3">
        <w:t>policy</w:t>
      </w:r>
      <w:r w:rsidR="00B56227">
        <w:t xml:space="preserve"> as applicable</w:t>
      </w:r>
      <w:r w:rsidR="00710FE3">
        <w:t xml:space="preserve"> from time to time). These judicial officers are required to contribute $837 per annum towards the running costs of the vehicle. This</w:t>
      </w:r>
      <w:r w:rsidR="005B482B">
        <w:t xml:space="preserve"> entitlement is</w:t>
      </w:r>
      <w:r w:rsidR="00C65FD9">
        <w:t xml:space="preserve"> </w:t>
      </w:r>
      <w:r w:rsidR="005B482B">
        <w:t>secured</w:t>
      </w:r>
      <w:r w:rsidR="00C65FD9">
        <w:t xml:space="preserve"> in the entitlement certificate dated 19 July 2007.</w:t>
      </w:r>
    </w:p>
    <w:p w14:paraId="0741B4C4" w14:textId="32E24E0C" w:rsidR="0077006A" w:rsidRDefault="0077006A" w:rsidP="00050A0E">
      <w:r>
        <w:t>Under the current po</w:t>
      </w:r>
      <w:r w:rsidR="00245FC2">
        <w:t>licy, Supreme Court judges, the Chief Ju</w:t>
      </w:r>
      <w:r w:rsidR="00192495">
        <w:t>dge</w:t>
      </w:r>
      <w:r w:rsidR="00245FC2">
        <w:t xml:space="preserve"> of the County Court and the Chief Magistrate </w:t>
      </w:r>
      <w:r w:rsidR="003C72E2">
        <w:t>have</w:t>
      </w:r>
      <w:r w:rsidR="00245FC2">
        <w:t xml:space="preserve"> access </w:t>
      </w:r>
      <w:r w:rsidR="004D7AE2">
        <w:t xml:space="preserve">to </w:t>
      </w:r>
      <w:r w:rsidR="00245FC2">
        <w:t xml:space="preserve">all categories of vehicles in </w:t>
      </w:r>
      <w:proofErr w:type="spellStart"/>
      <w:r w:rsidR="00245FC2">
        <w:t>VicFleet</w:t>
      </w:r>
      <w:proofErr w:type="spellEnd"/>
      <w:r w:rsidR="00245FC2">
        <w:t xml:space="preserve">. Other eligible judicial officers may access all categories except for ‘prestige’. </w:t>
      </w:r>
    </w:p>
    <w:p w14:paraId="48B9C236" w14:textId="5B58B390" w:rsidR="009D1634" w:rsidRDefault="009D1634" w:rsidP="00050A0E">
      <w:pPr>
        <w:pStyle w:val="Heading2"/>
      </w:pPr>
      <w:bookmarkStart w:id="27" w:name="_Toc41306044"/>
      <w:r>
        <w:t>Issues</w:t>
      </w:r>
      <w:bookmarkEnd w:id="27"/>
    </w:p>
    <w:p w14:paraId="725F5530" w14:textId="5B45F837" w:rsidR="008D3E93" w:rsidRDefault="00227FA4" w:rsidP="00B07AE7">
      <w:r>
        <w:t>The Supreme Court submitted, reiterating its views in 2016, there has been a significant increase in the complexity, standing and value of the office of associate judge.</w:t>
      </w:r>
    </w:p>
    <w:p w14:paraId="1B89BEF8" w14:textId="24A49F6E" w:rsidR="00306351" w:rsidRDefault="002B4092" w:rsidP="008D3E93">
      <w:r>
        <w:t>Following changes to the operations of the Supreme Court, associate judges routinely hear trials and complex substantive matters</w:t>
      </w:r>
      <w:r w:rsidR="00DB7DD4">
        <w:t xml:space="preserve"> on a vast range of legal issues</w:t>
      </w:r>
      <w:r>
        <w:t xml:space="preserve">. Associate judges </w:t>
      </w:r>
      <w:r w:rsidR="00DB7DD4">
        <w:t xml:space="preserve">also </w:t>
      </w:r>
      <w:r>
        <w:t>have a significant role in a range of specialist areas, including corporations, testator family maintenance, judicial review and appeals. The increased work of associate judges has enabled the Supreme Court to meet growing demand without appointing additional judges</w:t>
      </w:r>
      <w:r w:rsidR="00306351">
        <w:t>, which achieves a cost saving while increasing productivity.</w:t>
      </w:r>
    </w:p>
    <w:p w14:paraId="4F815E55" w14:textId="4BA2708F" w:rsidR="008D3E93" w:rsidRPr="000E4C80" w:rsidRDefault="00DB7DD4" w:rsidP="008D3E93">
      <w:r>
        <w:t>Associate judges may be compared to j</w:t>
      </w:r>
      <w:r w:rsidR="008D3E93" w:rsidRPr="000E4C80">
        <w:t>udges of the County Court for the following reasons:</w:t>
      </w:r>
    </w:p>
    <w:p w14:paraId="310CCE54" w14:textId="1B93F229" w:rsidR="008D3E93" w:rsidRDefault="008D3E93" w:rsidP="00956138">
      <w:pPr>
        <w:pStyle w:val="Default"/>
        <w:numPr>
          <w:ilvl w:val="0"/>
          <w:numId w:val="19"/>
        </w:numPr>
        <w:spacing w:before="240" w:after="240"/>
        <w:ind w:left="714" w:hanging="357"/>
        <w:rPr>
          <w:rFonts w:ascii="Arial" w:hAnsi="Arial" w:cs="Arial"/>
          <w:sz w:val="22"/>
          <w:szCs w:val="22"/>
        </w:rPr>
      </w:pPr>
      <w:r>
        <w:rPr>
          <w:rFonts w:ascii="Arial" w:hAnsi="Arial" w:cs="Arial"/>
          <w:sz w:val="22"/>
          <w:szCs w:val="22"/>
        </w:rPr>
        <w:t>the salary of an a</w:t>
      </w:r>
      <w:r w:rsidRPr="007A3D96">
        <w:rPr>
          <w:rFonts w:ascii="Arial" w:hAnsi="Arial" w:cs="Arial"/>
          <w:sz w:val="22"/>
          <w:szCs w:val="22"/>
        </w:rPr>
        <w:t xml:space="preserve">ssociate </w:t>
      </w:r>
      <w:r>
        <w:rPr>
          <w:rFonts w:ascii="Arial" w:hAnsi="Arial" w:cs="Arial"/>
          <w:sz w:val="22"/>
          <w:szCs w:val="22"/>
        </w:rPr>
        <w:t>j</w:t>
      </w:r>
      <w:r w:rsidRPr="00050A0E">
        <w:rPr>
          <w:rFonts w:ascii="Arial" w:hAnsi="Arial" w:cs="Arial"/>
          <w:sz w:val="22"/>
          <w:szCs w:val="22"/>
        </w:rPr>
        <w:t>udge is only marginally le</w:t>
      </w:r>
      <w:r w:rsidRPr="007A3D96">
        <w:rPr>
          <w:rFonts w:ascii="Arial" w:hAnsi="Arial" w:cs="Arial"/>
          <w:sz w:val="22"/>
          <w:szCs w:val="22"/>
        </w:rPr>
        <w:t xml:space="preserve">ss than that of a County Court </w:t>
      </w:r>
      <w:r>
        <w:rPr>
          <w:rFonts w:ascii="Arial" w:hAnsi="Arial" w:cs="Arial"/>
          <w:sz w:val="22"/>
          <w:szCs w:val="22"/>
        </w:rPr>
        <w:t>j</w:t>
      </w:r>
      <w:r w:rsidRPr="00050A0E">
        <w:rPr>
          <w:rFonts w:ascii="Arial" w:hAnsi="Arial" w:cs="Arial"/>
          <w:sz w:val="22"/>
          <w:szCs w:val="22"/>
        </w:rPr>
        <w:t>udge</w:t>
      </w:r>
      <w:r w:rsidR="00001E92">
        <w:rPr>
          <w:rFonts w:ascii="Arial" w:hAnsi="Arial" w:cs="Arial"/>
          <w:sz w:val="22"/>
          <w:szCs w:val="22"/>
        </w:rPr>
        <w:t xml:space="preserve"> – associate judges receive </w:t>
      </w:r>
      <w:r w:rsidRPr="00050A0E">
        <w:rPr>
          <w:rFonts w:ascii="Arial" w:hAnsi="Arial" w:cs="Arial"/>
          <w:sz w:val="22"/>
          <w:szCs w:val="22"/>
        </w:rPr>
        <w:t>8</w:t>
      </w:r>
      <w:r w:rsidRPr="007C31E8">
        <w:rPr>
          <w:rFonts w:ascii="Arial" w:hAnsi="Arial" w:cs="Arial"/>
          <w:sz w:val="22"/>
          <w:szCs w:val="22"/>
        </w:rPr>
        <w:t>4.65 per cent</w:t>
      </w:r>
      <w:r w:rsidRPr="00050A0E">
        <w:rPr>
          <w:rFonts w:ascii="Arial" w:hAnsi="Arial" w:cs="Arial"/>
          <w:sz w:val="22"/>
          <w:szCs w:val="22"/>
        </w:rPr>
        <w:t xml:space="preserve"> of</w:t>
      </w:r>
      <w:r w:rsidR="00001E92">
        <w:rPr>
          <w:rFonts w:ascii="Arial" w:hAnsi="Arial" w:cs="Arial"/>
          <w:sz w:val="22"/>
          <w:szCs w:val="22"/>
        </w:rPr>
        <w:t xml:space="preserve"> the salary</w:t>
      </w:r>
      <w:r w:rsidRPr="00050A0E">
        <w:rPr>
          <w:rFonts w:ascii="Arial" w:hAnsi="Arial" w:cs="Arial"/>
          <w:sz w:val="22"/>
          <w:szCs w:val="22"/>
        </w:rPr>
        <w:t xml:space="preserve"> of a Supreme Court </w:t>
      </w:r>
      <w:r>
        <w:rPr>
          <w:rFonts w:ascii="Arial" w:hAnsi="Arial" w:cs="Arial"/>
          <w:sz w:val="22"/>
          <w:szCs w:val="22"/>
        </w:rPr>
        <w:t>j</w:t>
      </w:r>
      <w:r w:rsidRPr="00050A0E">
        <w:rPr>
          <w:rFonts w:ascii="Arial" w:hAnsi="Arial" w:cs="Arial"/>
          <w:sz w:val="22"/>
          <w:szCs w:val="22"/>
        </w:rPr>
        <w:t xml:space="preserve">udge, </w:t>
      </w:r>
      <w:r w:rsidR="00001E92">
        <w:rPr>
          <w:rFonts w:ascii="Arial" w:hAnsi="Arial" w:cs="Arial"/>
          <w:sz w:val="22"/>
          <w:szCs w:val="22"/>
        </w:rPr>
        <w:t xml:space="preserve">while County Court judges receive </w:t>
      </w:r>
      <w:r w:rsidRPr="00050A0E">
        <w:rPr>
          <w:rFonts w:ascii="Arial" w:hAnsi="Arial" w:cs="Arial"/>
          <w:sz w:val="22"/>
          <w:szCs w:val="22"/>
        </w:rPr>
        <w:t>8</w:t>
      </w:r>
      <w:r w:rsidR="00B622BA">
        <w:rPr>
          <w:rFonts w:ascii="Arial" w:hAnsi="Arial" w:cs="Arial"/>
          <w:sz w:val="22"/>
          <w:szCs w:val="22"/>
        </w:rPr>
        <w:t>6.64</w:t>
      </w:r>
      <w:r>
        <w:rPr>
          <w:rFonts w:ascii="Arial" w:hAnsi="Arial" w:cs="Arial"/>
          <w:sz w:val="22"/>
          <w:szCs w:val="22"/>
        </w:rPr>
        <w:t xml:space="preserve"> per cent</w:t>
      </w:r>
    </w:p>
    <w:p w14:paraId="6013C5A6" w14:textId="2D12B9F6" w:rsidR="008D3E93" w:rsidRPr="00050A0E" w:rsidRDefault="008D3E93" w:rsidP="00956138">
      <w:pPr>
        <w:pStyle w:val="Default"/>
        <w:numPr>
          <w:ilvl w:val="0"/>
          <w:numId w:val="19"/>
        </w:numPr>
        <w:spacing w:before="240" w:after="240"/>
        <w:ind w:left="714" w:hanging="357"/>
        <w:rPr>
          <w:rFonts w:ascii="Arial" w:hAnsi="Arial" w:cs="Arial"/>
          <w:sz w:val="22"/>
          <w:szCs w:val="22"/>
        </w:rPr>
      </w:pPr>
      <w:r>
        <w:rPr>
          <w:rFonts w:ascii="Arial" w:hAnsi="Arial" w:cs="Arial"/>
          <w:sz w:val="22"/>
          <w:szCs w:val="22"/>
        </w:rPr>
        <w:t>a</w:t>
      </w:r>
      <w:r w:rsidRPr="00050A0E">
        <w:rPr>
          <w:rFonts w:ascii="Arial" w:hAnsi="Arial" w:cs="Arial"/>
          <w:sz w:val="22"/>
          <w:szCs w:val="22"/>
        </w:rPr>
        <w:t xml:space="preserve">ssociate </w:t>
      </w:r>
      <w:r>
        <w:rPr>
          <w:rFonts w:ascii="Arial" w:hAnsi="Arial" w:cs="Arial"/>
          <w:sz w:val="22"/>
          <w:szCs w:val="22"/>
        </w:rPr>
        <w:t>j</w:t>
      </w:r>
      <w:r w:rsidRPr="00050A0E">
        <w:rPr>
          <w:rFonts w:ascii="Arial" w:hAnsi="Arial" w:cs="Arial"/>
          <w:sz w:val="22"/>
          <w:szCs w:val="22"/>
        </w:rPr>
        <w:t>udges undertake both tria</w:t>
      </w:r>
      <w:r w:rsidRPr="000E4C80">
        <w:rPr>
          <w:rFonts w:ascii="Arial" w:hAnsi="Arial" w:cs="Arial"/>
          <w:sz w:val="22"/>
          <w:szCs w:val="22"/>
        </w:rPr>
        <w:t>l and interlocutory work</w:t>
      </w:r>
      <w:r w:rsidR="00545725">
        <w:rPr>
          <w:rFonts w:ascii="Arial" w:hAnsi="Arial" w:cs="Arial"/>
          <w:sz w:val="22"/>
          <w:szCs w:val="22"/>
        </w:rPr>
        <w:t>,</w:t>
      </w:r>
      <w:r w:rsidRPr="000E4C80">
        <w:rPr>
          <w:rFonts w:ascii="Arial" w:hAnsi="Arial" w:cs="Arial"/>
          <w:sz w:val="22"/>
          <w:szCs w:val="22"/>
        </w:rPr>
        <w:t xml:space="preserve"> and</w:t>
      </w:r>
    </w:p>
    <w:p w14:paraId="144E1CA2" w14:textId="61965682" w:rsidR="008D3E93" w:rsidRPr="00306351" w:rsidRDefault="008D3E93" w:rsidP="00956138">
      <w:pPr>
        <w:pStyle w:val="Default"/>
        <w:numPr>
          <w:ilvl w:val="0"/>
          <w:numId w:val="19"/>
        </w:numPr>
        <w:spacing w:before="240" w:after="240"/>
        <w:ind w:left="714" w:hanging="357"/>
        <w:rPr>
          <w:rFonts w:ascii="Arial" w:hAnsi="Arial" w:cs="Arial"/>
          <w:sz w:val="22"/>
          <w:szCs w:val="22"/>
        </w:rPr>
      </w:pPr>
      <w:r>
        <w:rPr>
          <w:rFonts w:ascii="Arial" w:hAnsi="Arial" w:cs="Arial"/>
          <w:sz w:val="22"/>
          <w:szCs w:val="22"/>
        </w:rPr>
        <w:t>a</w:t>
      </w:r>
      <w:r w:rsidRPr="00050A0E">
        <w:rPr>
          <w:rFonts w:ascii="Arial" w:hAnsi="Arial" w:cs="Arial"/>
          <w:sz w:val="22"/>
          <w:szCs w:val="22"/>
        </w:rPr>
        <w:t xml:space="preserve">ssociate </w:t>
      </w:r>
      <w:r>
        <w:rPr>
          <w:rFonts w:ascii="Arial" w:hAnsi="Arial" w:cs="Arial"/>
          <w:sz w:val="22"/>
          <w:szCs w:val="22"/>
        </w:rPr>
        <w:t>j</w:t>
      </w:r>
      <w:r w:rsidRPr="00050A0E">
        <w:rPr>
          <w:rFonts w:ascii="Arial" w:hAnsi="Arial" w:cs="Arial"/>
          <w:sz w:val="22"/>
          <w:szCs w:val="22"/>
        </w:rPr>
        <w:t>udges produce and publish substantial written reasons.</w:t>
      </w:r>
    </w:p>
    <w:p w14:paraId="24129315" w14:textId="4EF81534" w:rsidR="00BF58C9" w:rsidRDefault="00243475" w:rsidP="008D3E93">
      <w:r>
        <w:lastRenderedPageBreak/>
        <w:t>Associate judges are undertaking increasingly complex work</w:t>
      </w:r>
      <w:r w:rsidR="00723AA0">
        <w:t xml:space="preserve">. </w:t>
      </w:r>
      <w:r w:rsidR="00E57240">
        <w:t>Moreover, as the role</w:t>
      </w:r>
      <w:r w:rsidR="00AE59FB">
        <w:t xml:space="preserve"> of associate judge</w:t>
      </w:r>
      <w:r w:rsidR="00E57240">
        <w:t xml:space="preserve"> becomes more complex, </w:t>
      </w:r>
      <w:r w:rsidR="00AE59FB">
        <w:t xml:space="preserve">it is important to provide proportionate increases in compensation </w:t>
      </w:r>
      <w:proofErr w:type="gramStart"/>
      <w:r w:rsidR="00AE59FB">
        <w:t>in order to</w:t>
      </w:r>
      <w:proofErr w:type="gramEnd"/>
      <w:r w:rsidR="00AE59FB">
        <w:t xml:space="preserve"> attract and retain suitably qualified candidates to the</w:t>
      </w:r>
      <w:r w:rsidR="00BF58C9">
        <w:t xml:space="preserve"> office.</w:t>
      </w:r>
    </w:p>
    <w:p w14:paraId="218B164C" w14:textId="589FA232" w:rsidR="00303AE0" w:rsidRDefault="003F5724" w:rsidP="008D3E93">
      <w:r>
        <w:t xml:space="preserve">The Panel supported providing associate judges with equivalent entitlements to County Court judges in its August 2018 report of Own Motion Recommendations, </w:t>
      </w:r>
      <w:r w:rsidR="00723AA0">
        <w:t xml:space="preserve">specifically in respect of </w:t>
      </w:r>
      <w:r>
        <w:t>public transport entitlements and library allowances.</w:t>
      </w:r>
    </w:p>
    <w:p w14:paraId="4A4239E9" w14:textId="3C9123AD" w:rsidR="00470445" w:rsidRDefault="001D62E6" w:rsidP="009D1634">
      <w:r>
        <w:t>The Panel continues to support parity between associate judges and County Court judges, and therefore supports the view of the Supreme Court.</w:t>
      </w:r>
    </w:p>
    <w:p w14:paraId="4548BF48" w14:textId="77777777" w:rsidR="00E76D0B" w:rsidRDefault="00E76D0B" w:rsidP="00E76D0B">
      <w:pPr>
        <w:pStyle w:val="Heading3"/>
      </w:pPr>
      <w:bookmarkStart w:id="28" w:name="_Toc41306045"/>
      <w:r>
        <w:t>Cost implications</w:t>
      </w:r>
      <w:bookmarkEnd w:id="28"/>
    </w:p>
    <w:p w14:paraId="213C1B12" w14:textId="64EBFCEF" w:rsidR="00AC0BDA" w:rsidRDefault="000667ED" w:rsidP="009D1634">
      <w:r>
        <w:t>This proposal is estimated to cost approximately $</w:t>
      </w:r>
      <w:r w:rsidR="008E6ECB">
        <w:t>100</w:t>
      </w:r>
      <w:r>
        <w:t xml:space="preserve">,000 </w:t>
      </w:r>
      <w:r w:rsidR="008E6ECB">
        <w:t>per year</w:t>
      </w:r>
      <w:r>
        <w:t xml:space="preserve">, </w:t>
      </w:r>
      <w:r w:rsidR="00AC0BDA">
        <w:t xml:space="preserve">assuming </w:t>
      </w:r>
      <w:r w:rsidR="007319D9">
        <w:t>all associate judges of the Supreme Court take advantage of the judicial car scheme.</w:t>
      </w:r>
      <w:r w:rsidR="00AC0BDA">
        <w:t xml:space="preserve"> </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AB09A2" w14:paraId="71478975" w14:textId="77777777" w:rsidTr="00AB09A2">
        <w:tc>
          <w:tcPr>
            <w:tcW w:w="9628" w:type="dxa"/>
          </w:tcPr>
          <w:p w14:paraId="4854150D" w14:textId="1BA1454A" w:rsidR="00AB09A2" w:rsidRPr="00707333" w:rsidRDefault="00AB09A2" w:rsidP="00707333">
            <w:pPr>
              <w:pStyle w:val="Heading3"/>
              <w:spacing w:before="0" w:after="0"/>
              <w:outlineLvl w:val="2"/>
            </w:pPr>
            <w:bookmarkStart w:id="29" w:name="_Ref516651358"/>
            <w:bookmarkStart w:id="30" w:name="_Toc41306046"/>
            <w:r w:rsidRPr="00707333">
              <w:rPr>
                <w:b w:val="0"/>
              </w:rPr>
              <w:t>Recommendation 1</w:t>
            </w:r>
            <w:bookmarkEnd w:id="29"/>
            <w:bookmarkEnd w:id="30"/>
            <w:r w:rsidRPr="00707333">
              <w:rPr>
                <w:b w:val="0"/>
              </w:rPr>
              <w:t xml:space="preserve"> </w:t>
            </w:r>
          </w:p>
          <w:p w14:paraId="3EEEFC08" w14:textId="2431D9EE" w:rsidR="00AB09A2" w:rsidRDefault="00AB09A2" w:rsidP="008E5E86">
            <w:pPr>
              <w:spacing w:after="60"/>
            </w:pPr>
            <w:r>
              <w:t xml:space="preserve">The Panel recommends the Attorney-General </w:t>
            </w:r>
            <w:r w:rsidR="00FC4D28">
              <w:t>entitle</w:t>
            </w:r>
            <w:r w:rsidR="00FC4D28" w:rsidRPr="0078305C">
              <w:t xml:space="preserve"> associate judges of the Supreme Court to</w:t>
            </w:r>
            <w:r w:rsidR="00FC4D28">
              <w:t xml:space="preserve"> the same motor vehicle entitlements as </w:t>
            </w:r>
            <w:r w:rsidR="00FC4D28" w:rsidRPr="0078305C">
              <w:t>County Court judges</w:t>
            </w:r>
            <w:r>
              <w:t>.</w:t>
            </w:r>
          </w:p>
        </w:tc>
      </w:tr>
    </w:tbl>
    <w:p w14:paraId="4FE70BD8" w14:textId="50BF7B69" w:rsidR="00873325" w:rsidRPr="002676A7" w:rsidRDefault="00983A23" w:rsidP="002676A7">
      <w:pPr>
        <w:pStyle w:val="Heading1"/>
        <w:ind w:left="567" w:hanging="567"/>
      </w:pPr>
      <w:r>
        <w:br w:type="page"/>
      </w:r>
      <w:bookmarkStart w:id="31" w:name="_Ref516650925"/>
      <w:bookmarkStart w:id="32" w:name="_Ref516660207"/>
      <w:bookmarkStart w:id="33" w:name="_Toc41306047"/>
      <w:r w:rsidR="002942D7">
        <w:lastRenderedPageBreak/>
        <w:t>2</w:t>
      </w:r>
      <w:r w:rsidR="002942D7">
        <w:tab/>
      </w:r>
      <w:bookmarkEnd w:id="31"/>
      <w:bookmarkEnd w:id="32"/>
      <w:r w:rsidR="002F500B">
        <w:t xml:space="preserve">Calculation of long service leave for </w:t>
      </w:r>
      <w:r w:rsidR="00336710">
        <w:t>judicial officers</w:t>
      </w:r>
      <w:bookmarkEnd w:id="33"/>
    </w:p>
    <w:p w14:paraId="481A188E" w14:textId="18116B7E" w:rsidR="00873325" w:rsidRDefault="00C10839" w:rsidP="00050A0E">
      <w:r>
        <w:t xml:space="preserve">The Supreme Court </w:t>
      </w:r>
      <w:r w:rsidR="00E667A2">
        <w:t>proposed</w:t>
      </w:r>
      <w:r w:rsidR="00CE7D7F">
        <w:t xml:space="preserve"> the current entitlement certificate be amended to </w:t>
      </w:r>
      <w:r w:rsidR="00C9064C">
        <w:t xml:space="preserve">require </w:t>
      </w:r>
      <w:r w:rsidR="00CE7D7F">
        <w:t>judges’ long service leave</w:t>
      </w:r>
      <w:r w:rsidR="00C9064C">
        <w:t xml:space="preserve"> to be </w:t>
      </w:r>
      <w:r w:rsidR="00CE7D7F">
        <w:t xml:space="preserve">accrued </w:t>
      </w:r>
      <w:proofErr w:type="gramStart"/>
      <w:r w:rsidR="00CE7D7F">
        <w:t>on a daily basis</w:t>
      </w:r>
      <w:proofErr w:type="gramEnd"/>
      <w:r w:rsidR="00192495">
        <w:t>, and not on an anniversary basis</w:t>
      </w:r>
      <w:r w:rsidR="00CE7D7F">
        <w:t xml:space="preserve">. In addition, the Supreme Court submitted reserve judges’ </w:t>
      </w:r>
      <w:r w:rsidR="00502179">
        <w:t xml:space="preserve">entitlement </w:t>
      </w:r>
      <w:r w:rsidR="004F0893">
        <w:t>for the pay</w:t>
      </w:r>
      <w:r w:rsidR="00502179">
        <w:t xml:space="preserve"> out</w:t>
      </w:r>
      <w:r w:rsidR="004F0893">
        <w:t xml:space="preserve"> of</w:t>
      </w:r>
      <w:r w:rsidR="00502179">
        <w:t xml:space="preserve"> </w:t>
      </w:r>
      <w:r w:rsidR="00CE7D7F">
        <w:t>long service leave</w:t>
      </w:r>
      <w:r w:rsidR="004F0893">
        <w:t>,</w:t>
      </w:r>
      <w:r w:rsidR="00CE7D7F">
        <w:t xml:space="preserve"> be calculated on a </w:t>
      </w:r>
      <w:r w:rsidR="00CE7D7F" w:rsidRPr="00CE7D7F">
        <w:rPr>
          <w:i/>
        </w:rPr>
        <w:t>pro rata</w:t>
      </w:r>
      <w:r w:rsidR="00CE7D7F">
        <w:t xml:space="preserve"> basis on the salary for the period of accrual. </w:t>
      </w:r>
    </w:p>
    <w:p w14:paraId="792FB1E7" w14:textId="723FC2D9" w:rsidR="00624EAF" w:rsidRPr="00C10839" w:rsidRDefault="00624EAF" w:rsidP="00050A0E">
      <w:r>
        <w:t xml:space="preserve">The clarification sought by the Supreme Court is intended only to apply to long service leave that accrues after the </w:t>
      </w:r>
      <w:r w:rsidR="00F03A40">
        <w:t>initial qualifying period for a judicial officer</w:t>
      </w:r>
      <w:r w:rsidR="00E3754C">
        <w:t xml:space="preserve"> </w:t>
      </w:r>
      <w:r w:rsidR="002B4269">
        <w:t xml:space="preserve">– for </w:t>
      </w:r>
      <w:r w:rsidR="00E3754C">
        <w:t xml:space="preserve">example, after the judicial officer has completed seven years of service and has accrued their initial 6 months of long service leave. </w:t>
      </w:r>
      <w:r w:rsidR="002B4269">
        <w:t xml:space="preserve">The Panel does not intend to </w:t>
      </w:r>
      <w:r w:rsidR="00441F7F">
        <w:t xml:space="preserve">change the initial qualifying period. </w:t>
      </w:r>
    </w:p>
    <w:p w14:paraId="606B7D34" w14:textId="48BF2811" w:rsidR="00873325" w:rsidRDefault="00873325" w:rsidP="00050A0E">
      <w:pPr>
        <w:pStyle w:val="Heading2"/>
      </w:pPr>
      <w:bookmarkStart w:id="34" w:name="_Toc41306048"/>
      <w:r>
        <w:t xml:space="preserve">Current </w:t>
      </w:r>
      <w:r w:rsidR="00A277D2">
        <w:t>e</w:t>
      </w:r>
      <w:r>
        <w:t>ntitlement</w:t>
      </w:r>
      <w:bookmarkEnd w:id="34"/>
    </w:p>
    <w:p w14:paraId="3D7D9D34" w14:textId="6AFBF5BD" w:rsidR="007C760E" w:rsidRDefault="007C760E" w:rsidP="00050A0E">
      <w:r>
        <w:t>T</w:t>
      </w:r>
      <w:r w:rsidRPr="00D16A14">
        <w:t xml:space="preserve">he </w:t>
      </w:r>
      <w:r w:rsidR="00057F60">
        <w:t>entitlement c</w:t>
      </w:r>
      <w:r w:rsidRPr="00D16A14">
        <w:t>ertificate issued under section 15 of the JRT Act</w:t>
      </w:r>
      <w:r w:rsidRPr="00D16A14">
        <w:rPr>
          <w:color w:val="333333"/>
        </w:rPr>
        <w:t xml:space="preserve">, </w:t>
      </w:r>
      <w:r w:rsidRPr="00D16A14">
        <w:t xml:space="preserve">dated </w:t>
      </w:r>
      <w:r w:rsidR="00C25FB1">
        <w:t>24 February 2012</w:t>
      </w:r>
      <w:r w:rsidR="00D35B18">
        <w:t>,</w:t>
      </w:r>
      <w:r>
        <w:t xml:space="preserve"> entitles </w:t>
      </w:r>
      <w:r w:rsidR="00171F68">
        <w:t>judges</w:t>
      </w:r>
      <w:r w:rsidR="00C25FB1">
        <w:t xml:space="preserve"> of the Supreme Court and County Court</w:t>
      </w:r>
      <w:r w:rsidR="006C45CF">
        <w:t>, as well as the Chief Magistrate,</w:t>
      </w:r>
      <w:r w:rsidR="00C25FB1">
        <w:t xml:space="preserve"> to six months’ long service leave after seven years of service, one month of which may be accessed after five years of service, and ‘6/7</w:t>
      </w:r>
      <w:r w:rsidR="00C25FB1" w:rsidRPr="00C25FB1">
        <w:rPr>
          <w:vertAlign w:val="superscript"/>
        </w:rPr>
        <w:t>th</w:t>
      </w:r>
      <w:r w:rsidR="00C25FB1">
        <w:t xml:space="preserve"> of a month’s leave to accrue for every additional year of service completed.’ </w:t>
      </w:r>
    </w:p>
    <w:p w14:paraId="5460F419" w14:textId="415A18DE" w:rsidR="00873325" w:rsidRDefault="00DF3324" w:rsidP="00050A0E">
      <w:r>
        <w:t>This entitlement was extended to reserve judges of the Supreme Court and County Court under the entitlement certificate dated 26 August 2019.</w:t>
      </w:r>
    </w:p>
    <w:p w14:paraId="7325D059" w14:textId="12569185" w:rsidR="00873325" w:rsidRDefault="00873325" w:rsidP="00050A0E">
      <w:pPr>
        <w:pStyle w:val="Heading2"/>
      </w:pPr>
      <w:bookmarkStart w:id="35" w:name="_Toc41306049"/>
      <w:r>
        <w:t>Issues</w:t>
      </w:r>
      <w:bookmarkEnd w:id="35"/>
    </w:p>
    <w:p w14:paraId="04449ED8" w14:textId="101D0D1D" w:rsidR="00CA5FF9" w:rsidRDefault="000F201A" w:rsidP="00050A0E">
      <w:r>
        <w:t>In its submission, the Supreme Court noted the administration of the Court has operated for several years under the interpretation that long service leave accrues on a day-by-day basis.</w:t>
      </w:r>
      <w:r w:rsidR="009249D1">
        <w:t xml:space="preserve"> </w:t>
      </w:r>
      <w:r>
        <w:t xml:space="preserve">However, under the current entitlement certificate, the entitlement may be interpreted to accrue on an annual basis due to the words ‘additional year of service completed’. </w:t>
      </w:r>
    </w:p>
    <w:p w14:paraId="6BC071D8" w14:textId="5E075E1F" w:rsidR="00AB2E7B" w:rsidRDefault="003A112D" w:rsidP="00050A0E">
      <w:r>
        <w:t xml:space="preserve">It is common practice throughout the public and private sectors for employees to accrue long service leave </w:t>
      </w:r>
      <w:proofErr w:type="gramStart"/>
      <w:r>
        <w:t>on a daily basis</w:t>
      </w:r>
      <w:proofErr w:type="gramEnd"/>
      <w:r>
        <w:t xml:space="preserve">, similar to annual leave. The same approach should be applied to </w:t>
      </w:r>
      <w:r w:rsidR="008E0D69">
        <w:t>judges</w:t>
      </w:r>
      <w:r w:rsidR="00AB2E7B">
        <w:t xml:space="preserve"> </w:t>
      </w:r>
      <w:r>
        <w:t>and</w:t>
      </w:r>
      <w:r w:rsidR="00AB2E7B">
        <w:t xml:space="preserve"> </w:t>
      </w:r>
      <w:r>
        <w:t>the</w:t>
      </w:r>
      <w:r w:rsidR="00AB2E7B">
        <w:t xml:space="preserve"> relevant</w:t>
      </w:r>
      <w:r>
        <w:t xml:space="preserve"> entitlement certificate</w:t>
      </w:r>
      <w:r w:rsidR="00AB2E7B">
        <w:t>s</w:t>
      </w:r>
      <w:r>
        <w:t xml:space="preserve"> should be amended to clarify th</w:t>
      </w:r>
      <w:r w:rsidR="00AB2E7B">
        <w:t xml:space="preserve">is approach. </w:t>
      </w:r>
    </w:p>
    <w:p w14:paraId="27D5B061" w14:textId="4F574A8F" w:rsidR="00C24157" w:rsidRPr="00C24157" w:rsidRDefault="002F2BFD" w:rsidP="00C24157">
      <w:r>
        <w:t>For consistency, a</w:t>
      </w:r>
      <w:r w:rsidR="008E0D69">
        <w:t xml:space="preserve"> daily accrual basis should also apply to the long service entitlements of </w:t>
      </w:r>
      <w:r w:rsidR="006C45CF">
        <w:t xml:space="preserve">the Chief Magistrate, </w:t>
      </w:r>
      <w:r w:rsidR="008E0D69">
        <w:t xml:space="preserve">associate judges, reserve judges and magistrates. </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C24157" w14:paraId="19344CD8" w14:textId="77777777" w:rsidTr="00AD1605">
        <w:tc>
          <w:tcPr>
            <w:tcW w:w="9628" w:type="dxa"/>
          </w:tcPr>
          <w:p w14:paraId="4BDC340E" w14:textId="4B0A79BB" w:rsidR="00C24157" w:rsidRPr="00707333" w:rsidRDefault="00C24157" w:rsidP="00AD1605">
            <w:pPr>
              <w:pStyle w:val="Heading3"/>
              <w:spacing w:before="0" w:after="0"/>
              <w:outlineLvl w:val="2"/>
            </w:pPr>
            <w:bookmarkStart w:id="36" w:name="_Toc41306050"/>
            <w:r w:rsidRPr="00707333">
              <w:rPr>
                <w:b w:val="0"/>
              </w:rPr>
              <w:t xml:space="preserve">Recommendation </w:t>
            </w:r>
            <w:r w:rsidR="0078305C">
              <w:rPr>
                <w:b w:val="0"/>
              </w:rPr>
              <w:t>2</w:t>
            </w:r>
            <w:bookmarkEnd w:id="36"/>
          </w:p>
          <w:p w14:paraId="59C5ED7A" w14:textId="31851416" w:rsidR="00C24157" w:rsidRPr="00AB09A2" w:rsidRDefault="00C24157" w:rsidP="008E5E86">
            <w:pPr>
              <w:spacing w:after="60"/>
            </w:pPr>
            <w:r w:rsidRPr="00C10839">
              <w:t xml:space="preserve">The </w:t>
            </w:r>
            <w:r>
              <w:t>Panel recommends the Attorney-General amend the entitlement certifi</w:t>
            </w:r>
            <w:r w:rsidR="004D7AE2">
              <w:t>cate</w:t>
            </w:r>
            <w:r>
              <w:t xml:space="preserve"> issued under the JRT, dated 24 February 2012, to clarify long service leave for judges and the Chief Magistrate accrues </w:t>
            </w:r>
            <w:proofErr w:type="gramStart"/>
            <w:r>
              <w:t>on a daily basis</w:t>
            </w:r>
            <w:proofErr w:type="gramEnd"/>
            <w:r>
              <w:t xml:space="preserve">. The entitlement certificates dated 8 January 2018, 26 August 2019 and 19 July 2007 should also be amended to clarify this approach applies to associate judges, reserve judges and magistrates. </w:t>
            </w:r>
          </w:p>
        </w:tc>
      </w:tr>
    </w:tbl>
    <w:p w14:paraId="5238CEB3" w14:textId="55C7F6AF" w:rsidR="003A112D" w:rsidRDefault="003A112D" w:rsidP="003C1EAA">
      <w:r>
        <w:t>Reserve judges are appropriately entitled to long service leave</w:t>
      </w:r>
      <w:r w:rsidR="00B70B56">
        <w:t xml:space="preserve"> and, when engaged, are paid the difference between the</w:t>
      </w:r>
      <w:r w:rsidR="000A798A">
        <w:t>ir</w:t>
      </w:r>
      <w:r w:rsidR="00B70B56">
        <w:t xml:space="preserve"> judicial pension and the salary of a tenured judge</w:t>
      </w:r>
      <w:r>
        <w:t xml:space="preserve">. </w:t>
      </w:r>
      <w:r w:rsidR="00B70B56">
        <w:t>U</w:t>
      </w:r>
      <w:r>
        <w:t xml:space="preserve">nder the current arrangements, if a reserve judges’ leave is paid out, this </w:t>
      </w:r>
      <w:r w:rsidR="00B70B56">
        <w:t>is</w:t>
      </w:r>
      <w:r>
        <w:t xml:space="preserve"> based on </w:t>
      </w:r>
      <w:r w:rsidR="003C1EAA">
        <w:t xml:space="preserve">non-pension </w:t>
      </w:r>
      <w:r>
        <w:t xml:space="preserve">salary received </w:t>
      </w:r>
      <w:r>
        <w:lastRenderedPageBreak/>
        <w:t>as a reserve judge.</w:t>
      </w:r>
      <w:r w:rsidR="003C1EAA">
        <w:t xml:space="preserve"> As this amount is lower than the</w:t>
      </w:r>
      <w:r>
        <w:t xml:space="preserve"> salary of a tenured judge, this can lead to </w:t>
      </w:r>
      <w:r w:rsidR="00AE601E">
        <w:t>inequitable</w:t>
      </w:r>
      <w:r>
        <w:t xml:space="preserve"> outcomes. For example, if an individual served as a judge for six years, followed by one year as a reserve judge, his or her leave payout would be based on the lower </w:t>
      </w:r>
      <w:r w:rsidR="000A798A">
        <w:t>payment</w:t>
      </w:r>
      <w:r w:rsidR="003C1EAA">
        <w:t xml:space="preserve"> </w:t>
      </w:r>
      <w:r>
        <w:t xml:space="preserve">received as a reserve judge. </w:t>
      </w:r>
    </w:p>
    <w:p w14:paraId="7FF5D141" w14:textId="4436EA59" w:rsidR="003A112D" w:rsidRDefault="003A112D" w:rsidP="00050A0E">
      <w:r>
        <w:t xml:space="preserve">The Panel accepts the Supreme Court’s submission that reserve judges’ long service leave should be paid out on a </w:t>
      </w:r>
      <w:r w:rsidRPr="00E338FB">
        <w:rPr>
          <w:i/>
        </w:rPr>
        <w:t>pro rata</w:t>
      </w:r>
      <w:r>
        <w:t xml:space="preserve"> basis on the salary for the period of accrual. This method of calculation will better recognise </w:t>
      </w:r>
      <w:r w:rsidR="00CA608B">
        <w:t>the period of service provided by a reserve judge.</w:t>
      </w:r>
    </w:p>
    <w:p w14:paraId="43A3F1AD" w14:textId="65BDD56D" w:rsidR="00336710" w:rsidRPr="00336710" w:rsidRDefault="00BA0910" w:rsidP="00336710">
      <w:r>
        <w:t xml:space="preserve">To avoid administrative </w:t>
      </w:r>
      <w:r w:rsidR="003B6D4D">
        <w:t>complexity</w:t>
      </w:r>
      <w:r>
        <w:t>, the new method of calculation should apply to presently accrued</w:t>
      </w:r>
      <w:r w:rsidR="00DF544B">
        <w:t>, but untaken, long service leave, as well as</w:t>
      </w:r>
      <w:r>
        <w:t xml:space="preserve"> future long service leave. It should not apply retrospectively</w:t>
      </w:r>
      <w:r w:rsidR="00DF544B">
        <w:t xml:space="preserve"> to leave already taken.</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336710" w14:paraId="5706D0C7" w14:textId="77777777" w:rsidTr="00044F0F">
        <w:tc>
          <w:tcPr>
            <w:tcW w:w="9628" w:type="dxa"/>
          </w:tcPr>
          <w:p w14:paraId="037B4DEC" w14:textId="77777777" w:rsidR="00336710" w:rsidRPr="00707333" w:rsidRDefault="00336710" w:rsidP="00044F0F">
            <w:pPr>
              <w:pStyle w:val="Heading3"/>
              <w:spacing w:before="0" w:after="0"/>
              <w:outlineLvl w:val="2"/>
            </w:pPr>
            <w:bookmarkStart w:id="37" w:name="_Toc41306051"/>
            <w:r w:rsidRPr="00707333">
              <w:rPr>
                <w:b w:val="0"/>
              </w:rPr>
              <w:t xml:space="preserve">Recommendation </w:t>
            </w:r>
            <w:r>
              <w:rPr>
                <w:b w:val="0"/>
              </w:rPr>
              <w:t>3</w:t>
            </w:r>
            <w:bookmarkEnd w:id="37"/>
          </w:p>
          <w:p w14:paraId="2C691992" w14:textId="77777777" w:rsidR="00336710" w:rsidRPr="00AB09A2" w:rsidRDefault="00336710" w:rsidP="00044F0F">
            <w:pPr>
              <w:spacing w:after="60"/>
            </w:pPr>
            <w:r w:rsidRPr="00C10839">
              <w:t xml:space="preserve">The </w:t>
            </w:r>
            <w:r>
              <w:t xml:space="preserve">Panel recommends the Attorney-General amend the entitlement certificate dated 26 August 2019 to provide that reserve judges’ entitlement to be paid out long service leave is calculated on a </w:t>
            </w:r>
            <w:r w:rsidRPr="0055378D">
              <w:rPr>
                <w:i/>
              </w:rPr>
              <w:t>pro rata</w:t>
            </w:r>
            <w:r>
              <w:t xml:space="preserve"> basis on the salary for the period of accrual.</w:t>
            </w:r>
          </w:p>
        </w:tc>
      </w:tr>
    </w:tbl>
    <w:p w14:paraId="0281ABAE" w14:textId="0E668E03" w:rsidR="00336710" w:rsidRDefault="00336710" w:rsidP="00050A0E">
      <w:r>
        <w:t xml:space="preserve">The Panel is also cognisant that magistrates who were appointed as acting magistrates prior to a permanent appointment do not have their earlier service included in the calculation of their long service leave entitlements. </w:t>
      </w:r>
    </w:p>
    <w:p w14:paraId="69B2A7EF" w14:textId="365C8766" w:rsidR="00336710" w:rsidRPr="00336710" w:rsidRDefault="00336710" w:rsidP="00336710">
      <w:r>
        <w:t>Acting magistrates performed the same services as permanently appointed magistrates. As such, it is equitable to recognise this valuable service for long service leave purposes.</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336710" w14:paraId="1D6FCA5B" w14:textId="77777777" w:rsidTr="00044F0F">
        <w:tc>
          <w:tcPr>
            <w:tcW w:w="9628" w:type="dxa"/>
          </w:tcPr>
          <w:p w14:paraId="05E15A76" w14:textId="5A260BF4" w:rsidR="00336710" w:rsidRPr="00707333" w:rsidRDefault="00336710" w:rsidP="00044F0F">
            <w:pPr>
              <w:pStyle w:val="Heading3"/>
              <w:spacing w:before="0" w:after="0"/>
              <w:outlineLvl w:val="2"/>
            </w:pPr>
            <w:bookmarkStart w:id="38" w:name="_Toc41306052"/>
            <w:r w:rsidRPr="00707333">
              <w:rPr>
                <w:b w:val="0"/>
              </w:rPr>
              <w:t xml:space="preserve">Recommendation </w:t>
            </w:r>
            <w:r>
              <w:rPr>
                <w:b w:val="0"/>
              </w:rPr>
              <w:t>4</w:t>
            </w:r>
            <w:bookmarkEnd w:id="38"/>
          </w:p>
          <w:p w14:paraId="31582427" w14:textId="483FB234" w:rsidR="00336710" w:rsidRPr="00AB09A2" w:rsidRDefault="00336710" w:rsidP="00044F0F">
            <w:pPr>
              <w:spacing w:after="60"/>
            </w:pPr>
            <w:r w:rsidRPr="00C10839">
              <w:t xml:space="preserve">The </w:t>
            </w:r>
            <w:r>
              <w:t xml:space="preserve">Panel recommends the Attorney-General amend the entitlement certificate dated </w:t>
            </w:r>
            <w:r w:rsidR="0045446E">
              <w:t>19 July 2007</w:t>
            </w:r>
            <w:r>
              <w:t xml:space="preserve"> to </w:t>
            </w:r>
            <w:r w:rsidR="0045446E">
              <w:t>recognise prior service as an acting magistrate for long service leave purposes.</w:t>
            </w:r>
          </w:p>
        </w:tc>
      </w:tr>
    </w:tbl>
    <w:p w14:paraId="257C626D" w14:textId="6E61F22A" w:rsidR="009C5CCE" w:rsidRDefault="009C5CCE" w:rsidP="00707333">
      <w:pPr>
        <w:pStyle w:val="Heading3"/>
      </w:pPr>
      <w:bookmarkStart w:id="39" w:name="_Toc41306053"/>
      <w:r>
        <w:t>Cost implications</w:t>
      </w:r>
      <w:bookmarkEnd w:id="39"/>
    </w:p>
    <w:p w14:paraId="6C32F40F" w14:textId="1A6E31CB" w:rsidR="006C6847" w:rsidRDefault="002F2BFD" w:rsidP="00CC4EBF">
      <w:pPr>
        <w:rPr>
          <w:color w:val="auto"/>
        </w:rPr>
      </w:pPr>
      <w:r>
        <w:rPr>
          <w:color w:val="auto"/>
        </w:rPr>
        <w:t xml:space="preserve">As the Courts currently calculate long service leave on a daily accrual basis, </w:t>
      </w:r>
      <w:r w:rsidR="00D615C4">
        <w:rPr>
          <w:color w:val="auto"/>
        </w:rPr>
        <w:t>Recommendation 2 will not have a</w:t>
      </w:r>
      <w:r w:rsidR="00434F92">
        <w:rPr>
          <w:color w:val="auto"/>
        </w:rPr>
        <w:t xml:space="preserve"> financial impact.</w:t>
      </w:r>
    </w:p>
    <w:p w14:paraId="77E6915B" w14:textId="4EA45FBD" w:rsidR="00FD4E20" w:rsidRDefault="00434F92" w:rsidP="00CC4EBF">
      <w:pPr>
        <w:rPr>
          <w:color w:val="auto"/>
        </w:rPr>
      </w:pPr>
      <w:r>
        <w:rPr>
          <w:color w:val="auto"/>
        </w:rPr>
        <w:t xml:space="preserve">The cost of paying out reserve judges’ long service leave </w:t>
      </w:r>
      <w:r w:rsidRPr="00DF544B">
        <w:rPr>
          <w:i/>
          <w:color w:val="auto"/>
        </w:rPr>
        <w:t>pro rata</w:t>
      </w:r>
      <w:r>
        <w:rPr>
          <w:color w:val="auto"/>
        </w:rPr>
        <w:t xml:space="preserve"> for the period of accrual</w:t>
      </w:r>
      <w:r w:rsidR="00CD72FB">
        <w:rPr>
          <w:color w:val="auto"/>
        </w:rPr>
        <w:t xml:space="preserve"> </w:t>
      </w:r>
      <w:r w:rsidR="00701740">
        <w:rPr>
          <w:color w:val="auto"/>
        </w:rPr>
        <w:t>will vary</w:t>
      </w:r>
      <w:r w:rsidR="00AD4209">
        <w:rPr>
          <w:color w:val="auto"/>
        </w:rPr>
        <w:t xml:space="preserve"> significantly </w:t>
      </w:r>
      <w:r w:rsidR="00701740">
        <w:rPr>
          <w:color w:val="auto"/>
        </w:rPr>
        <w:t>depending on the circumstances of each reserve judge.</w:t>
      </w:r>
      <w:r>
        <w:rPr>
          <w:color w:val="auto"/>
        </w:rPr>
        <w:t xml:space="preserve"> </w:t>
      </w:r>
      <w:r w:rsidR="00480C19">
        <w:rPr>
          <w:color w:val="auto"/>
        </w:rPr>
        <w:t xml:space="preserve">As </w:t>
      </w:r>
      <w:r w:rsidR="00AD4209">
        <w:rPr>
          <w:color w:val="auto"/>
        </w:rPr>
        <w:t>such</w:t>
      </w:r>
      <w:r w:rsidR="00B82E0F">
        <w:rPr>
          <w:color w:val="auto"/>
        </w:rPr>
        <w:t xml:space="preserve">, </w:t>
      </w:r>
      <w:r w:rsidR="00AD4209">
        <w:rPr>
          <w:color w:val="auto"/>
        </w:rPr>
        <w:t xml:space="preserve">there is little utility in providing an estimated cost of </w:t>
      </w:r>
      <w:r w:rsidR="00336710">
        <w:rPr>
          <w:color w:val="auto"/>
        </w:rPr>
        <w:t>Recommendation 3</w:t>
      </w:r>
      <w:r w:rsidR="00AD4209">
        <w:rPr>
          <w:color w:val="auto"/>
        </w:rPr>
        <w:t>.</w:t>
      </w:r>
      <w:r w:rsidR="000B09A9">
        <w:rPr>
          <w:color w:val="auto"/>
        </w:rPr>
        <w:t xml:space="preserve"> </w:t>
      </w:r>
      <w:r w:rsidR="001809C8">
        <w:rPr>
          <w:color w:val="auto"/>
        </w:rPr>
        <w:t>Notwithstanding, the</w:t>
      </w:r>
      <w:r w:rsidR="000B09A9">
        <w:rPr>
          <w:color w:val="auto"/>
        </w:rPr>
        <w:t xml:space="preserve"> Panel expects </w:t>
      </w:r>
      <w:proofErr w:type="gramStart"/>
      <w:r w:rsidR="000B09A9">
        <w:rPr>
          <w:color w:val="auto"/>
        </w:rPr>
        <w:t>the</w:t>
      </w:r>
      <w:r w:rsidR="006960EC">
        <w:rPr>
          <w:color w:val="auto"/>
        </w:rPr>
        <w:t xml:space="preserve"> </w:t>
      </w:r>
      <w:r w:rsidR="000B09A9">
        <w:rPr>
          <w:color w:val="auto"/>
        </w:rPr>
        <w:t>majority of</w:t>
      </w:r>
      <w:proofErr w:type="gramEnd"/>
      <w:r w:rsidR="000B09A9">
        <w:rPr>
          <w:color w:val="auto"/>
        </w:rPr>
        <w:t xml:space="preserve"> reserve judges would have previously served as a tenured judge for at least seven years, and therefore the cost of this </w:t>
      </w:r>
      <w:r w:rsidR="001809C8">
        <w:rPr>
          <w:color w:val="auto"/>
        </w:rPr>
        <w:t xml:space="preserve">recommendation </w:t>
      </w:r>
      <w:r w:rsidR="000B09A9">
        <w:rPr>
          <w:color w:val="auto"/>
        </w:rPr>
        <w:t>will be minimal.</w:t>
      </w:r>
    </w:p>
    <w:p w14:paraId="12F9B040" w14:textId="7C9D6A0F" w:rsidR="0045446E" w:rsidRDefault="0045446E" w:rsidP="00CC4EBF">
      <w:pPr>
        <w:rPr>
          <w:color w:val="auto"/>
        </w:rPr>
      </w:pPr>
      <w:r>
        <w:rPr>
          <w:color w:val="auto"/>
        </w:rPr>
        <w:t>The Panel anticipates the cost of implementing Recommendation 4 will be negligible, given the minimal number of judicial officers who previously served as acting magistrates.</w:t>
      </w:r>
    </w:p>
    <w:p w14:paraId="3936244F" w14:textId="651EB92A" w:rsidR="00FB30FF" w:rsidRDefault="00FB30FF">
      <w:pPr>
        <w:autoSpaceDE/>
        <w:autoSpaceDN/>
        <w:adjustRightInd/>
        <w:spacing w:before="0" w:after="0"/>
      </w:pPr>
      <w:r>
        <w:br w:type="page"/>
      </w:r>
    </w:p>
    <w:p w14:paraId="11395B2A" w14:textId="11E1F456" w:rsidR="00873325" w:rsidRDefault="00F516FA" w:rsidP="001A688F">
      <w:pPr>
        <w:pStyle w:val="Heading1"/>
        <w:ind w:left="720" w:hanging="720"/>
      </w:pPr>
      <w:bookmarkStart w:id="40" w:name="_Toc41306054"/>
      <w:bookmarkStart w:id="41" w:name="_Ref516660265"/>
      <w:r>
        <w:lastRenderedPageBreak/>
        <w:t>3</w:t>
      </w:r>
      <w:r w:rsidR="002942D7">
        <w:tab/>
      </w:r>
      <w:r w:rsidR="00770A95">
        <w:t>Entitlements for reserve associate judges of the Supreme Court</w:t>
      </w:r>
      <w:bookmarkEnd w:id="40"/>
      <w:r w:rsidR="00770A95">
        <w:t xml:space="preserve"> </w:t>
      </w:r>
      <w:bookmarkEnd w:id="41"/>
    </w:p>
    <w:p w14:paraId="1C0AB978" w14:textId="7B3F341E" w:rsidR="00E715A8" w:rsidRDefault="00494DD3" w:rsidP="00873325">
      <w:r>
        <w:t xml:space="preserve">The Supreme Court submitted </w:t>
      </w:r>
      <w:r w:rsidR="004801D6">
        <w:t xml:space="preserve">that </w:t>
      </w:r>
      <w:r w:rsidR="00195513">
        <w:t xml:space="preserve">reserve associate judges should be </w:t>
      </w:r>
      <w:r w:rsidR="00A91874">
        <w:t xml:space="preserve">entitled </w:t>
      </w:r>
      <w:r w:rsidR="00195513">
        <w:t>to travel allowances and</w:t>
      </w:r>
      <w:r w:rsidR="004A51AB">
        <w:t>,</w:t>
      </w:r>
      <w:r w:rsidR="00195513">
        <w:t xml:space="preserve"> </w:t>
      </w:r>
      <w:r w:rsidR="00195513" w:rsidRPr="0065138E">
        <w:rPr>
          <w:i/>
        </w:rPr>
        <w:t>pro rata</w:t>
      </w:r>
      <w:r w:rsidR="004A51AB">
        <w:t xml:space="preserve"> to the entitlements of associate judges</w:t>
      </w:r>
      <w:r w:rsidR="004D7AE2">
        <w:t>:</w:t>
      </w:r>
      <w:r w:rsidR="00195513">
        <w:t xml:space="preserve"> long service leave</w:t>
      </w:r>
      <w:r w:rsidR="004D7AE2">
        <w:t>;</w:t>
      </w:r>
      <w:r w:rsidR="00541EFA">
        <w:t xml:space="preserve"> </w:t>
      </w:r>
      <w:r w:rsidR="00195513">
        <w:t>motor vehicle</w:t>
      </w:r>
      <w:r w:rsidR="00A91874">
        <w:t xml:space="preserve"> entitlements</w:t>
      </w:r>
      <w:r w:rsidR="004D7AE2">
        <w:t>;</w:t>
      </w:r>
      <w:r w:rsidR="00541EFA">
        <w:t xml:space="preserve"> </w:t>
      </w:r>
      <w:r w:rsidR="00195513">
        <w:t xml:space="preserve">professional development allowances; and public transport </w:t>
      </w:r>
      <w:r w:rsidR="00A91874">
        <w:t>benefits</w:t>
      </w:r>
      <w:r>
        <w:t>.</w:t>
      </w:r>
      <w:r w:rsidR="00E715A8" w:rsidRPr="00E715A8">
        <w:t xml:space="preserve"> </w:t>
      </w:r>
    </w:p>
    <w:p w14:paraId="258B15D5" w14:textId="6399C3D0" w:rsidR="00873325" w:rsidRDefault="00873325" w:rsidP="00873325">
      <w:pPr>
        <w:pStyle w:val="Heading2"/>
      </w:pPr>
      <w:bookmarkStart w:id="42" w:name="_Toc41306055"/>
      <w:r>
        <w:t xml:space="preserve">Current </w:t>
      </w:r>
      <w:r w:rsidR="00A277D2">
        <w:t>e</w:t>
      </w:r>
      <w:r>
        <w:t>ntitlement</w:t>
      </w:r>
      <w:bookmarkEnd w:id="42"/>
    </w:p>
    <w:p w14:paraId="618BF41E" w14:textId="45D03801" w:rsidR="00A91874" w:rsidRDefault="00A91874" w:rsidP="00873325">
      <w:r>
        <w:t>Reserve associate judges are not entitled to travel allowances, long service leave, motor vehicles, professional development allowances or public transport benefits.</w:t>
      </w:r>
      <w:r w:rsidR="00482F06">
        <w:t xml:space="preserve"> Currently,</w:t>
      </w:r>
      <w:r>
        <w:t xml:space="preserve"> </w:t>
      </w:r>
      <w:r w:rsidR="00482F06">
        <w:t xml:space="preserve">reserve associate judges’ entitlements are confined to </w:t>
      </w:r>
      <w:r w:rsidR="00482F06">
        <w:rPr>
          <w:i/>
        </w:rPr>
        <w:t>pro rata</w:t>
      </w:r>
      <w:r w:rsidR="00482F06">
        <w:t xml:space="preserve"> annual leave when serving on full-time basis.</w:t>
      </w:r>
    </w:p>
    <w:p w14:paraId="15B8FFB0" w14:textId="3595A016" w:rsidR="00F36812" w:rsidRDefault="00F36812" w:rsidP="00873325">
      <w:r>
        <w:t>To date, there has been one appointment to the office of reserve associate judge</w:t>
      </w:r>
      <w:r w:rsidR="00914CA7">
        <w:t xml:space="preserve"> of the Supreme Court</w:t>
      </w:r>
      <w:r>
        <w:t>.</w:t>
      </w:r>
    </w:p>
    <w:p w14:paraId="6FBC0D02" w14:textId="5C64233A" w:rsidR="00873325" w:rsidRDefault="00873325" w:rsidP="00873325">
      <w:pPr>
        <w:pStyle w:val="Heading2"/>
      </w:pPr>
      <w:bookmarkStart w:id="43" w:name="_Toc41306056"/>
      <w:r>
        <w:t>Issues</w:t>
      </w:r>
      <w:bookmarkEnd w:id="43"/>
    </w:p>
    <w:p w14:paraId="250CB49F" w14:textId="1B120570" w:rsidR="00B7634C" w:rsidRDefault="008613FC" w:rsidP="00050A0E">
      <w:r>
        <w:t>In 2018 and 2016, the Panel recommended removing disparities between the entitlements of judges and reserve judges engaged on a full-time basis. This was on the principle that reserve judges who serve alongside other judges should be provided with equal compensation for their wor</w:t>
      </w:r>
      <w:r w:rsidR="00D12026">
        <w:t>k</w:t>
      </w:r>
      <w:r w:rsidR="00E771A2">
        <w:t>,</w:t>
      </w:r>
      <w:r w:rsidR="00E771A2" w:rsidRPr="00E771A2">
        <w:t xml:space="preserve"> </w:t>
      </w:r>
      <w:r w:rsidR="00E771A2">
        <w:t>and to appropriately recognise their judicial experience and service to the community.</w:t>
      </w:r>
      <w:r w:rsidR="00AF2EEC">
        <w:t xml:space="preserve"> </w:t>
      </w:r>
      <w:r w:rsidR="00E771A2">
        <w:t>This reasoning is equally applicable to the entitlements of associate judges and full-time reserve associate judges.</w:t>
      </w:r>
    </w:p>
    <w:p w14:paraId="2E68E068" w14:textId="07458319" w:rsidR="00AF2EEC" w:rsidRDefault="00B7634C" w:rsidP="00050A0E">
      <w:r>
        <w:t>In addition, providing reserve associate judges with proportionate entitlements reflects their standing in the community, and is key to attracting and maintaining suitably qualified candidates to the role.</w:t>
      </w:r>
    </w:p>
    <w:p w14:paraId="0457EFE5" w14:textId="13CB6D72" w:rsidR="00AF2EEC" w:rsidRDefault="00AF2EEC" w:rsidP="00AF2EEC">
      <w:r>
        <w:t>Associate judges of the Supreme Court are entitled to:</w:t>
      </w:r>
    </w:p>
    <w:p w14:paraId="3C9ADBDD" w14:textId="42BF5FA7" w:rsidR="00AF2EEC" w:rsidRDefault="00AF2EEC" w:rsidP="00956138">
      <w:pPr>
        <w:numPr>
          <w:ilvl w:val="0"/>
          <w:numId w:val="15"/>
        </w:numPr>
        <w:rPr>
          <w:color w:val="151616"/>
        </w:rPr>
      </w:pPr>
      <w:r>
        <w:rPr>
          <w:color w:val="151616"/>
        </w:rPr>
        <w:t>six months’ long service leave after seven years of service, one month of which can be accessed after five years of service, followed by 6/7</w:t>
      </w:r>
      <w:r w:rsidRPr="00AF2EEC">
        <w:rPr>
          <w:color w:val="151616"/>
          <w:vertAlign w:val="superscript"/>
        </w:rPr>
        <w:t>th</w:t>
      </w:r>
      <w:r>
        <w:rPr>
          <w:color w:val="151616"/>
        </w:rPr>
        <w:t xml:space="preserve"> of one month of long service leave for each year of service after seven years</w:t>
      </w:r>
    </w:p>
    <w:p w14:paraId="10BB30FA" w14:textId="360BF372" w:rsidR="00687DBC" w:rsidRPr="00687DBC" w:rsidRDefault="00AF2EEC" w:rsidP="00956138">
      <w:pPr>
        <w:numPr>
          <w:ilvl w:val="0"/>
          <w:numId w:val="15"/>
        </w:numPr>
        <w:rPr>
          <w:color w:val="151616"/>
        </w:rPr>
      </w:pPr>
      <w:r>
        <w:rPr>
          <w:color w:val="151616"/>
        </w:rPr>
        <w:t>access to the</w:t>
      </w:r>
      <w:r w:rsidR="00687DBC">
        <w:rPr>
          <w:color w:val="151616"/>
        </w:rPr>
        <w:t xml:space="preserve"> car scheme provided to VPS executives (refer to </w:t>
      </w:r>
      <w:r w:rsidR="00687DBC" w:rsidRPr="00265D9E">
        <w:rPr>
          <w:i/>
          <w:iCs/>
          <w:color w:val="151616"/>
        </w:rPr>
        <w:t xml:space="preserve">page </w:t>
      </w:r>
      <w:r w:rsidR="00965370" w:rsidRPr="00D9469D">
        <w:rPr>
          <w:i/>
          <w:iCs/>
          <w:color w:val="151616"/>
        </w:rPr>
        <w:t>1</w:t>
      </w:r>
      <w:r w:rsidR="006C3D1F" w:rsidRPr="00D9469D">
        <w:rPr>
          <w:i/>
          <w:iCs/>
          <w:color w:val="151616"/>
        </w:rPr>
        <w:t>4</w:t>
      </w:r>
      <w:r w:rsidR="00687DBC">
        <w:rPr>
          <w:color w:val="151616"/>
        </w:rPr>
        <w:t>)</w:t>
      </w:r>
    </w:p>
    <w:p w14:paraId="1B9D4B04" w14:textId="75F0C1D8" w:rsidR="00AF2EEC" w:rsidRDefault="00AF2EEC" w:rsidP="00956138">
      <w:pPr>
        <w:numPr>
          <w:ilvl w:val="0"/>
          <w:numId w:val="15"/>
        </w:numPr>
        <w:rPr>
          <w:color w:val="151616"/>
        </w:rPr>
      </w:pPr>
      <w:r>
        <w:rPr>
          <w:color w:val="151616"/>
        </w:rPr>
        <w:t>professional development allowance of 84.65 per cent of that provided to a judge of the Supreme Court</w:t>
      </w:r>
    </w:p>
    <w:p w14:paraId="2D934AF8" w14:textId="0B8DC484" w:rsidR="00AF2EEC" w:rsidRDefault="00AF2EEC" w:rsidP="00956138">
      <w:pPr>
        <w:numPr>
          <w:ilvl w:val="0"/>
          <w:numId w:val="15"/>
        </w:numPr>
        <w:rPr>
          <w:color w:val="151616"/>
        </w:rPr>
      </w:pPr>
      <w:r>
        <w:rPr>
          <w:color w:val="151616"/>
        </w:rPr>
        <w:t xml:space="preserve">travel on Victorian public transport (trains including V/Line services, </w:t>
      </w:r>
      <w:proofErr w:type="gramStart"/>
      <w:r>
        <w:rPr>
          <w:color w:val="151616"/>
        </w:rPr>
        <w:t>trams</w:t>
      </w:r>
      <w:proofErr w:type="gramEnd"/>
      <w:r>
        <w:rPr>
          <w:color w:val="151616"/>
        </w:rPr>
        <w:t xml:space="preserve"> and buses) at no personal cost</w:t>
      </w:r>
    </w:p>
    <w:p w14:paraId="39DA087D" w14:textId="4253E7EF" w:rsidR="003252F6" w:rsidRDefault="003252F6" w:rsidP="00956138">
      <w:pPr>
        <w:numPr>
          <w:ilvl w:val="0"/>
          <w:numId w:val="15"/>
        </w:numPr>
        <w:rPr>
          <w:color w:val="151616"/>
        </w:rPr>
      </w:pPr>
      <w:r>
        <w:rPr>
          <w:color w:val="151616"/>
        </w:rPr>
        <w:t xml:space="preserve">travel allowances to cover accommodation (where necessary), meals and incidentals when travelling on circuit, in accordance with the </w:t>
      </w:r>
      <w:r w:rsidR="00CD1646">
        <w:rPr>
          <w:color w:val="151616"/>
        </w:rPr>
        <w:t>CSV</w:t>
      </w:r>
      <w:r>
        <w:rPr>
          <w:color w:val="151616"/>
        </w:rPr>
        <w:t xml:space="preserve"> judicial travel policy</w:t>
      </w:r>
      <w:r w:rsidR="00545725">
        <w:rPr>
          <w:color w:val="151616"/>
        </w:rPr>
        <w:t>,</w:t>
      </w:r>
      <w:r>
        <w:rPr>
          <w:color w:val="151616"/>
        </w:rPr>
        <w:t xml:space="preserve"> and</w:t>
      </w:r>
    </w:p>
    <w:p w14:paraId="30F81F6B" w14:textId="43B273DD" w:rsidR="003252F6" w:rsidRPr="003252F6" w:rsidRDefault="003252F6" w:rsidP="00956138">
      <w:pPr>
        <w:numPr>
          <w:ilvl w:val="0"/>
          <w:numId w:val="15"/>
        </w:numPr>
        <w:rPr>
          <w:color w:val="151616"/>
        </w:rPr>
      </w:pPr>
      <w:r>
        <w:rPr>
          <w:color w:val="151616"/>
        </w:rPr>
        <w:t>overseas or interstate travel in accordance with the CSV judicial travel policy.</w:t>
      </w:r>
    </w:p>
    <w:p w14:paraId="526AAD98" w14:textId="5BF057E5" w:rsidR="00E771A2" w:rsidRDefault="00E771A2" w:rsidP="00050A0E">
      <w:r>
        <w:lastRenderedPageBreak/>
        <w:t>As such, the Panel supports providing reserve associate judges with the following on the same basis as their non-reserve counterparts:</w:t>
      </w:r>
    </w:p>
    <w:p w14:paraId="23B9BBC8" w14:textId="27F5815C" w:rsidR="00DC30CF" w:rsidRDefault="00E771A2" w:rsidP="00956138">
      <w:pPr>
        <w:numPr>
          <w:ilvl w:val="0"/>
          <w:numId w:val="15"/>
        </w:numPr>
        <w:ind w:left="714" w:hanging="357"/>
        <w:rPr>
          <w:color w:val="151616"/>
        </w:rPr>
      </w:pPr>
      <w:r w:rsidRPr="00AC1CF2">
        <w:rPr>
          <w:i/>
          <w:color w:val="151616"/>
        </w:rPr>
        <w:t>pro rata</w:t>
      </w:r>
      <w:r>
        <w:rPr>
          <w:color w:val="151616"/>
        </w:rPr>
        <w:t xml:space="preserve"> long service leave when serving on a full-time basis</w:t>
      </w:r>
    </w:p>
    <w:p w14:paraId="27BD0E83" w14:textId="10706F7B" w:rsidR="00E771A2" w:rsidRDefault="00E771A2" w:rsidP="00956138">
      <w:pPr>
        <w:numPr>
          <w:ilvl w:val="0"/>
          <w:numId w:val="15"/>
        </w:numPr>
        <w:ind w:left="714" w:hanging="357"/>
        <w:rPr>
          <w:color w:val="151616"/>
        </w:rPr>
      </w:pPr>
      <w:r w:rsidRPr="00AC1CF2">
        <w:rPr>
          <w:i/>
          <w:color w:val="151616"/>
        </w:rPr>
        <w:t>pro rata</w:t>
      </w:r>
      <w:r>
        <w:rPr>
          <w:color w:val="151616"/>
        </w:rPr>
        <w:t xml:space="preserve"> motor vehicle entitlement</w:t>
      </w:r>
    </w:p>
    <w:p w14:paraId="2A6F99CE" w14:textId="447178FB" w:rsidR="00E771A2" w:rsidRDefault="00E771A2" w:rsidP="00956138">
      <w:pPr>
        <w:numPr>
          <w:ilvl w:val="0"/>
          <w:numId w:val="15"/>
        </w:numPr>
        <w:ind w:left="714" w:hanging="357"/>
        <w:rPr>
          <w:color w:val="151616"/>
        </w:rPr>
      </w:pPr>
      <w:r w:rsidRPr="00AC1CF2">
        <w:rPr>
          <w:i/>
          <w:color w:val="151616"/>
        </w:rPr>
        <w:t>pro rata</w:t>
      </w:r>
      <w:r>
        <w:rPr>
          <w:color w:val="151616"/>
        </w:rPr>
        <w:t xml:space="preserve"> professional development allowance</w:t>
      </w:r>
    </w:p>
    <w:p w14:paraId="2B5289AD" w14:textId="7067CA6C" w:rsidR="00E771A2" w:rsidRDefault="00E771A2" w:rsidP="00956138">
      <w:pPr>
        <w:numPr>
          <w:ilvl w:val="0"/>
          <w:numId w:val="15"/>
        </w:numPr>
        <w:ind w:left="714" w:hanging="357"/>
        <w:rPr>
          <w:color w:val="151616"/>
        </w:rPr>
      </w:pPr>
      <w:r w:rsidRPr="00AC1CF2">
        <w:rPr>
          <w:i/>
          <w:color w:val="151616"/>
        </w:rPr>
        <w:t>pro rata</w:t>
      </w:r>
      <w:r>
        <w:rPr>
          <w:color w:val="151616"/>
        </w:rPr>
        <w:t xml:space="preserve"> public transport entitlement</w:t>
      </w:r>
      <w:r w:rsidR="00AC15DC">
        <w:rPr>
          <w:color w:val="151616"/>
        </w:rPr>
        <w:t xml:space="preserve"> </w:t>
      </w:r>
      <w:r w:rsidR="00E841DA">
        <w:rPr>
          <w:color w:val="151616"/>
        </w:rPr>
        <w:t>during periods of engagement</w:t>
      </w:r>
      <w:r w:rsidR="00545725">
        <w:rPr>
          <w:color w:val="151616"/>
        </w:rPr>
        <w:t>,</w:t>
      </w:r>
      <w:r w:rsidR="00B05DA9">
        <w:rPr>
          <w:color w:val="151616"/>
        </w:rPr>
        <w:t xml:space="preserve"> and </w:t>
      </w:r>
    </w:p>
    <w:p w14:paraId="3EE3EE94" w14:textId="2B0FCB4D" w:rsidR="00B05DA9" w:rsidRPr="00D92AD8" w:rsidRDefault="00B05DA9" w:rsidP="00956138">
      <w:pPr>
        <w:numPr>
          <w:ilvl w:val="0"/>
          <w:numId w:val="15"/>
        </w:numPr>
        <w:ind w:left="714" w:hanging="357"/>
        <w:rPr>
          <w:color w:val="151616"/>
        </w:rPr>
      </w:pPr>
      <w:r>
        <w:rPr>
          <w:color w:val="151616"/>
        </w:rPr>
        <w:t xml:space="preserve">travel allowances. </w:t>
      </w:r>
    </w:p>
    <w:p w14:paraId="403D850A" w14:textId="03873D60" w:rsidR="00DC30CF" w:rsidRDefault="00AC1CF2" w:rsidP="00DC30CF">
      <w:pPr>
        <w:rPr>
          <w:color w:val="151616"/>
        </w:rPr>
      </w:pPr>
      <w:r>
        <w:rPr>
          <w:color w:val="151616"/>
        </w:rPr>
        <w:t>If Recommendation 1 of this report (</w:t>
      </w:r>
      <w:r w:rsidRPr="00265D9E">
        <w:rPr>
          <w:i/>
          <w:iCs/>
          <w:color w:val="151616"/>
        </w:rPr>
        <w:t xml:space="preserve">page </w:t>
      </w:r>
      <w:r w:rsidR="007A5DDD">
        <w:rPr>
          <w:i/>
          <w:iCs/>
          <w:color w:val="151616"/>
        </w:rPr>
        <w:t>15</w:t>
      </w:r>
      <w:r>
        <w:rPr>
          <w:color w:val="151616"/>
        </w:rPr>
        <w:t xml:space="preserve">) is accepted to amend the motor vehicle entitlement of </w:t>
      </w:r>
      <w:r w:rsidR="00A67DBE">
        <w:rPr>
          <w:color w:val="151616"/>
        </w:rPr>
        <w:t xml:space="preserve">associate judges of the Supreme Court, the </w:t>
      </w:r>
      <w:r w:rsidR="00A67DBE">
        <w:rPr>
          <w:i/>
          <w:color w:val="151616"/>
        </w:rPr>
        <w:t xml:space="preserve">pro </w:t>
      </w:r>
      <w:r w:rsidR="00A67DBE" w:rsidRPr="00A67DBE">
        <w:rPr>
          <w:color w:val="151616"/>
        </w:rPr>
        <w:t>rata</w:t>
      </w:r>
      <w:r w:rsidR="00A67DBE">
        <w:rPr>
          <w:color w:val="151616"/>
        </w:rPr>
        <w:t xml:space="preserve"> entitlement of </w:t>
      </w:r>
      <w:r w:rsidR="00A67DBE" w:rsidRPr="00A67DBE">
        <w:rPr>
          <w:color w:val="151616"/>
        </w:rPr>
        <w:t>reserve</w:t>
      </w:r>
      <w:r w:rsidR="00A67DBE">
        <w:rPr>
          <w:color w:val="151616"/>
        </w:rPr>
        <w:t xml:space="preserve"> associate judges should</w:t>
      </w:r>
      <w:r w:rsidR="00CD1646">
        <w:rPr>
          <w:color w:val="151616"/>
        </w:rPr>
        <w:t>,</w:t>
      </w:r>
      <w:r w:rsidR="00A67DBE">
        <w:rPr>
          <w:color w:val="151616"/>
        </w:rPr>
        <w:t xml:space="preserve"> naturally</w:t>
      </w:r>
      <w:r w:rsidR="00CD1646">
        <w:rPr>
          <w:color w:val="151616"/>
        </w:rPr>
        <w:t>,</w:t>
      </w:r>
      <w:r w:rsidR="00A67DBE">
        <w:rPr>
          <w:color w:val="151616"/>
        </w:rPr>
        <w:t xml:space="preserve"> be based on the amended entitlement. </w:t>
      </w:r>
    </w:p>
    <w:p w14:paraId="48F8207F" w14:textId="78711D27" w:rsidR="000B161C" w:rsidRPr="000B161C" w:rsidRDefault="000B161C" w:rsidP="00DC30CF">
      <w:r>
        <w:rPr>
          <w:color w:val="151616"/>
        </w:rPr>
        <w:t xml:space="preserve">The Panel notes travel allowances </w:t>
      </w:r>
      <w:r w:rsidR="00312572">
        <w:rPr>
          <w:color w:val="151616"/>
        </w:rPr>
        <w:t>would not be</w:t>
      </w:r>
      <w:r>
        <w:rPr>
          <w:color w:val="151616"/>
        </w:rPr>
        <w:t xml:space="preserve"> </w:t>
      </w:r>
      <w:r>
        <w:rPr>
          <w:i/>
          <w:color w:val="151616"/>
        </w:rPr>
        <w:t>pro rata</w:t>
      </w:r>
      <w:r>
        <w:rPr>
          <w:color w:val="151616"/>
        </w:rPr>
        <w:t xml:space="preserve">, as this entitlement </w:t>
      </w:r>
      <w:r w:rsidR="00312572">
        <w:rPr>
          <w:color w:val="151616"/>
        </w:rPr>
        <w:t xml:space="preserve">would cover travel expenses </w:t>
      </w:r>
      <w:r w:rsidR="005E11D4">
        <w:rPr>
          <w:color w:val="151616"/>
        </w:rPr>
        <w:t>as</w:t>
      </w:r>
      <w:r w:rsidR="00312572">
        <w:rPr>
          <w:color w:val="151616"/>
        </w:rPr>
        <w:t xml:space="preserve"> they are incurred. </w:t>
      </w:r>
    </w:p>
    <w:p w14:paraId="5EAE5903" w14:textId="36ABA572" w:rsidR="00A06311" w:rsidRDefault="00A06311" w:rsidP="00707333">
      <w:pPr>
        <w:pStyle w:val="Heading3"/>
      </w:pPr>
      <w:bookmarkStart w:id="44" w:name="_Toc41306057"/>
      <w:r>
        <w:t>Cost implications</w:t>
      </w:r>
      <w:bookmarkEnd w:id="44"/>
    </w:p>
    <w:p w14:paraId="553502A8" w14:textId="094CAA63" w:rsidR="00F1156B" w:rsidRDefault="00D26FD2" w:rsidP="00034DF0">
      <w:r>
        <w:t xml:space="preserve">As there is currently only one reserve associate judge of the Supreme Court, the financial implications of this recommendation will be minimal.  </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AB09A2" w14:paraId="7F8BECC0" w14:textId="77777777" w:rsidTr="00AB09A2">
        <w:tc>
          <w:tcPr>
            <w:tcW w:w="9628" w:type="dxa"/>
          </w:tcPr>
          <w:p w14:paraId="69CE6C8A" w14:textId="557FB109" w:rsidR="00AB09A2" w:rsidRPr="00707333" w:rsidRDefault="00AB09A2" w:rsidP="00707333">
            <w:pPr>
              <w:pStyle w:val="Heading3"/>
              <w:spacing w:before="0" w:after="0"/>
              <w:outlineLvl w:val="2"/>
            </w:pPr>
            <w:bookmarkStart w:id="45" w:name="_Ref516651406"/>
            <w:bookmarkStart w:id="46" w:name="_Toc41306058"/>
            <w:r w:rsidRPr="00707333">
              <w:rPr>
                <w:b w:val="0"/>
              </w:rPr>
              <w:t xml:space="preserve">Recommendation </w:t>
            </w:r>
            <w:bookmarkEnd w:id="45"/>
            <w:r w:rsidR="0045446E">
              <w:rPr>
                <w:b w:val="0"/>
              </w:rPr>
              <w:t>5</w:t>
            </w:r>
            <w:bookmarkEnd w:id="46"/>
          </w:p>
          <w:p w14:paraId="61A8F7C4" w14:textId="1C498546" w:rsidR="002B1A05" w:rsidRDefault="00AB09A2" w:rsidP="0096163B">
            <w:pPr>
              <w:spacing w:after="0"/>
            </w:pPr>
            <w:r>
              <w:t xml:space="preserve">The Panel recommends the Attorney-General create </w:t>
            </w:r>
            <w:r w:rsidR="0096163B">
              <w:t xml:space="preserve">the following </w:t>
            </w:r>
            <w:r>
              <w:t>entitlement</w:t>
            </w:r>
            <w:r w:rsidR="0096163B">
              <w:t>s</w:t>
            </w:r>
            <w:r>
              <w:t xml:space="preserve"> for </w:t>
            </w:r>
            <w:r w:rsidR="0096163B">
              <w:t>reserve associate judges</w:t>
            </w:r>
            <w:r w:rsidR="00AD1605">
              <w:t xml:space="preserve"> of the Supreme Court</w:t>
            </w:r>
            <w:r w:rsidR="000B161C">
              <w:t>:</w:t>
            </w:r>
          </w:p>
          <w:p w14:paraId="4173743B" w14:textId="74EB87BD" w:rsidR="000B161C" w:rsidRDefault="000B161C" w:rsidP="00956138">
            <w:pPr>
              <w:numPr>
                <w:ilvl w:val="0"/>
                <w:numId w:val="15"/>
              </w:numPr>
              <w:rPr>
                <w:color w:val="151616"/>
              </w:rPr>
            </w:pPr>
            <w:r>
              <w:rPr>
                <w:color w:val="151616"/>
              </w:rPr>
              <w:t xml:space="preserve">long service leave when serving on a full-time basis </w:t>
            </w:r>
            <w:r>
              <w:rPr>
                <w:i/>
                <w:color w:val="151616"/>
              </w:rPr>
              <w:t>pro rata</w:t>
            </w:r>
            <w:r>
              <w:rPr>
                <w:color w:val="151616"/>
              </w:rPr>
              <w:t xml:space="preserve"> to the entitlement of associate judges</w:t>
            </w:r>
          </w:p>
          <w:p w14:paraId="053EC744" w14:textId="0AC35BFE" w:rsidR="000B161C" w:rsidRPr="000B161C" w:rsidRDefault="008E4D00" w:rsidP="00956138">
            <w:pPr>
              <w:numPr>
                <w:ilvl w:val="0"/>
                <w:numId w:val="15"/>
              </w:numPr>
              <w:rPr>
                <w:color w:val="151616"/>
              </w:rPr>
            </w:pPr>
            <w:r>
              <w:rPr>
                <w:i/>
                <w:color w:val="151616"/>
              </w:rPr>
              <w:t xml:space="preserve">pro rata </w:t>
            </w:r>
            <w:r w:rsidR="000B161C">
              <w:rPr>
                <w:color w:val="151616"/>
              </w:rPr>
              <w:t>motor vehicle entitlement</w:t>
            </w:r>
          </w:p>
          <w:p w14:paraId="546F2849" w14:textId="03ACDC58" w:rsidR="000B161C" w:rsidRPr="000B161C" w:rsidRDefault="008E4D00" w:rsidP="00956138">
            <w:pPr>
              <w:numPr>
                <w:ilvl w:val="0"/>
                <w:numId w:val="15"/>
              </w:numPr>
              <w:rPr>
                <w:color w:val="151616"/>
              </w:rPr>
            </w:pPr>
            <w:r>
              <w:rPr>
                <w:i/>
                <w:color w:val="151616"/>
              </w:rPr>
              <w:t xml:space="preserve">pro rata </w:t>
            </w:r>
            <w:r w:rsidR="000B161C">
              <w:rPr>
                <w:color w:val="151616"/>
              </w:rPr>
              <w:t>professional development allowance</w:t>
            </w:r>
          </w:p>
          <w:p w14:paraId="2EF9800D" w14:textId="10E79D68" w:rsidR="000B161C" w:rsidRDefault="008E4D00" w:rsidP="00956138">
            <w:pPr>
              <w:numPr>
                <w:ilvl w:val="0"/>
                <w:numId w:val="15"/>
              </w:numPr>
              <w:rPr>
                <w:color w:val="151616"/>
              </w:rPr>
            </w:pPr>
            <w:r>
              <w:rPr>
                <w:i/>
                <w:color w:val="151616"/>
              </w:rPr>
              <w:t xml:space="preserve">pro rata </w:t>
            </w:r>
            <w:r w:rsidR="00AD1605">
              <w:rPr>
                <w:color w:val="151616"/>
              </w:rPr>
              <w:t>public transport entitlement</w:t>
            </w:r>
            <w:r w:rsidR="00AC15DC">
              <w:rPr>
                <w:color w:val="151616"/>
              </w:rPr>
              <w:t xml:space="preserve"> </w:t>
            </w:r>
            <w:r w:rsidR="00E841DA">
              <w:rPr>
                <w:color w:val="151616"/>
              </w:rPr>
              <w:t>during periods of engagement</w:t>
            </w:r>
          </w:p>
          <w:p w14:paraId="0DD92879" w14:textId="23FD2D51" w:rsidR="007752FA" w:rsidRDefault="007752FA" w:rsidP="00956138">
            <w:pPr>
              <w:numPr>
                <w:ilvl w:val="0"/>
                <w:numId w:val="15"/>
              </w:numPr>
              <w:rPr>
                <w:color w:val="151616"/>
              </w:rPr>
            </w:pPr>
            <w:r>
              <w:rPr>
                <w:color w:val="151616"/>
              </w:rPr>
              <w:t xml:space="preserve">travel allowances to cover accommodation (where necessary), meals and incidentals when travelling on circuit, in accordance with the </w:t>
            </w:r>
            <w:r w:rsidR="00545725">
              <w:rPr>
                <w:color w:val="151616"/>
              </w:rPr>
              <w:t>CSV</w:t>
            </w:r>
            <w:r>
              <w:rPr>
                <w:color w:val="151616"/>
              </w:rPr>
              <w:t xml:space="preserve"> judicial travel policy</w:t>
            </w:r>
            <w:r w:rsidR="00545725">
              <w:rPr>
                <w:color w:val="151616"/>
              </w:rPr>
              <w:t>,</w:t>
            </w:r>
            <w:r>
              <w:rPr>
                <w:color w:val="151616"/>
              </w:rPr>
              <w:t xml:space="preserve"> and</w:t>
            </w:r>
          </w:p>
          <w:p w14:paraId="716F3535" w14:textId="6E19B59C" w:rsidR="007752FA" w:rsidRPr="00297D6B" w:rsidRDefault="007752FA" w:rsidP="00956138">
            <w:pPr>
              <w:numPr>
                <w:ilvl w:val="0"/>
                <w:numId w:val="15"/>
              </w:numPr>
              <w:rPr>
                <w:color w:val="151616"/>
              </w:rPr>
            </w:pPr>
            <w:r>
              <w:rPr>
                <w:color w:val="151616"/>
              </w:rPr>
              <w:t>overseas or interstate travel in accordance with the CSV judicial travel policy.</w:t>
            </w:r>
          </w:p>
          <w:p w14:paraId="723893D3" w14:textId="69C9275B" w:rsidR="000B161C" w:rsidRDefault="000B161C" w:rsidP="008E5E86">
            <w:pPr>
              <w:spacing w:after="60"/>
            </w:pPr>
            <w:r>
              <w:t>The motor vehicle entitlement should reflect any amendments to the entitlement provided to associate judges in response to the Panel’s recommendations.</w:t>
            </w:r>
          </w:p>
        </w:tc>
      </w:tr>
    </w:tbl>
    <w:p w14:paraId="0CFDDC12" w14:textId="77777777" w:rsidR="008F398D" w:rsidRDefault="008F398D">
      <w:pPr>
        <w:autoSpaceDE/>
        <w:autoSpaceDN/>
        <w:adjustRightInd/>
        <w:spacing w:before="0" w:after="0"/>
      </w:pPr>
    </w:p>
    <w:p w14:paraId="0A67953B" w14:textId="77777777" w:rsidR="00AB09A2" w:rsidRDefault="00AB09A2">
      <w:pPr>
        <w:autoSpaceDE/>
        <w:autoSpaceDN/>
        <w:adjustRightInd/>
        <w:spacing w:before="0" w:after="0"/>
        <w:rPr>
          <w:rFonts w:eastAsia="Times New Roman"/>
          <w:bCs/>
          <w:i/>
          <w:color w:val="0063A6"/>
          <w:sz w:val="24"/>
          <w:szCs w:val="28"/>
        </w:rPr>
      </w:pPr>
      <w:r>
        <w:br w:type="page"/>
      </w:r>
    </w:p>
    <w:p w14:paraId="7687D7C6" w14:textId="29949BE0" w:rsidR="00C84CC0" w:rsidRDefault="00F516FA" w:rsidP="00050A0E">
      <w:pPr>
        <w:pStyle w:val="Heading1"/>
        <w:ind w:left="567" w:hanging="567"/>
      </w:pPr>
      <w:bookmarkStart w:id="47" w:name="_Ref516660283"/>
      <w:bookmarkStart w:id="48" w:name="_Ref516660307"/>
      <w:bookmarkStart w:id="49" w:name="_Ref516660352"/>
      <w:bookmarkStart w:id="50" w:name="_Toc41306059"/>
      <w:r>
        <w:lastRenderedPageBreak/>
        <w:t>4</w:t>
      </w:r>
      <w:r w:rsidR="002942D7">
        <w:tab/>
      </w:r>
      <w:bookmarkEnd w:id="47"/>
      <w:bookmarkEnd w:id="48"/>
      <w:bookmarkEnd w:id="49"/>
      <w:r w:rsidR="00C2131A">
        <w:t>Annual leave for magistrates</w:t>
      </w:r>
      <w:bookmarkEnd w:id="50"/>
    </w:p>
    <w:p w14:paraId="79F0E57E" w14:textId="74E46CC1" w:rsidR="00C2131A" w:rsidRDefault="004B41D5" w:rsidP="00C2131A">
      <w:r>
        <w:t xml:space="preserve">The Magistrates’ Court </w:t>
      </w:r>
      <w:r w:rsidR="003F1FC9">
        <w:t xml:space="preserve">reiterated its previous proposal </w:t>
      </w:r>
      <w:r w:rsidR="004A0ED0">
        <w:t>to entitle magistrates to eight weeks’ annual leave. Its</w:t>
      </w:r>
      <w:r w:rsidR="00DA59FC">
        <w:t xml:space="preserve"> </w:t>
      </w:r>
      <w:r w:rsidR="00C2131A">
        <w:t xml:space="preserve">submission </w:t>
      </w:r>
      <w:r w:rsidR="00CD3AD0">
        <w:t xml:space="preserve">emphasised </w:t>
      </w:r>
      <w:r w:rsidR="00DA59FC">
        <w:t xml:space="preserve">the increasing volume and complexity of matters handled by magistrates, and the impact of this on magistrates’ wellbeing. </w:t>
      </w:r>
    </w:p>
    <w:p w14:paraId="29A10DF5" w14:textId="77777777" w:rsidR="00C2131A" w:rsidRDefault="00C2131A" w:rsidP="00C2131A">
      <w:pPr>
        <w:pStyle w:val="Heading2"/>
      </w:pPr>
      <w:bookmarkStart w:id="51" w:name="_Toc41306060"/>
      <w:r>
        <w:t>Current entitlement</w:t>
      </w:r>
      <w:bookmarkEnd w:id="51"/>
    </w:p>
    <w:p w14:paraId="22A13B29" w14:textId="32325B0F" w:rsidR="00C2131A" w:rsidRDefault="00C2131A" w:rsidP="00C2131A">
      <w:r w:rsidRPr="005F3A9E">
        <w:t xml:space="preserve">Magistrates are entitled to </w:t>
      </w:r>
      <w:r w:rsidR="00F60407">
        <w:t>four</w:t>
      </w:r>
      <w:r w:rsidRPr="005F3A9E">
        <w:t xml:space="preserve"> weeks</w:t>
      </w:r>
      <w:r w:rsidR="00F60407">
        <w:t>’</w:t>
      </w:r>
      <w:r w:rsidRPr="005F3A9E">
        <w:t xml:space="preserve"> annual leave</w:t>
      </w:r>
      <w:r w:rsidR="003F1FC9">
        <w:t xml:space="preserve">, </w:t>
      </w:r>
      <w:r w:rsidR="003F1FC9" w:rsidRPr="005F3A9E">
        <w:t>in addition to an indeterminable period between the Christmas break and the first court sitting day</w:t>
      </w:r>
      <w:r w:rsidR="00123448">
        <w:t>, during which magistrates are ‘on call’ to attend to the business of the Magistrates’ Court</w:t>
      </w:r>
      <w:r w:rsidR="003F1FC9" w:rsidRPr="005F3A9E">
        <w:t>.</w:t>
      </w:r>
      <w:r w:rsidR="003F1FC9">
        <w:t xml:space="preserve"> Magistrates also have access</w:t>
      </w:r>
      <w:r w:rsidRPr="005F3A9E">
        <w:t xml:space="preserve"> </w:t>
      </w:r>
      <w:r w:rsidR="0086699F" w:rsidRPr="004450D9">
        <w:t xml:space="preserve">to </w:t>
      </w:r>
      <w:r w:rsidR="00A5291A" w:rsidRPr="004450D9">
        <w:t>t</w:t>
      </w:r>
      <w:r w:rsidR="00A5291A">
        <w:t xml:space="preserve">he </w:t>
      </w:r>
      <w:r w:rsidRPr="005F3A9E">
        <w:t>‘48/52’</w:t>
      </w:r>
      <w:r w:rsidR="00A5291A">
        <w:t xml:space="preserve"> </w:t>
      </w:r>
      <w:r w:rsidRPr="005F3A9E">
        <w:t>purchased leave</w:t>
      </w:r>
      <w:r w:rsidR="00A5291A">
        <w:t xml:space="preserve"> scheme</w:t>
      </w:r>
      <w:r w:rsidRPr="005F3A9E">
        <w:t>, by salary sacrifice.</w:t>
      </w:r>
      <w:r>
        <w:t xml:space="preserve"> </w:t>
      </w:r>
    </w:p>
    <w:p w14:paraId="530C7890" w14:textId="5FDCF475" w:rsidR="00E67E17" w:rsidRPr="001E5AC2" w:rsidRDefault="00E67E17" w:rsidP="00C2131A">
      <w:r>
        <w:t>By comparison, Supreme Court and County Court judges are entitled to eight weeks’ annual leave.</w:t>
      </w:r>
    </w:p>
    <w:p w14:paraId="7C3AECE5" w14:textId="527AFE9A" w:rsidR="00C2131A" w:rsidRDefault="00C2131A" w:rsidP="003F1FC9">
      <w:pPr>
        <w:pStyle w:val="Heading2"/>
      </w:pPr>
      <w:bookmarkStart w:id="52" w:name="_Toc41306061"/>
      <w:r>
        <w:t>Issues</w:t>
      </w:r>
      <w:bookmarkEnd w:id="52"/>
    </w:p>
    <w:p w14:paraId="796CB862" w14:textId="10C30AAF" w:rsidR="00C2131A" w:rsidRDefault="00123448" w:rsidP="00C2131A">
      <w:r>
        <w:t xml:space="preserve">The Panel </w:t>
      </w:r>
      <w:r w:rsidR="00C9064C">
        <w:t xml:space="preserve">maintains its </w:t>
      </w:r>
      <w:r>
        <w:t xml:space="preserve">support </w:t>
      </w:r>
      <w:r w:rsidR="00C9064C">
        <w:t xml:space="preserve">for </w:t>
      </w:r>
      <w:r w:rsidR="000B4C47">
        <w:t>the recommendation in its August 2018 report of Own Motion Recommendations</w:t>
      </w:r>
      <w:r w:rsidR="000B7CE9">
        <w:t xml:space="preserve"> </w:t>
      </w:r>
      <w:r w:rsidR="000B4C47">
        <w:t>to increase the annual leave entitlement of magistrates to six weeks. The Panel has considered a range of issues, including</w:t>
      </w:r>
      <w:r w:rsidR="002374B6">
        <w:t xml:space="preserve"> the</w:t>
      </w:r>
      <w:r w:rsidR="000B4C47">
        <w:t>:</w:t>
      </w:r>
    </w:p>
    <w:p w14:paraId="713AE93C" w14:textId="2207E8EB" w:rsidR="00C2131A" w:rsidRPr="00D92AD8" w:rsidRDefault="00C2131A" w:rsidP="00956138">
      <w:pPr>
        <w:numPr>
          <w:ilvl w:val="0"/>
          <w:numId w:val="15"/>
        </w:numPr>
        <w:rPr>
          <w:color w:val="151616"/>
        </w:rPr>
      </w:pPr>
      <w:r w:rsidRPr="00D92AD8">
        <w:rPr>
          <w:color w:val="151616"/>
        </w:rPr>
        <w:t xml:space="preserve">nature </w:t>
      </w:r>
      <w:r>
        <w:rPr>
          <w:color w:val="151616"/>
        </w:rPr>
        <w:t xml:space="preserve">and </w:t>
      </w:r>
      <w:r w:rsidR="000B4C47">
        <w:rPr>
          <w:color w:val="151616"/>
        </w:rPr>
        <w:t>complexity of the matters handled by magistrates, including violent and/or sexual offences, and the emotional and mental impact this can have on magistrates</w:t>
      </w:r>
    </w:p>
    <w:p w14:paraId="7C1294D6" w14:textId="42779658" w:rsidR="00C2131A" w:rsidRPr="00D92AD8" w:rsidRDefault="00B254AD" w:rsidP="00956138">
      <w:pPr>
        <w:numPr>
          <w:ilvl w:val="0"/>
          <w:numId w:val="15"/>
        </w:numPr>
        <w:ind w:left="714" w:hanging="357"/>
        <w:rPr>
          <w:color w:val="151616"/>
        </w:rPr>
      </w:pPr>
      <w:r>
        <w:rPr>
          <w:color w:val="151616"/>
        </w:rPr>
        <w:t xml:space="preserve">significant </w:t>
      </w:r>
      <w:r w:rsidR="00C2131A" w:rsidRPr="00D92AD8">
        <w:rPr>
          <w:color w:val="151616"/>
        </w:rPr>
        <w:t xml:space="preserve">increase in the workload of </w:t>
      </w:r>
      <w:r w:rsidR="00907B06">
        <w:rPr>
          <w:color w:val="151616"/>
        </w:rPr>
        <w:t>magistrates,</w:t>
      </w:r>
      <w:r w:rsidR="00C2131A" w:rsidRPr="00D92AD8">
        <w:rPr>
          <w:color w:val="151616"/>
        </w:rPr>
        <w:t xml:space="preserve"> </w:t>
      </w:r>
      <w:r w:rsidR="009F090D">
        <w:rPr>
          <w:color w:val="151616"/>
        </w:rPr>
        <w:t>in part due to magistrates’ increased jurisdiction over indictable offences,</w:t>
      </w:r>
      <w:r>
        <w:rPr>
          <w:color w:val="151616"/>
        </w:rPr>
        <w:t xml:space="preserve"> expansions to Victoria Police</w:t>
      </w:r>
      <w:r w:rsidR="009F090D">
        <w:rPr>
          <w:color w:val="151616"/>
        </w:rPr>
        <w:t>, population increases</w:t>
      </w:r>
      <w:r>
        <w:rPr>
          <w:color w:val="151616"/>
        </w:rPr>
        <w:t xml:space="preserve"> and the introduction of the </w:t>
      </w:r>
      <w:r w:rsidR="009F090D">
        <w:rPr>
          <w:color w:val="151616"/>
        </w:rPr>
        <w:t>Bail and Remand Court, which operates until 9pm seven days a week (including public holidays)</w:t>
      </w:r>
    </w:p>
    <w:p w14:paraId="6FE4C143" w14:textId="00CF869D" w:rsidR="00C2131A" w:rsidRDefault="002374B6" w:rsidP="00956138">
      <w:pPr>
        <w:numPr>
          <w:ilvl w:val="0"/>
          <w:numId w:val="15"/>
        </w:numPr>
        <w:ind w:left="714" w:hanging="357"/>
        <w:rPr>
          <w:color w:val="151616"/>
        </w:rPr>
      </w:pPr>
      <w:r>
        <w:rPr>
          <w:color w:val="151616"/>
        </w:rPr>
        <w:t xml:space="preserve">potential career </w:t>
      </w:r>
      <w:r w:rsidR="00C2131A" w:rsidRPr="00D92AD8">
        <w:rPr>
          <w:color w:val="151616"/>
        </w:rPr>
        <w:t xml:space="preserve">restrictions </w:t>
      </w:r>
      <w:r>
        <w:rPr>
          <w:color w:val="151616"/>
        </w:rPr>
        <w:t>faced by magistrates, as a</w:t>
      </w:r>
      <w:r w:rsidR="00C2131A">
        <w:rPr>
          <w:color w:val="151616"/>
        </w:rPr>
        <w:t xml:space="preserve"> magistrate who resigns is unable to appear in the Magistrates’ Court for </w:t>
      </w:r>
      <w:r>
        <w:rPr>
          <w:color w:val="151616"/>
        </w:rPr>
        <w:t>five</w:t>
      </w:r>
      <w:r w:rsidR="00C2131A">
        <w:rPr>
          <w:color w:val="151616"/>
        </w:rPr>
        <w:t xml:space="preserve"> years following the resignation</w:t>
      </w:r>
      <w:r>
        <w:rPr>
          <w:color w:val="151616"/>
        </w:rPr>
        <w:t xml:space="preserve">, and the difficulties faced by those seeking to re-enter the legal profession after considerable absences </w:t>
      </w:r>
    </w:p>
    <w:p w14:paraId="00B3BC68" w14:textId="2A146327" w:rsidR="002374B6" w:rsidRPr="007B4A64" w:rsidRDefault="002374B6" w:rsidP="00956138">
      <w:pPr>
        <w:numPr>
          <w:ilvl w:val="0"/>
          <w:numId w:val="15"/>
        </w:numPr>
        <w:ind w:left="714" w:hanging="357"/>
      </w:pPr>
      <w:r w:rsidRPr="002374B6">
        <w:rPr>
          <w:color w:val="151616"/>
        </w:rPr>
        <w:t>limited</w:t>
      </w:r>
      <w:r w:rsidR="00C2131A" w:rsidRPr="002374B6">
        <w:rPr>
          <w:color w:val="151616"/>
        </w:rPr>
        <w:t xml:space="preserve"> benefit of the </w:t>
      </w:r>
      <w:r w:rsidRPr="002374B6">
        <w:rPr>
          <w:color w:val="151616"/>
        </w:rPr>
        <w:t>‘48/52’ entitlement, as it involves a personal financial cost to the magistrate</w:t>
      </w:r>
      <w:r w:rsidR="00743231">
        <w:rPr>
          <w:color w:val="151616"/>
        </w:rPr>
        <w:t xml:space="preserve"> (approximately $26,000 per annum)</w:t>
      </w:r>
      <w:r w:rsidRPr="002374B6">
        <w:rPr>
          <w:color w:val="151616"/>
        </w:rPr>
        <w:t xml:space="preserve"> and is</w:t>
      </w:r>
      <w:r w:rsidR="00C2131A" w:rsidRPr="002374B6">
        <w:rPr>
          <w:color w:val="151616"/>
        </w:rPr>
        <w:t xml:space="preserve"> at the discretion of the Chief Magistrate</w:t>
      </w:r>
      <w:r w:rsidRPr="002374B6">
        <w:rPr>
          <w:color w:val="151616"/>
        </w:rPr>
        <w:t>,</w:t>
      </w:r>
      <w:r w:rsidR="00C2131A" w:rsidRPr="002374B6">
        <w:rPr>
          <w:color w:val="151616"/>
        </w:rPr>
        <w:t xml:space="preserve"> who is constrained by the operational needs of the Court</w:t>
      </w:r>
      <w:r w:rsidR="00CC7015">
        <w:rPr>
          <w:color w:val="151616"/>
        </w:rPr>
        <w:t>,</w:t>
      </w:r>
      <w:r w:rsidR="004A4CF3">
        <w:rPr>
          <w:color w:val="151616"/>
        </w:rPr>
        <w:t xml:space="preserve"> and</w:t>
      </w:r>
    </w:p>
    <w:p w14:paraId="5757CA72" w14:textId="3E9361EE" w:rsidR="007B4A64" w:rsidRPr="002374B6" w:rsidRDefault="004A4CF3" w:rsidP="00956138">
      <w:pPr>
        <w:numPr>
          <w:ilvl w:val="0"/>
          <w:numId w:val="15"/>
        </w:numPr>
      </w:pPr>
      <w:r>
        <w:rPr>
          <w:color w:val="151616"/>
        </w:rPr>
        <w:t xml:space="preserve">absence of permanent staff for magistrates, while Supreme Court and County Court judges generally receive the assistance of at least one </w:t>
      </w:r>
      <w:proofErr w:type="gramStart"/>
      <w:r>
        <w:rPr>
          <w:color w:val="151616"/>
        </w:rPr>
        <w:t>legally-trained</w:t>
      </w:r>
      <w:proofErr w:type="gramEnd"/>
      <w:r>
        <w:rPr>
          <w:color w:val="151616"/>
        </w:rPr>
        <w:t xml:space="preserve"> staff member.</w:t>
      </w:r>
    </w:p>
    <w:p w14:paraId="794E876A" w14:textId="42C57424" w:rsidR="00976659" w:rsidRDefault="00C2131A" w:rsidP="002374B6">
      <w:r>
        <w:t>The Panel</w:t>
      </w:r>
      <w:r w:rsidR="006F67A0">
        <w:t xml:space="preserve"> reiterates its</w:t>
      </w:r>
      <w:r>
        <w:t xml:space="preserve"> view </w:t>
      </w:r>
      <w:r w:rsidR="006F67A0">
        <w:t xml:space="preserve">that increasing annual leave for magistrates is </w:t>
      </w:r>
      <w:r w:rsidR="00856F59">
        <w:t>necessary</w:t>
      </w:r>
      <w:r>
        <w:t xml:space="preserve"> to adequate</w:t>
      </w:r>
      <w:r w:rsidR="00856F59">
        <w:t xml:space="preserve">ly </w:t>
      </w:r>
      <w:r>
        <w:t>care for the health and wellbeing of magistrates</w:t>
      </w:r>
      <w:r w:rsidR="00856F59">
        <w:t>. Increasing the entitlement also demonstrates recognition of the expanded role of magistrates and the benefit they bring to the community.</w:t>
      </w:r>
      <w:r>
        <w:t xml:space="preserve"> </w:t>
      </w:r>
    </w:p>
    <w:p w14:paraId="7B0E8A51" w14:textId="1CCEF6B2" w:rsidR="008419AE" w:rsidRDefault="008419AE" w:rsidP="002374B6">
      <w:r>
        <w:t xml:space="preserve">The Panel is required to consider the conditions of services of other Victorian public offices. As noted above, judges receive eight weeks’ annual leave. Members of Victoria Police and emergency services workers also receive </w:t>
      </w:r>
      <w:proofErr w:type="gramStart"/>
      <w:r>
        <w:t>in excess of</w:t>
      </w:r>
      <w:proofErr w:type="gramEnd"/>
      <w:r>
        <w:t xml:space="preserve"> four weeks’ annual leave, in recognition of the nature of their work.</w:t>
      </w:r>
    </w:p>
    <w:p w14:paraId="181AE802" w14:textId="68256986" w:rsidR="00C2131A" w:rsidRDefault="00C2131A" w:rsidP="002374B6">
      <w:r>
        <w:lastRenderedPageBreak/>
        <w:t xml:space="preserve">However, </w:t>
      </w:r>
      <w:r w:rsidR="0024239F">
        <w:t>given</w:t>
      </w:r>
      <w:r w:rsidR="00976659">
        <w:t xml:space="preserve"> the</w:t>
      </w:r>
      <w:r w:rsidR="0024239F">
        <w:t xml:space="preserve"> significant</w:t>
      </w:r>
      <w:r w:rsidR="00976659">
        <w:t xml:space="preserve"> financial cost</w:t>
      </w:r>
      <w:r w:rsidR="0024239F">
        <w:t xml:space="preserve">, </w:t>
      </w:r>
      <w:r>
        <w:t xml:space="preserve">the Panel considers </w:t>
      </w:r>
      <w:r w:rsidR="00856F59">
        <w:t xml:space="preserve">magistrates’ annual leave </w:t>
      </w:r>
      <w:r>
        <w:t xml:space="preserve">should be increased </w:t>
      </w:r>
      <w:r w:rsidRPr="005F3A9E">
        <w:t xml:space="preserve">to </w:t>
      </w:r>
      <w:r w:rsidR="00856F59">
        <w:t>six</w:t>
      </w:r>
      <w:r w:rsidRPr="005F3A9E">
        <w:t xml:space="preserve"> weeks</w:t>
      </w:r>
      <w:r w:rsidR="001543F9">
        <w:t xml:space="preserve"> in the short-to-medium term</w:t>
      </w:r>
      <w:r>
        <w:t xml:space="preserve">, </w:t>
      </w:r>
      <w:r w:rsidR="001543F9">
        <w:t>then ultimately increased to eight weeks.</w:t>
      </w:r>
      <w:r w:rsidR="00856F59">
        <w:t xml:space="preserve"> </w:t>
      </w:r>
    </w:p>
    <w:p w14:paraId="5B434B20" w14:textId="77777777" w:rsidR="00C2131A" w:rsidRDefault="00C2131A" w:rsidP="00C2131A">
      <w:pPr>
        <w:pStyle w:val="Heading3"/>
      </w:pPr>
      <w:bookmarkStart w:id="53" w:name="_Toc41306062"/>
      <w:r>
        <w:t>Cost implications</w:t>
      </w:r>
      <w:bookmarkEnd w:id="53"/>
    </w:p>
    <w:p w14:paraId="3FA5DF85" w14:textId="4B0523AF" w:rsidR="00C2131A" w:rsidRDefault="001940E3" w:rsidP="00C2131A">
      <w:r>
        <w:rPr>
          <w:lang w:eastAsia="en-US"/>
        </w:rPr>
        <w:t>The cost of increasing magistrates’ annual leave to six weeks is estimated to be $1.25 million per year. If annual leave were increased to eight weeks, the Panel estimates this would have an annual cost of $2.5 million.</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C2131A" w14:paraId="374FFC8B" w14:textId="77777777" w:rsidTr="00B516C7">
        <w:tc>
          <w:tcPr>
            <w:tcW w:w="9628" w:type="dxa"/>
          </w:tcPr>
          <w:p w14:paraId="597CC370" w14:textId="02109475" w:rsidR="00C2131A" w:rsidRPr="00707333" w:rsidRDefault="00C2131A" w:rsidP="00B516C7">
            <w:pPr>
              <w:pStyle w:val="Heading3"/>
              <w:spacing w:before="0" w:after="0"/>
              <w:outlineLvl w:val="2"/>
            </w:pPr>
            <w:bookmarkStart w:id="54" w:name="_Toc41306063"/>
            <w:r w:rsidRPr="009F0764">
              <w:rPr>
                <w:b w:val="0"/>
              </w:rPr>
              <w:t xml:space="preserve">Recommendation </w:t>
            </w:r>
            <w:r w:rsidR="0045446E">
              <w:rPr>
                <w:b w:val="0"/>
              </w:rPr>
              <w:t>6</w:t>
            </w:r>
            <w:bookmarkEnd w:id="54"/>
          </w:p>
          <w:p w14:paraId="22627C87" w14:textId="4E35709D" w:rsidR="00C2131A" w:rsidRDefault="00C2131A" w:rsidP="008E5E86">
            <w:pPr>
              <w:spacing w:after="60"/>
            </w:pPr>
            <w:r w:rsidRPr="0038594A">
              <w:t>The Panel recommends the Attorney-General increase magistrates</w:t>
            </w:r>
            <w:r w:rsidR="008053DE">
              <w:t xml:space="preserve">’ annual leave from four weeks to six weeks. </w:t>
            </w:r>
            <w:r w:rsidRPr="0038594A">
              <w:t xml:space="preserve"> </w:t>
            </w:r>
          </w:p>
        </w:tc>
      </w:tr>
    </w:tbl>
    <w:p w14:paraId="12982E80" w14:textId="77777777" w:rsidR="00C2131A" w:rsidRDefault="00C2131A" w:rsidP="00C2131A"/>
    <w:p w14:paraId="5533434C" w14:textId="77777777" w:rsidR="00A269DF" w:rsidRDefault="00A269DF">
      <w:pPr>
        <w:autoSpaceDE/>
        <w:autoSpaceDN/>
        <w:adjustRightInd/>
        <w:spacing w:before="0" w:after="0"/>
      </w:pPr>
      <w:bookmarkStart w:id="55" w:name="_Ref519083007"/>
      <w:r>
        <w:br w:type="page"/>
      </w:r>
    </w:p>
    <w:p w14:paraId="2AA9ACE0" w14:textId="23497E62" w:rsidR="00A269DF" w:rsidRPr="002676A7" w:rsidRDefault="00A269DF" w:rsidP="00A269DF">
      <w:pPr>
        <w:pStyle w:val="Heading1"/>
        <w:ind w:left="567" w:hanging="567"/>
      </w:pPr>
      <w:bookmarkStart w:id="56" w:name="_Toc41306064"/>
      <w:r>
        <w:lastRenderedPageBreak/>
        <w:t>5</w:t>
      </w:r>
      <w:r>
        <w:tab/>
        <w:t>Living away from home allowance for magistrates</w:t>
      </w:r>
      <w:bookmarkEnd w:id="56"/>
    </w:p>
    <w:p w14:paraId="4A59E74A" w14:textId="1F2ACC87" w:rsidR="00A269DF" w:rsidRDefault="00CB1F82" w:rsidP="00A269DF">
      <w:r>
        <w:t xml:space="preserve">The </w:t>
      </w:r>
      <w:r w:rsidR="00A47F16">
        <w:t>Magistrates’ Court again raised concerns over the inequity of the current arrangements surrounding the living away from home allowance for magistrates.</w:t>
      </w:r>
    </w:p>
    <w:p w14:paraId="45141C05" w14:textId="77777777" w:rsidR="00A47F16" w:rsidRDefault="00A47F16" w:rsidP="00A47F16">
      <w:pPr>
        <w:pStyle w:val="Heading2"/>
      </w:pPr>
      <w:bookmarkStart w:id="57" w:name="_Toc41306065"/>
      <w:r>
        <w:t>Current entitlement</w:t>
      </w:r>
      <w:bookmarkEnd w:id="57"/>
    </w:p>
    <w:p w14:paraId="2F83B566" w14:textId="6F557CDD" w:rsidR="00A47F16" w:rsidRDefault="00A47F16" w:rsidP="00A47F16">
      <w:r>
        <w:t>Magistrates</w:t>
      </w:r>
      <w:r w:rsidRPr="00A47F16">
        <w:t xml:space="preserve"> required to </w:t>
      </w:r>
      <w:r w:rsidR="008A4303" w:rsidRPr="00A47F16">
        <w:t>liv</w:t>
      </w:r>
      <w:r w:rsidR="008A4303">
        <w:t>e</w:t>
      </w:r>
      <w:r w:rsidR="008A4303" w:rsidRPr="00A47F16">
        <w:t xml:space="preserve"> </w:t>
      </w:r>
      <w:r w:rsidRPr="00A47F16">
        <w:t>away from home in a regional area on a temporary basis are entitled to a living away from home allowance of $</w:t>
      </w:r>
      <w:r>
        <w:t>453</w:t>
      </w:r>
      <w:r w:rsidRPr="00A47F16">
        <w:t xml:space="preserve"> </w:t>
      </w:r>
      <w:r w:rsidR="00C5573B">
        <w:t xml:space="preserve">per week </w:t>
      </w:r>
      <w:r w:rsidRPr="00A47F16">
        <w:t>for up to 3 years</w:t>
      </w:r>
      <w:r>
        <w:t>. The allowance is</w:t>
      </w:r>
      <w:r w:rsidR="00C5573B">
        <w:t xml:space="preserve"> adjusted for inflation and is</w:t>
      </w:r>
      <w:r>
        <w:t xml:space="preserve"> the same regardless of whether magistrates are assigned to metropolitan or regional cour</w:t>
      </w:r>
      <w:r w:rsidR="00FF09D9">
        <w:t>ts.</w:t>
      </w:r>
    </w:p>
    <w:p w14:paraId="6AD2CBC4" w14:textId="77777777" w:rsidR="00A47F16" w:rsidRDefault="00A47F16" w:rsidP="00A47F16">
      <w:pPr>
        <w:pStyle w:val="Heading2"/>
      </w:pPr>
      <w:bookmarkStart w:id="58" w:name="_Toc41306066"/>
      <w:r>
        <w:t>Issues</w:t>
      </w:r>
      <w:bookmarkEnd w:id="58"/>
    </w:p>
    <w:p w14:paraId="33E00382" w14:textId="485E60B8" w:rsidR="00A47F16" w:rsidRDefault="00C5573B" w:rsidP="00A47F16">
      <w:r>
        <w:t>There is a legitimate concern that magistrates undertaking assignments are financially disadvantaged, given most magistrates are expected to undertake a regional placement, the majority of which are for 12 months or more. It is common for magistrates to need to maintain two residences – one at the assignment location and the family home. The current living away from home allowance does not adequately cover out-of-pocket expenses. In some cases, the allowance does not even cover rent.</w:t>
      </w:r>
    </w:p>
    <w:p w14:paraId="67B15BF7" w14:textId="6EA8AC11" w:rsidR="00C5573B" w:rsidRDefault="00C5573B" w:rsidP="00A47F16">
      <w:r>
        <w:t>In addition, the time and effort taken in finding suitable accommodation can be extensive and adds to the stress experienced by magistrates needing to relocate.</w:t>
      </w:r>
    </w:p>
    <w:p w14:paraId="57DE0D8C" w14:textId="7920A4EB" w:rsidR="00C5573B" w:rsidRDefault="00C5573B" w:rsidP="00A47F16">
      <w:r>
        <w:t>Given the basic principle that magistrates who are asked to relocate should not be out-of-pocket as a result, any step to make this process cost-neutral and more efficient is beneficial. This is consistent with CSV’s letter to the Panel, dated 11 February 2020, which supports changes to the current arrangements.</w:t>
      </w:r>
    </w:p>
    <w:p w14:paraId="7463BF48" w14:textId="6AB3EA17" w:rsidR="00C5573B" w:rsidRDefault="00C5573B" w:rsidP="00A47F16">
      <w:r>
        <w:t xml:space="preserve">The Panel notes there </w:t>
      </w:r>
      <w:r w:rsidR="004954BF">
        <w:t>is often</w:t>
      </w:r>
      <w:r>
        <w:t xml:space="preserve"> confusion between magistrates</w:t>
      </w:r>
      <w:r w:rsidR="004954BF">
        <w:t>’</w:t>
      </w:r>
      <w:r>
        <w:t xml:space="preserve"> undertaking an assignment for up to three ye</w:t>
      </w:r>
      <w:r w:rsidR="004954BF">
        <w:t xml:space="preserve">ars and magistrates being relocated permanently. The living away from </w:t>
      </w:r>
      <w:r w:rsidR="00A84105" w:rsidRPr="00170CD9">
        <w:t>home</w:t>
      </w:r>
      <w:r w:rsidR="00A84105">
        <w:t xml:space="preserve"> </w:t>
      </w:r>
      <w:r w:rsidR="004954BF">
        <w:t>allowance should only apply to those being asked to relocate for a specified term.</w:t>
      </w:r>
    </w:p>
    <w:p w14:paraId="036D979A" w14:textId="07E8997B" w:rsidR="00890548" w:rsidRPr="00C24157" w:rsidRDefault="00890548" w:rsidP="00A47F16">
      <w:r>
        <w:t xml:space="preserve">The cost of this recommendation will vary depending on the value of the increase to the allowance, the number of magistrates required to live away from home, and the length of these assignments.  </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A47F16" w14:paraId="41029AD7" w14:textId="77777777" w:rsidTr="00044F0F">
        <w:tc>
          <w:tcPr>
            <w:tcW w:w="9628" w:type="dxa"/>
          </w:tcPr>
          <w:p w14:paraId="33F35BE2" w14:textId="77777777" w:rsidR="00A47F16" w:rsidRPr="00707333" w:rsidRDefault="00A47F16" w:rsidP="00044F0F">
            <w:pPr>
              <w:pStyle w:val="Heading3"/>
              <w:spacing w:before="0" w:after="0"/>
              <w:outlineLvl w:val="2"/>
            </w:pPr>
            <w:bookmarkStart w:id="59" w:name="_Toc41306067"/>
            <w:r w:rsidRPr="00707333">
              <w:rPr>
                <w:b w:val="0"/>
              </w:rPr>
              <w:t xml:space="preserve">Recommendation </w:t>
            </w:r>
            <w:r>
              <w:rPr>
                <w:b w:val="0"/>
              </w:rPr>
              <w:t>7</w:t>
            </w:r>
            <w:bookmarkEnd w:id="59"/>
          </w:p>
          <w:p w14:paraId="1A18B5C9" w14:textId="18121470" w:rsidR="00A47F16" w:rsidRPr="00AB09A2" w:rsidRDefault="004954BF" w:rsidP="00044F0F">
            <w:pPr>
              <w:spacing w:after="60"/>
            </w:pPr>
            <w:r>
              <w:t>The Panel recommends the Attorney-General amends the entitlement certificate dated 24 February 2012 to increase the value of magistrates’ living away from home allowance, to better reflect the actual costs of assignments away from magistrates’ principal place of residence.</w:t>
            </w:r>
          </w:p>
        </w:tc>
      </w:tr>
    </w:tbl>
    <w:p w14:paraId="6235E897" w14:textId="4928C372" w:rsidR="00B57764" w:rsidRDefault="00B57764" w:rsidP="00A269DF">
      <w:pPr>
        <w:rPr>
          <w:i/>
          <w:iCs/>
        </w:rPr>
      </w:pP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B57764" w14:paraId="748A0E18" w14:textId="77777777" w:rsidTr="00C9713A">
        <w:tc>
          <w:tcPr>
            <w:tcW w:w="9628" w:type="dxa"/>
          </w:tcPr>
          <w:p w14:paraId="3FFB98A6" w14:textId="77777777" w:rsidR="00B57764" w:rsidRPr="00707333" w:rsidRDefault="00B57764" w:rsidP="00C9713A">
            <w:pPr>
              <w:pStyle w:val="Heading3"/>
              <w:spacing w:before="0" w:after="0"/>
              <w:outlineLvl w:val="2"/>
            </w:pPr>
            <w:bookmarkStart w:id="60" w:name="_Toc41306068"/>
            <w:r w:rsidRPr="00B57764">
              <w:rPr>
                <w:b w:val="0"/>
              </w:rPr>
              <w:lastRenderedPageBreak/>
              <w:t>Observation 1</w:t>
            </w:r>
            <w:bookmarkEnd w:id="60"/>
          </w:p>
          <w:p w14:paraId="321BEE19" w14:textId="7E2B0957" w:rsidR="00B57764" w:rsidRDefault="00B57764" w:rsidP="00C9713A">
            <w:pPr>
              <w:spacing w:after="60"/>
            </w:pPr>
            <w:r w:rsidRPr="0038594A">
              <w:t xml:space="preserve">The Panel </w:t>
            </w:r>
            <w:r>
              <w:t xml:space="preserve">encourages CSV to review </w:t>
            </w:r>
            <w:r w:rsidR="00BD0F0E">
              <w:t>the</w:t>
            </w:r>
            <w:r>
              <w:t xml:space="preserve"> living away from home allowance </w:t>
            </w:r>
            <w:r w:rsidR="00BD0F0E">
              <w:t xml:space="preserve">policy </w:t>
            </w:r>
            <w:r>
              <w:t xml:space="preserve">and </w:t>
            </w:r>
            <w:r w:rsidR="00487768">
              <w:t xml:space="preserve">the </w:t>
            </w:r>
            <w:r>
              <w:t>relocation polic</w:t>
            </w:r>
            <w:r w:rsidR="00BD0F0E">
              <w:t>y</w:t>
            </w:r>
            <w:r>
              <w:t xml:space="preserve"> with a view to </w:t>
            </w:r>
            <w:r w:rsidR="00BD0F0E">
              <w:t>clarifying the scope of each</w:t>
            </w:r>
            <w:r w:rsidR="00096B68">
              <w:t xml:space="preserve"> and</w:t>
            </w:r>
            <w:r w:rsidR="009D71F9">
              <w:t xml:space="preserve"> how they interrelate</w:t>
            </w:r>
            <w:r w:rsidR="00BD0F0E">
              <w:t xml:space="preserve"> to reduce</w:t>
            </w:r>
            <w:r w:rsidR="000A2767">
              <w:t xml:space="preserve"> confusion </w:t>
            </w:r>
            <w:r w:rsidR="009D71F9">
              <w:t>regarding</w:t>
            </w:r>
            <w:r w:rsidR="000A2767">
              <w:t xml:space="preserve"> their application</w:t>
            </w:r>
            <w:r>
              <w:t xml:space="preserve">. </w:t>
            </w:r>
          </w:p>
        </w:tc>
      </w:tr>
    </w:tbl>
    <w:p w14:paraId="08F03A52" w14:textId="0EF20F44" w:rsidR="00B63809" w:rsidRDefault="00B63809">
      <w:pPr>
        <w:autoSpaceDE/>
        <w:autoSpaceDN/>
        <w:adjustRightInd/>
        <w:spacing w:before="0" w:after="0"/>
      </w:pPr>
      <w:r>
        <w:br w:type="page"/>
      </w:r>
    </w:p>
    <w:p w14:paraId="6FB01E77" w14:textId="53E66D6C" w:rsidR="00B63809" w:rsidRDefault="00A269DF" w:rsidP="00B63809">
      <w:pPr>
        <w:pStyle w:val="Heading1"/>
        <w:ind w:left="567" w:hanging="567"/>
      </w:pPr>
      <w:bookmarkStart w:id="61" w:name="_Toc41306069"/>
      <w:r>
        <w:lastRenderedPageBreak/>
        <w:t>6</w:t>
      </w:r>
      <w:r w:rsidR="00B63809">
        <w:tab/>
      </w:r>
      <w:r w:rsidR="0078305C">
        <w:t xml:space="preserve">Income protection </w:t>
      </w:r>
      <w:proofErr w:type="gramStart"/>
      <w:r w:rsidR="0078305C">
        <w:t>scheme</w:t>
      </w:r>
      <w:proofErr w:type="gramEnd"/>
      <w:r w:rsidR="00B63809">
        <w:t xml:space="preserve"> for magistrates</w:t>
      </w:r>
      <w:bookmarkEnd w:id="61"/>
    </w:p>
    <w:p w14:paraId="528DB7C3" w14:textId="654B4C37" w:rsidR="00B63809" w:rsidRDefault="00D74508" w:rsidP="00B63809">
      <w:r>
        <w:t>The Magistrates’ Cour</w:t>
      </w:r>
      <w:r w:rsidR="00B042BC">
        <w:t>t commended the Panel’s observation in its 2018 report of Own Motion Recommendations that CSV should engage with other relevant stakeholders to establish a scheme to protect magistrates from loss of income, whether through loss of capacity, ill health, or disability.</w:t>
      </w:r>
    </w:p>
    <w:p w14:paraId="13EEEEF9" w14:textId="77777777" w:rsidR="00B042BC" w:rsidRDefault="00B042BC" w:rsidP="00B042BC">
      <w:r>
        <w:t>The Magistrates’ Court noted the Panel is awaiting analysis from CSV on this proposal and submitted that, in the interim, magistrates should be granted the statutory disability scheme provided to Supreme and County Court judges.</w:t>
      </w:r>
    </w:p>
    <w:p w14:paraId="21CF897C" w14:textId="77777777" w:rsidR="00B63809" w:rsidRDefault="00B63809" w:rsidP="00B63809">
      <w:pPr>
        <w:pStyle w:val="Heading2"/>
      </w:pPr>
      <w:bookmarkStart w:id="62" w:name="_Toc41306070"/>
      <w:r>
        <w:t>Current entitlement</w:t>
      </w:r>
      <w:bookmarkEnd w:id="62"/>
    </w:p>
    <w:p w14:paraId="18CF169E" w14:textId="0C31025D" w:rsidR="00B63809" w:rsidRDefault="00123517" w:rsidP="00B63809">
      <w:r>
        <w:t>Mag</w:t>
      </w:r>
      <w:r w:rsidR="008E5E86">
        <w:t xml:space="preserve">istrates are not entitled to an allowance for removal from office in a ‘no fault’ situation, such as loss of capacity, ill </w:t>
      </w:r>
      <w:proofErr w:type="gramStart"/>
      <w:r w:rsidR="008E5E86">
        <w:t>health</w:t>
      </w:r>
      <w:proofErr w:type="gramEnd"/>
      <w:r w:rsidR="008E5E86">
        <w:t xml:space="preserve"> or disability.</w:t>
      </w:r>
    </w:p>
    <w:p w14:paraId="4F3454A5" w14:textId="500A5796" w:rsidR="0027677E" w:rsidRDefault="0027677E" w:rsidP="00B63809">
      <w:r>
        <w:t xml:space="preserve">In comparison, a judge of the Supreme and County Court appointed before the age of 60 has access to a judicial pension if he or she becomes afflicted with a permanent incapacity and is no longer able to perform the duties of a judge. </w:t>
      </w:r>
    </w:p>
    <w:p w14:paraId="5BA364A4" w14:textId="77777777" w:rsidR="00B63809" w:rsidRDefault="00B63809" w:rsidP="00B63809">
      <w:pPr>
        <w:pStyle w:val="Heading2"/>
      </w:pPr>
      <w:bookmarkStart w:id="63" w:name="_Toc41306071"/>
      <w:r>
        <w:t>Issues</w:t>
      </w:r>
      <w:bookmarkEnd w:id="63"/>
    </w:p>
    <w:p w14:paraId="5042D2A4" w14:textId="4D0BD947" w:rsidR="00A868D5" w:rsidRDefault="00A868D5" w:rsidP="00D33D41">
      <w:r>
        <w:t xml:space="preserve">Magistrates who are afflicted by long-term incapacity are in a precarious position, as they do not have access to a judicial pension or an allowance for ‘no fault’ removal from office. </w:t>
      </w:r>
    </w:p>
    <w:p w14:paraId="5A9B4F8F" w14:textId="2BB944DB" w:rsidR="000B5C51" w:rsidRDefault="00EE7F6C" w:rsidP="00D33D41">
      <w:r>
        <w:t xml:space="preserve">Paid sick leave for magistrates is at the discretion of the Chief Magistrate. As no guidance is available to magistrates on how this discretion is applied, magistrates who suffer a medium or long-term medical issue face financial uncertainty and job insecurity. This may result in significant stress and anxiety, </w:t>
      </w:r>
      <w:r w:rsidR="004544F6">
        <w:t>on top of</w:t>
      </w:r>
      <w:r>
        <w:t xml:space="preserve"> the affected magistrate’s illness or injury</w:t>
      </w:r>
      <w:r w:rsidR="004544F6">
        <w:t xml:space="preserve">. Moreover, the uncertainty may result in a magistrate continuing to perform his or her duties, despite experiencing poor health, which would negatively impact the magistrate’s health and may affect the administration of justice. </w:t>
      </w:r>
    </w:p>
    <w:p w14:paraId="7D93605E" w14:textId="1AD00559" w:rsidR="004544F6" w:rsidRDefault="004A4DFE" w:rsidP="00D33D41">
      <w:r>
        <w:t>Magistrates also face difficulties in</w:t>
      </w:r>
      <w:r w:rsidR="004544F6">
        <w:t xml:space="preserve"> </w:t>
      </w:r>
      <w:r>
        <w:t>independently obtain</w:t>
      </w:r>
      <w:r w:rsidR="007967DF">
        <w:t>ing</w:t>
      </w:r>
      <w:r>
        <w:t xml:space="preserve"> income protection</w:t>
      </w:r>
      <w:r w:rsidR="007967DF">
        <w:t>. In addition to being expensive, this cover is typically only available until age 65</w:t>
      </w:r>
      <w:r w:rsidR="00A53B6A">
        <w:t xml:space="preserve"> at the latest. As</w:t>
      </w:r>
      <w:r w:rsidR="007967DF">
        <w:t xml:space="preserve"> the </w:t>
      </w:r>
      <w:r w:rsidR="004544F6">
        <w:t>retirement age for magistrates is 70 years</w:t>
      </w:r>
      <w:r w:rsidR="007967DF">
        <w:t xml:space="preserve">, </w:t>
      </w:r>
      <w:r w:rsidR="00A53B6A">
        <w:t>this results i</w:t>
      </w:r>
      <w:r w:rsidR="007967DF">
        <w:t xml:space="preserve">n a </w:t>
      </w:r>
      <w:proofErr w:type="gramStart"/>
      <w:r w:rsidR="00BA2E43">
        <w:t>five year</w:t>
      </w:r>
      <w:proofErr w:type="gramEnd"/>
      <w:r w:rsidR="00A53B6A">
        <w:t xml:space="preserve"> period where </w:t>
      </w:r>
      <w:r w:rsidR="00BA2E43">
        <w:t>income protection</w:t>
      </w:r>
      <w:r w:rsidR="00A53B6A">
        <w:t xml:space="preserve"> is not a possibility.</w:t>
      </w:r>
    </w:p>
    <w:p w14:paraId="4BC6718E" w14:textId="21BE3990" w:rsidR="00B63809" w:rsidRDefault="00432E9B" w:rsidP="00B63809">
      <w:pPr>
        <w:rPr>
          <w:lang w:eastAsia="en-US"/>
        </w:rPr>
      </w:pPr>
      <w:r>
        <w:t xml:space="preserve">The Panel </w:t>
      </w:r>
      <w:r w:rsidR="00A53B6A">
        <w:rPr>
          <w:lang w:eastAsia="en-US"/>
        </w:rPr>
        <w:t xml:space="preserve">reiterates its view </w:t>
      </w:r>
      <w:r w:rsidR="0010693D">
        <w:rPr>
          <w:lang w:eastAsia="en-US"/>
        </w:rPr>
        <w:t>that the insecurity magistrates face regarding loss of office due to no fault of their own cannot be reconciled with their value to the community.</w:t>
      </w:r>
      <w:r w:rsidR="005528B8">
        <w:rPr>
          <w:lang w:eastAsia="en-US"/>
        </w:rPr>
        <w:t xml:space="preserve"> An appropriate income protection scheme is necessary to maintain the standing of magistrates in the community, attract suitably qualified candidates to the Magistrates’ Court of Victoria, and would increase parity between magistrates and judges.</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B63809" w14:paraId="7A67397E" w14:textId="77777777" w:rsidTr="002676A7">
        <w:tc>
          <w:tcPr>
            <w:tcW w:w="9628" w:type="dxa"/>
          </w:tcPr>
          <w:p w14:paraId="16FF2211" w14:textId="2C056731" w:rsidR="00B63809" w:rsidRPr="00707333" w:rsidRDefault="00B042BC" w:rsidP="002676A7">
            <w:pPr>
              <w:pStyle w:val="Heading3"/>
              <w:spacing w:before="0" w:after="0"/>
              <w:outlineLvl w:val="2"/>
            </w:pPr>
            <w:bookmarkStart w:id="64" w:name="_Toc41306072"/>
            <w:r w:rsidRPr="00487768">
              <w:rPr>
                <w:b w:val="0"/>
              </w:rPr>
              <w:lastRenderedPageBreak/>
              <w:t xml:space="preserve">Observation </w:t>
            </w:r>
            <w:r w:rsidR="00487768">
              <w:rPr>
                <w:b w:val="0"/>
              </w:rPr>
              <w:t>2</w:t>
            </w:r>
            <w:bookmarkEnd w:id="64"/>
          </w:p>
          <w:p w14:paraId="54CA929B" w14:textId="53D47B50" w:rsidR="00B63809" w:rsidRDefault="00B63809" w:rsidP="00827081">
            <w:pPr>
              <w:spacing w:after="60"/>
            </w:pPr>
            <w:r w:rsidRPr="0038594A">
              <w:t xml:space="preserve">The Panel </w:t>
            </w:r>
            <w:r w:rsidR="008E5E86">
              <w:t xml:space="preserve">again </w:t>
            </w:r>
            <w:r w:rsidR="00EF1D61">
              <w:t xml:space="preserve">encourages </w:t>
            </w:r>
            <w:r w:rsidR="00D26FD2">
              <w:t>CSV</w:t>
            </w:r>
            <w:r w:rsidR="008E5E86">
              <w:t xml:space="preserve"> to engage with other relevant stakeholders to establish a scheme for magistrates similar to the scheme that exists to protect judicial officers in the Supreme and County Courts from loss of income, whether through loss of capacity, ill health or disability. </w:t>
            </w:r>
          </w:p>
        </w:tc>
      </w:tr>
    </w:tbl>
    <w:p w14:paraId="63424299" w14:textId="77777777" w:rsidR="00A269DF" w:rsidRDefault="00A269DF">
      <w:pPr>
        <w:autoSpaceDE/>
        <w:autoSpaceDN/>
        <w:adjustRightInd/>
        <w:spacing w:before="0" w:after="0"/>
      </w:pPr>
    </w:p>
    <w:p w14:paraId="46C5D8F9" w14:textId="77777777" w:rsidR="00CE7D59" w:rsidRDefault="00CE7D59">
      <w:pPr>
        <w:autoSpaceDE/>
        <w:autoSpaceDN/>
        <w:adjustRightInd/>
        <w:spacing w:before="0" w:after="0"/>
      </w:pPr>
    </w:p>
    <w:p w14:paraId="728DD131" w14:textId="77777777" w:rsidR="009723CF" w:rsidRDefault="009723CF">
      <w:pPr>
        <w:autoSpaceDE/>
        <w:autoSpaceDN/>
        <w:adjustRightInd/>
        <w:spacing w:before="0" w:after="0"/>
      </w:pPr>
    </w:p>
    <w:p w14:paraId="0ADC210B" w14:textId="77777777" w:rsidR="009723CF" w:rsidRDefault="009723CF">
      <w:pPr>
        <w:autoSpaceDE/>
        <w:autoSpaceDN/>
        <w:adjustRightInd/>
        <w:spacing w:before="0" w:after="0"/>
      </w:pPr>
    </w:p>
    <w:p w14:paraId="3859ED2D" w14:textId="77777777" w:rsidR="009723CF" w:rsidRDefault="009723CF">
      <w:pPr>
        <w:autoSpaceDE/>
        <w:autoSpaceDN/>
        <w:adjustRightInd/>
        <w:spacing w:before="0" w:after="0"/>
      </w:pPr>
    </w:p>
    <w:p w14:paraId="4E95B8C6" w14:textId="77777777" w:rsidR="009723CF" w:rsidRDefault="009723CF">
      <w:pPr>
        <w:autoSpaceDE/>
        <w:autoSpaceDN/>
        <w:adjustRightInd/>
        <w:spacing w:before="0" w:after="0"/>
      </w:pPr>
    </w:p>
    <w:p w14:paraId="4ED413D3" w14:textId="77777777" w:rsidR="009723CF" w:rsidRDefault="009723CF">
      <w:pPr>
        <w:autoSpaceDE/>
        <w:autoSpaceDN/>
        <w:adjustRightInd/>
        <w:spacing w:before="0" w:after="0"/>
      </w:pPr>
      <w:r>
        <w:br w:type="page"/>
      </w:r>
    </w:p>
    <w:p w14:paraId="3909530E" w14:textId="57345DD5" w:rsidR="009723CF" w:rsidRDefault="009723CF" w:rsidP="009723CF">
      <w:pPr>
        <w:pStyle w:val="Heading1"/>
        <w:ind w:left="567" w:hanging="567"/>
      </w:pPr>
      <w:bookmarkStart w:id="65" w:name="_Toc41306073"/>
      <w:r>
        <w:lastRenderedPageBreak/>
        <w:t>7</w:t>
      </w:r>
      <w:r>
        <w:tab/>
        <w:t>Motor vehicle entitlements for magistrates</w:t>
      </w:r>
      <w:bookmarkEnd w:id="65"/>
    </w:p>
    <w:p w14:paraId="3D09E2F4" w14:textId="2E76D460" w:rsidR="009723CF" w:rsidRDefault="009723CF" w:rsidP="00044F0F">
      <w:r>
        <w:t xml:space="preserve">The Magistrates’ Court </w:t>
      </w:r>
      <w:r w:rsidR="00044F0F">
        <w:t xml:space="preserve">proposed that magistrates, </w:t>
      </w:r>
      <w:proofErr w:type="gramStart"/>
      <w:r w:rsidR="00044F0F">
        <w:t>coroners</w:t>
      </w:r>
      <w:proofErr w:type="gramEnd"/>
      <w:r w:rsidR="00044F0F">
        <w:t xml:space="preserve"> and associate judges of the Supreme Court are granted access to the Judicial Car Scheme available to Supreme and County Court judges. In its letter to the Panel, CSV noted there was merit in this proposal.</w:t>
      </w:r>
    </w:p>
    <w:p w14:paraId="1FBE2691" w14:textId="2960C0C7" w:rsidR="00A979E4" w:rsidRDefault="00A979E4" w:rsidP="00044F0F">
      <w:r>
        <w:t xml:space="preserve">The Magistrates’ Court also submitted that magistrates should have access to all categories of vehicle in </w:t>
      </w:r>
      <w:proofErr w:type="spellStart"/>
      <w:r>
        <w:t>VicFleet</w:t>
      </w:r>
      <w:proofErr w:type="spellEnd"/>
      <w:r>
        <w:t>.</w:t>
      </w:r>
    </w:p>
    <w:p w14:paraId="3F548767" w14:textId="77777777" w:rsidR="009723CF" w:rsidRDefault="009723CF" w:rsidP="009723CF">
      <w:pPr>
        <w:pStyle w:val="Heading2"/>
      </w:pPr>
      <w:bookmarkStart w:id="66" w:name="_Toc41306074"/>
      <w:r>
        <w:t>Current entitlement</w:t>
      </w:r>
      <w:bookmarkEnd w:id="66"/>
    </w:p>
    <w:p w14:paraId="007E8230" w14:textId="7FD05DAB" w:rsidR="009723CF" w:rsidRDefault="00044F0F" w:rsidP="009723CF">
      <w:r>
        <w:t xml:space="preserve">Magistrates have access to the </w:t>
      </w:r>
      <w:proofErr w:type="spellStart"/>
      <w:r>
        <w:t>VicFleet</w:t>
      </w:r>
      <w:proofErr w:type="spellEnd"/>
      <w:r>
        <w:t xml:space="preserve"> car scheme provided to VPS executives. Magistrates also</w:t>
      </w:r>
      <w:r w:rsidRPr="00044F0F">
        <w:t xml:space="preserve"> receive $11,720 per annum (</w:t>
      </w:r>
      <w:r>
        <w:t>in addition to</w:t>
      </w:r>
      <w:r w:rsidRPr="00044F0F">
        <w:t xml:space="preserve"> salary) for a motor vehicle allowance, </w:t>
      </w:r>
      <w:r>
        <w:t>which is adjusted for inflation</w:t>
      </w:r>
      <w:r w:rsidRPr="00044F0F">
        <w:t>.</w:t>
      </w:r>
    </w:p>
    <w:p w14:paraId="1A5202BD" w14:textId="7DFB8C49" w:rsidR="00A979E4" w:rsidRDefault="00A979E4" w:rsidP="00A979E4">
      <w:r>
        <w:t xml:space="preserve">Under the current policy, </w:t>
      </w:r>
      <w:r w:rsidR="00AC3376">
        <w:t xml:space="preserve">magistrates do not have access to ‘prestige’ vehicles in </w:t>
      </w:r>
      <w:proofErr w:type="spellStart"/>
      <w:r w:rsidR="00AC3376">
        <w:t>VicFleet</w:t>
      </w:r>
      <w:proofErr w:type="spellEnd"/>
      <w:r w:rsidR="00AC3376">
        <w:t xml:space="preserve">. This category is only available to </w:t>
      </w:r>
      <w:r>
        <w:t xml:space="preserve">Supreme Court judges, the Chief Judge of the County </w:t>
      </w:r>
      <w:proofErr w:type="gramStart"/>
      <w:r>
        <w:t>Court</w:t>
      </w:r>
      <w:proofErr w:type="gramEnd"/>
      <w:r>
        <w:t xml:space="preserve"> and the Chief Magistrate. </w:t>
      </w:r>
    </w:p>
    <w:p w14:paraId="105521EA" w14:textId="77777777" w:rsidR="009723CF" w:rsidRDefault="009723CF" w:rsidP="009723CF">
      <w:pPr>
        <w:pStyle w:val="Heading2"/>
      </w:pPr>
      <w:bookmarkStart w:id="67" w:name="_Toc41306075"/>
      <w:r>
        <w:t>Issues</w:t>
      </w:r>
      <w:bookmarkEnd w:id="67"/>
    </w:p>
    <w:p w14:paraId="1FDCD6AE" w14:textId="3DCA87E6" w:rsidR="009723CF" w:rsidRDefault="00DB3D49" w:rsidP="009723CF">
      <w:r>
        <w:t xml:space="preserve">The </w:t>
      </w:r>
      <w:proofErr w:type="spellStart"/>
      <w:r>
        <w:t>VicFleet</w:t>
      </w:r>
      <w:proofErr w:type="spellEnd"/>
      <w:r>
        <w:t xml:space="preserve"> car scheme provided to VPS executives requires the recipient to substantially contribute to the costs of the vehicle. In contrast, recipients of vehicles under the Judicial Car Scheme are only required to contribute $837 per annum to the cost of the vehicle.</w:t>
      </w:r>
    </w:p>
    <w:p w14:paraId="1DCC44B8" w14:textId="3EBC198F" w:rsidR="00DB3D49" w:rsidRDefault="00DB3D49" w:rsidP="009723CF">
      <w:pPr>
        <w:rPr>
          <w:lang w:eastAsia="en-US"/>
        </w:rPr>
      </w:pPr>
      <w:r>
        <w:rPr>
          <w:lang w:eastAsia="en-US"/>
        </w:rPr>
        <w:t xml:space="preserve">CSV raised concerns regarding the costing formula for the VPS executive car scheme. The costing formula was amended from 1 July 2019, which </w:t>
      </w:r>
      <w:r w:rsidR="00C84178">
        <w:rPr>
          <w:lang w:eastAsia="en-US"/>
        </w:rPr>
        <w:t>impacts</w:t>
      </w:r>
      <w:r>
        <w:rPr>
          <w:lang w:eastAsia="en-US"/>
        </w:rPr>
        <w:t xml:space="preserve"> </w:t>
      </w:r>
      <w:r w:rsidR="00C84178">
        <w:rPr>
          <w:lang w:eastAsia="en-US"/>
        </w:rPr>
        <w:t xml:space="preserve">judicial remuneration </w:t>
      </w:r>
      <w:r w:rsidR="00A979E4">
        <w:rPr>
          <w:lang w:eastAsia="en-US"/>
        </w:rPr>
        <w:t>and requires judicial officers to pay the applicable fringe benefits tax through payroll deductions.</w:t>
      </w:r>
      <w:r w:rsidR="00CF1AFC">
        <w:rPr>
          <w:lang w:eastAsia="en-US"/>
        </w:rPr>
        <w:t xml:space="preserve"> Magistrates’ car allowances and salaries have not been altered to reflect the changes in vehicle costs.</w:t>
      </w:r>
    </w:p>
    <w:p w14:paraId="4B6A402B" w14:textId="77777777" w:rsidR="00A979E4" w:rsidRDefault="00C84178" w:rsidP="009723CF">
      <w:pPr>
        <w:rPr>
          <w:lang w:eastAsia="en-US"/>
        </w:rPr>
      </w:pPr>
      <w:r>
        <w:rPr>
          <w:lang w:eastAsia="en-US"/>
        </w:rPr>
        <w:t xml:space="preserve">The Panel does not support granting magistrates and </w:t>
      </w:r>
      <w:proofErr w:type="gramStart"/>
      <w:r>
        <w:rPr>
          <w:lang w:eastAsia="en-US"/>
        </w:rPr>
        <w:t>coroners</w:t>
      </w:r>
      <w:proofErr w:type="gramEnd"/>
      <w:r>
        <w:rPr>
          <w:lang w:eastAsia="en-US"/>
        </w:rPr>
        <w:t xml:space="preserve"> access to the Judicial Car Scheme</w:t>
      </w:r>
      <w:r w:rsidR="00A979E4">
        <w:rPr>
          <w:lang w:eastAsia="en-US"/>
        </w:rPr>
        <w:t xml:space="preserve">, due to the significant financial cost and complexities involved in implementing such a reform. </w:t>
      </w:r>
    </w:p>
    <w:p w14:paraId="2B8EDF20" w14:textId="134FE57E" w:rsidR="00C84178" w:rsidRDefault="00A979E4" w:rsidP="009723CF">
      <w:pPr>
        <w:rPr>
          <w:lang w:eastAsia="en-US"/>
        </w:rPr>
      </w:pPr>
      <w:r>
        <w:rPr>
          <w:lang w:eastAsia="en-US"/>
        </w:rPr>
        <w:t>However, the Panel supports reviewing the car scheme available to magistrates and coroners, with a focus on whether changes to the VPS car scheme</w:t>
      </w:r>
      <w:r w:rsidR="00AC3376">
        <w:rPr>
          <w:lang w:eastAsia="en-US"/>
        </w:rPr>
        <w:t xml:space="preserve"> have</w:t>
      </w:r>
      <w:r>
        <w:rPr>
          <w:lang w:eastAsia="en-US"/>
        </w:rPr>
        <w:t xml:space="preserve"> resulted in increased costs for magistrates for which they are not being compensated.</w:t>
      </w:r>
    </w:p>
    <w:p w14:paraId="37CC2A12" w14:textId="7523DEFF" w:rsidR="00A979E4" w:rsidRDefault="00AC3376" w:rsidP="009723CF">
      <w:pPr>
        <w:rPr>
          <w:lang w:eastAsia="en-US"/>
        </w:rPr>
      </w:pPr>
      <w:r>
        <w:rPr>
          <w:lang w:eastAsia="en-US"/>
        </w:rPr>
        <w:t xml:space="preserve">The Panel strongly believes magistrates and coroners should have access to vehicles with the highest safety standards. </w:t>
      </w:r>
      <w:r w:rsidR="00CF1AFC">
        <w:rPr>
          <w:lang w:eastAsia="en-US"/>
        </w:rPr>
        <w:t xml:space="preserve">This is particularly important for magistrates who are required to drive long distances and in regional areas. </w:t>
      </w:r>
      <w:r>
        <w:rPr>
          <w:lang w:eastAsia="en-US"/>
        </w:rPr>
        <w:t xml:space="preserve">The Panel notes restrictions </w:t>
      </w:r>
      <w:r w:rsidRPr="00AC3376">
        <w:rPr>
          <w:lang w:eastAsia="en-US"/>
        </w:rPr>
        <w:t>on the categories of</w:t>
      </w:r>
      <w:r w:rsidR="00FA65F2">
        <w:rPr>
          <w:lang w:eastAsia="en-US"/>
        </w:rPr>
        <w:t>, and</w:t>
      </w:r>
      <w:r w:rsidRPr="00AC3376">
        <w:rPr>
          <w:lang w:eastAsia="en-US"/>
        </w:rPr>
        <w:t xml:space="preserve"> range of</w:t>
      </w:r>
      <w:r w:rsidR="00FA65F2">
        <w:rPr>
          <w:lang w:eastAsia="en-US"/>
        </w:rPr>
        <w:t xml:space="preserve"> cars</w:t>
      </w:r>
      <w:r w:rsidRPr="00AC3376">
        <w:rPr>
          <w:lang w:eastAsia="en-US"/>
        </w:rPr>
        <w:t xml:space="preserve"> judicial officers may access are due to current CSV</w:t>
      </w:r>
      <w:r>
        <w:rPr>
          <w:lang w:eastAsia="en-US"/>
        </w:rPr>
        <w:t xml:space="preserve"> (and previously, Department of Justice) policy, rather than the wording of the relevant entitlement certificate.</w:t>
      </w:r>
    </w:p>
    <w:tbl>
      <w:tblPr>
        <w:tblStyle w:val="TableGrid"/>
        <w:tblW w:w="0" w:type="auto"/>
        <w:tblInd w:w="0" w:type="dxa"/>
        <w:tblBorders>
          <w:top w:val="single" w:sz="12" w:space="0" w:color="0063A6"/>
          <w:left w:val="single" w:sz="12" w:space="0" w:color="0063A6"/>
          <w:bottom w:val="single" w:sz="12" w:space="0" w:color="0063A6"/>
          <w:right w:val="single" w:sz="12" w:space="0" w:color="0063A6"/>
          <w:insideH w:val="single" w:sz="12" w:space="0" w:color="0063A6"/>
          <w:insideV w:val="single" w:sz="12" w:space="0" w:color="0063A6"/>
        </w:tblBorders>
        <w:tblCellMar>
          <w:top w:w="113" w:type="dxa"/>
          <w:left w:w="113" w:type="dxa"/>
          <w:bottom w:w="113" w:type="dxa"/>
          <w:right w:w="113" w:type="dxa"/>
        </w:tblCellMar>
        <w:tblLook w:val="04A0" w:firstRow="1" w:lastRow="0" w:firstColumn="1" w:lastColumn="0" w:noHBand="0" w:noVBand="1"/>
      </w:tblPr>
      <w:tblGrid>
        <w:gridCol w:w="9608"/>
      </w:tblGrid>
      <w:tr w:rsidR="009723CF" w14:paraId="4693E7B6" w14:textId="77777777" w:rsidTr="00044F0F">
        <w:tc>
          <w:tcPr>
            <w:tcW w:w="9628" w:type="dxa"/>
          </w:tcPr>
          <w:p w14:paraId="76248715" w14:textId="66547BAB" w:rsidR="009723CF" w:rsidRPr="00707333" w:rsidRDefault="009723CF" w:rsidP="00044F0F">
            <w:pPr>
              <w:pStyle w:val="Heading3"/>
              <w:spacing w:before="0" w:after="0"/>
              <w:outlineLvl w:val="2"/>
            </w:pPr>
            <w:bookmarkStart w:id="68" w:name="_Toc41306076"/>
            <w:r>
              <w:rPr>
                <w:b w:val="0"/>
              </w:rPr>
              <w:lastRenderedPageBreak/>
              <w:t xml:space="preserve">Observation </w:t>
            </w:r>
            <w:r w:rsidR="00115667">
              <w:rPr>
                <w:b w:val="0"/>
              </w:rPr>
              <w:t>3</w:t>
            </w:r>
            <w:bookmarkEnd w:id="68"/>
          </w:p>
          <w:p w14:paraId="228EBD83" w14:textId="1775E563" w:rsidR="009723CF" w:rsidRDefault="00AC3376" w:rsidP="00044F0F">
            <w:pPr>
              <w:spacing w:after="60"/>
            </w:pPr>
            <w:r>
              <w:t xml:space="preserve">The Panel supports a review of the car scheme available to magistrates and coroners, with a focus on whether changes to </w:t>
            </w:r>
            <w:r w:rsidRPr="008744DF">
              <w:t xml:space="preserve">the </w:t>
            </w:r>
            <w:r w:rsidR="008744DF">
              <w:t>VPS car</w:t>
            </w:r>
            <w:r w:rsidR="008D2E97" w:rsidRPr="008744DF">
              <w:t xml:space="preserve"> </w:t>
            </w:r>
            <w:r w:rsidRPr="008744DF">
              <w:t>scheme result</w:t>
            </w:r>
            <w:r w:rsidR="008D2E97" w:rsidRPr="008744DF">
              <w:t>ed</w:t>
            </w:r>
            <w:r w:rsidRPr="008744DF">
              <w:t xml:space="preserve"> in increased costs for</w:t>
            </w:r>
            <w:r w:rsidR="008D2E97" w:rsidRPr="008744DF">
              <w:t xml:space="preserve"> these</w:t>
            </w:r>
            <w:r w:rsidRPr="008744DF">
              <w:t xml:space="preserve"> judicial officers for which they are not being compensated.</w:t>
            </w:r>
            <w:r w:rsidR="008D2E97" w:rsidRPr="008744DF">
              <w:t xml:space="preserve"> Any increase in the allowance arising from this review should be backdated to 1 July 2019 to ensure m</w:t>
            </w:r>
            <w:r w:rsidR="008D2E97" w:rsidRPr="00714D96">
              <w:t>agis</w:t>
            </w:r>
            <w:r w:rsidR="008D2E97" w:rsidRPr="00A749F7">
              <w:t>trates are not financially disadvantaged.</w:t>
            </w:r>
          </w:p>
          <w:p w14:paraId="725F2178" w14:textId="0C975F15" w:rsidR="00AC3376" w:rsidRDefault="00AC3376" w:rsidP="00044F0F">
            <w:pPr>
              <w:spacing w:after="60"/>
            </w:pPr>
            <w:r>
              <w:t xml:space="preserve">The Panel reinforces the need for magistrates and coroners to have access to vehicles with the highest safety standards. </w:t>
            </w:r>
          </w:p>
        </w:tc>
      </w:tr>
    </w:tbl>
    <w:p w14:paraId="332D1958" w14:textId="77777777" w:rsidR="009723CF" w:rsidRDefault="009723CF" w:rsidP="009723CF">
      <w:pPr>
        <w:autoSpaceDE/>
        <w:autoSpaceDN/>
        <w:adjustRightInd/>
        <w:spacing w:before="0" w:after="0"/>
      </w:pPr>
    </w:p>
    <w:p w14:paraId="28F9C5AA" w14:textId="60DE64F6" w:rsidR="00123448" w:rsidRPr="00A269DF" w:rsidRDefault="00123448">
      <w:pPr>
        <w:autoSpaceDE/>
        <w:autoSpaceDN/>
        <w:adjustRightInd/>
        <w:spacing w:before="0" w:after="0"/>
      </w:pPr>
      <w:r>
        <w:br w:type="page"/>
      </w:r>
    </w:p>
    <w:p w14:paraId="77D37E22" w14:textId="7AC31496" w:rsidR="00171893" w:rsidRDefault="005F3A9E" w:rsidP="00785B93">
      <w:pPr>
        <w:pStyle w:val="Heading1"/>
      </w:pPr>
      <w:bookmarkStart w:id="69" w:name="_Toc41306077"/>
      <w:r>
        <w:lastRenderedPageBreak/>
        <w:t xml:space="preserve">Table of </w:t>
      </w:r>
      <w:r w:rsidR="004A3070">
        <w:t>rejected</w:t>
      </w:r>
      <w:r w:rsidR="003747D1">
        <w:t xml:space="preserve"> proposals</w:t>
      </w:r>
      <w:bookmarkEnd w:id="55"/>
      <w:bookmarkEnd w:id="69"/>
    </w:p>
    <w:p w14:paraId="6F95F49D" w14:textId="7A1724CF" w:rsidR="005F3A9E" w:rsidRDefault="00272166" w:rsidP="009F0764">
      <w:r>
        <w:t>Under section 32 of the JE Act, if the Panel decides not to make an own motion recommendation on a subject in relation to which it has invited submissions, the Panel must give its reasons for not making the recommendation. This section of the report is made in accordance with the requirement under section 32 of the JE Act.</w:t>
      </w:r>
    </w:p>
    <w:p w14:paraId="612CE47E" w14:textId="6B964B51" w:rsidR="00996C72" w:rsidRDefault="005B52B7" w:rsidP="009F0764">
      <w:r>
        <w:t>The Panel advised the heads of jurisdiction it would not be revisiting conditions of service addressed in previous reports</w:t>
      </w:r>
      <w:r w:rsidR="00A342AA">
        <w:t xml:space="preserve">. </w:t>
      </w:r>
      <w:r w:rsidR="00E62715">
        <w:t>As such, except in limited circumstances,</w:t>
      </w:r>
      <w:r w:rsidR="00E526ED">
        <w:t xml:space="preserve"> proposals that had been previously considered were rejected.</w:t>
      </w:r>
    </w:p>
    <w:tbl>
      <w:tblPr>
        <w:tblW w:w="5056" w:type="pct"/>
        <w:shd w:val="clear" w:color="auto" w:fill="FFFFFF"/>
        <w:tblLayout w:type="fixed"/>
        <w:tblCellMar>
          <w:top w:w="57" w:type="dxa"/>
          <w:bottom w:w="57" w:type="dxa"/>
        </w:tblCellMar>
        <w:tblLook w:val="01E0" w:firstRow="1" w:lastRow="1" w:firstColumn="1" w:lastColumn="1" w:noHBand="0" w:noVBand="0"/>
      </w:tblPr>
      <w:tblGrid>
        <w:gridCol w:w="2552"/>
        <w:gridCol w:w="567"/>
        <w:gridCol w:w="6627"/>
      </w:tblGrid>
      <w:tr w:rsidR="00923867" w:rsidRPr="005F3A9E" w14:paraId="125B4924" w14:textId="77777777" w:rsidTr="009C7290">
        <w:trPr>
          <w:trHeight w:val="147"/>
          <w:tblHeader/>
        </w:trPr>
        <w:tc>
          <w:tcPr>
            <w:tcW w:w="5000" w:type="pct"/>
            <w:gridSpan w:val="3"/>
            <w:shd w:val="clear" w:color="auto" w:fill="0063A6"/>
          </w:tcPr>
          <w:p w14:paraId="45F63BA7" w14:textId="407CCF74" w:rsidR="00923867" w:rsidRPr="00ED1E19" w:rsidRDefault="00923867" w:rsidP="00ED1E19">
            <w:pPr>
              <w:pStyle w:val="Heading5"/>
            </w:pPr>
            <w:r>
              <w:t>All jurisdictions</w:t>
            </w:r>
          </w:p>
        </w:tc>
      </w:tr>
      <w:tr w:rsidR="00D60A81" w:rsidRPr="005F3A9E" w14:paraId="68E5ED16" w14:textId="77777777" w:rsidTr="006B1E4F">
        <w:trPr>
          <w:trHeight w:val="84"/>
          <w:tblHeader/>
        </w:trPr>
        <w:tc>
          <w:tcPr>
            <w:tcW w:w="1600" w:type="pct"/>
            <w:gridSpan w:val="2"/>
            <w:tcBorders>
              <w:top w:val="single" w:sz="4" w:space="0" w:color="4472C4" w:themeColor="accent5"/>
            </w:tcBorders>
            <w:shd w:val="clear" w:color="auto" w:fill="auto"/>
          </w:tcPr>
          <w:p w14:paraId="68AA518F" w14:textId="437D3F31" w:rsidR="00D60A81" w:rsidRPr="00DA6A6E" w:rsidRDefault="006B1E4F" w:rsidP="009C7290">
            <w:pPr>
              <w:pStyle w:val="TableText"/>
              <w:spacing w:before="0" w:after="0"/>
              <w:rPr>
                <w:color w:val="0063A6"/>
              </w:rPr>
            </w:pPr>
            <w:r w:rsidRPr="00ED1E19">
              <w:rPr>
                <w:b/>
                <w:color w:val="0063A6"/>
                <w:sz w:val="20"/>
                <w:szCs w:val="20"/>
              </w:rPr>
              <w:t>Biennial health assessment</w:t>
            </w:r>
          </w:p>
        </w:tc>
        <w:tc>
          <w:tcPr>
            <w:tcW w:w="3400" w:type="pct"/>
            <w:tcBorders>
              <w:top w:val="single" w:sz="4" w:space="0" w:color="4472C4" w:themeColor="accent5"/>
            </w:tcBorders>
            <w:shd w:val="clear" w:color="auto" w:fill="auto"/>
          </w:tcPr>
          <w:p w14:paraId="6907BCE1" w14:textId="77777777" w:rsidR="00D60A81" w:rsidRPr="009C7290" w:rsidRDefault="00D60A81" w:rsidP="009C7290">
            <w:pPr>
              <w:pStyle w:val="TableText"/>
              <w:spacing w:before="0" w:after="0"/>
              <w:rPr>
                <w:sz w:val="20"/>
                <w:szCs w:val="20"/>
              </w:rPr>
            </w:pPr>
          </w:p>
        </w:tc>
      </w:tr>
      <w:tr w:rsidR="006B1E4F" w:rsidRPr="005F3A9E" w14:paraId="74DCC3E1" w14:textId="77777777" w:rsidTr="009C7290">
        <w:trPr>
          <w:trHeight w:val="84"/>
          <w:tblHeader/>
        </w:trPr>
        <w:tc>
          <w:tcPr>
            <w:tcW w:w="1309" w:type="pct"/>
            <w:shd w:val="clear" w:color="auto" w:fill="auto"/>
          </w:tcPr>
          <w:p w14:paraId="60A19D0D" w14:textId="7D50F0CB" w:rsidR="006B1E4F" w:rsidRPr="00256B34" w:rsidRDefault="006B1E4F" w:rsidP="006B1E4F">
            <w:pPr>
              <w:pStyle w:val="TableText"/>
              <w:spacing w:before="0" w:after="0"/>
              <w:rPr>
                <w:b/>
                <w:color w:val="0063A6"/>
                <w:sz w:val="20"/>
                <w:szCs w:val="20"/>
              </w:rPr>
            </w:pPr>
            <w:r w:rsidRPr="00DA6A6E">
              <w:rPr>
                <w:color w:val="0063A6"/>
              </w:rPr>
              <w:t>Current entitlement / Issue</w:t>
            </w:r>
          </w:p>
        </w:tc>
        <w:tc>
          <w:tcPr>
            <w:tcW w:w="3691" w:type="pct"/>
            <w:gridSpan w:val="2"/>
            <w:shd w:val="clear" w:color="auto" w:fill="auto"/>
          </w:tcPr>
          <w:p w14:paraId="4EEB6956" w14:textId="6CD69F4C" w:rsidR="006B1E4F" w:rsidRPr="005F3A9E" w:rsidRDefault="006B1E4F" w:rsidP="006B1E4F">
            <w:pPr>
              <w:spacing w:before="0" w:after="0"/>
              <w:rPr>
                <w:rFonts w:eastAsia="Times New Roman"/>
                <w:sz w:val="20"/>
                <w:szCs w:val="20"/>
                <w:lang w:eastAsia="en-US"/>
              </w:rPr>
            </w:pPr>
            <w:r w:rsidRPr="005F3A9E">
              <w:rPr>
                <w:rFonts w:eastAsia="Times New Roman"/>
                <w:sz w:val="20"/>
                <w:szCs w:val="20"/>
                <w:lang w:eastAsia="en-US"/>
              </w:rPr>
              <w:t>A judicial officer is entitled to a medical assessment once every two years, up to a value of $1,000 per assessment. The value of the entitlement is adjusted annually in accordance with the increases in the Melbourne All Groups consumer price index</w:t>
            </w:r>
            <w:r w:rsidR="00F36531">
              <w:rPr>
                <w:rFonts w:eastAsia="Times New Roman"/>
                <w:sz w:val="20"/>
                <w:szCs w:val="20"/>
                <w:lang w:eastAsia="en-US"/>
              </w:rPr>
              <w:t xml:space="preserve"> (CPI)</w:t>
            </w:r>
            <w:r w:rsidRPr="005F3A9E">
              <w:rPr>
                <w:rFonts w:eastAsia="Times New Roman"/>
                <w:sz w:val="20"/>
                <w:szCs w:val="20"/>
                <w:lang w:eastAsia="en-US"/>
              </w:rPr>
              <w:t>.</w:t>
            </w:r>
          </w:p>
          <w:p w14:paraId="3312D75C" w14:textId="5D25C115" w:rsidR="006B1E4F" w:rsidRPr="009C7290" w:rsidRDefault="006B1E4F" w:rsidP="006B1E4F">
            <w:pPr>
              <w:pStyle w:val="TableText"/>
              <w:spacing w:before="0" w:after="0"/>
              <w:rPr>
                <w:sz w:val="20"/>
                <w:szCs w:val="20"/>
              </w:rPr>
            </w:pPr>
            <w:r w:rsidRPr="005F3A9E">
              <w:rPr>
                <w:sz w:val="20"/>
                <w:szCs w:val="20"/>
              </w:rPr>
              <w:t xml:space="preserve">Medical assessment for the purposes of the certificate means a comprehensive medical assessment conducted by a service provider engaged by </w:t>
            </w:r>
            <w:r w:rsidR="00F1043F">
              <w:rPr>
                <w:sz w:val="20"/>
                <w:szCs w:val="20"/>
              </w:rPr>
              <w:t>CSV</w:t>
            </w:r>
            <w:r w:rsidRPr="005F3A9E">
              <w:rPr>
                <w:sz w:val="20"/>
                <w:szCs w:val="20"/>
              </w:rPr>
              <w:t>, whose assessment is confidential to the judicial officer.</w:t>
            </w:r>
          </w:p>
        </w:tc>
      </w:tr>
      <w:tr w:rsidR="006B1E4F" w:rsidRPr="005F3A9E" w14:paraId="6D8D007B" w14:textId="77777777" w:rsidTr="009C7290">
        <w:trPr>
          <w:trHeight w:val="84"/>
          <w:tblHeader/>
        </w:trPr>
        <w:tc>
          <w:tcPr>
            <w:tcW w:w="1309" w:type="pct"/>
            <w:shd w:val="clear" w:color="auto" w:fill="auto"/>
          </w:tcPr>
          <w:p w14:paraId="5B289CE5" w14:textId="29251677" w:rsidR="006B1E4F" w:rsidRPr="00DA6A6E" w:rsidRDefault="006B1E4F" w:rsidP="006B1E4F">
            <w:pPr>
              <w:pStyle w:val="TableText"/>
              <w:spacing w:before="0" w:after="0"/>
              <w:rPr>
                <w:color w:val="0063A6"/>
              </w:rPr>
            </w:pPr>
            <w:r w:rsidRPr="00DA6A6E">
              <w:rPr>
                <w:color w:val="0063A6"/>
              </w:rPr>
              <w:t>Submission</w:t>
            </w:r>
          </w:p>
        </w:tc>
        <w:tc>
          <w:tcPr>
            <w:tcW w:w="3691" w:type="pct"/>
            <w:gridSpan w:val="2"/>
            <w:shd w:val="clear" w:color="auto" w:fill="auto"/>
          </w:tcPr>
          <w:p w14:paraId="1A720BE0" w14:textId="29E4EB41" w:rsidR="005F2F2D" w:rsidRDefault="005F2F2D" w:rsidP="006B1E4F">
            <w:pPr>
              <w:pStyle w:val="TableText"/>
              <w:spacing w:before="0" w:after="0"/>
              <w:rPr>
                <w:sz w:val="20"/>
                <w:szCs w:val="20"/>
              </w:rPr>
            </w:pPr>
            <w:r>
              <w:rPr>
                <w:sz w:val="20"/>
                <w:szCs w:val="20"/>
              </w:rPr>
              <w:t xml:space="preserve">The Supreme Court and Magistrates’ Court </w:t>
            </w:r>
            <w:r w:rsidR="00F1043F">
              <w:rPr>
                <w:sz w:val="20"/>
                <w:szCs w:val="20"/>
              </w:rPr>
              <w:t>proposed changes to the health assessment entitlement.</w:t>
            </w:r>
          </w:p>
          <w:p w14:paraId="11097A10" w14:textId="70218C03" w:rsidR="00F1043F" w:rsidRPr="00BB5B55" w:rsidRDefault="00F1043F" w:rsidP="00956138">
            <w:pPr>
              <w:pStyle w:val="TableText"/>
              <w:numPr>
                <w:ilvl w:val="0"/>
                <w:numId w:val="26"/>
              </w:numPr>
              <w:spacing w:before="0" w:after="0"/>
              <w:rPr>
                <w:sz w:val="20"/>
                <w:szCs w:val="20"/>
              </w:rPr>
            </w:pPr>
            <w:r>
              <w:rPr>
                <w:sz w:val="20"/>
                <w:szCs w:val="20"/>
              </w:rPr>
              <w:t>The Supreme Court submitted more judicial officers would utilise the entitlement if any medical practitioner could complete the assessment, rather than practitioners engaged by CSV</w:t>
            </w:r>
            <w:r w:rsidR="009E29F3" w:rsidRPr="00BB5B55">
              <w:rPr>
                <w:sz w:val="20"/>
                <w:szCs w:val="20"/>
              </w:rPr>
              <w:t xml:space="preserve">. </w:t>
            </w:r>
          </w:p>
          <w:p w14:paraId="2D34DAC2" w14:textId="77777777" w:rsidR="006B1E4F" w:rsidRDefault="006B1E4F" w:rsidP="00956138">
            <w:pPr>
              <w:pStyle w:val="TableText"/>
              <w:numPr>
                <w:ilvl w:val="0"/>
                <w:numId w:val="26"/>
              </w:numPr>
              <w:spacing w:before="0" w:after="0"/>
              <w:rPr>
                <w:sz w:val="20"/>
                <w:szCs w:val="20"/>
              </w:rPr>
            </w:pPr>
            <w:r w:rsidRPr="00F1043F">
              <w:rPr>
                <w:sz w:val="20"/>
                <w:szCs w:val="20"/>
              </w:rPr>
              <w:t>The Magistrates’ Court</w:t>
            </w:r>
            <w:r w:rsidR="00BB5B55">
              <w:rPr>
                <w:sz w:val="20"/>
                <w:szCs w:val="20"/>
              </w:rPr>
              <w:t xml:space="preserve"> proposed magistrates be able to undergo an equivalent medical assessment from alternative providers if magistrates raise privacy or confidentiality concerns. </w:t>
            </w:r>
          </w:p>
          <w:p w14:paraId="669EA783" w14:textId="6F8D36D6" w:rsidR="00BB5B55" w:rsidRDefault="00BB5B55" w:rsidP="00956138">
            <w:pPr>
              <w:pStyle w:val="TableText"/>
              <w:numPr>
                <w:ilvl w:val="0"/>
                <w:numId w:val="26"/>
              </w:numPr>
              <w:spacing w:before="0" w:after="0"/>
              <w:rPr>
                <w:sz w:val="20"/>
                <w:szCs w:val="20"/>
              </w:rPr>
            </w:pPr>
            <w:r>
              <w:rPr>
                <w:sz w:val="20"/>
                <w:szCs w:val="20"/>
              </w:rPr>
              <w:t>The Supreme and Magistrates’ Courts noted the ability for regional magistrates to access the entitlement was limited, as Epworth HealthCare, CSV’s chosen medical provider, is centred in Melbourne.</w:t>
            </w:r>
          </w:p>
          <w:p w14:paraId="4017D682" w14:textId="40BB68BC" w:rsidR="00BB5B55" w:rsidRPr="002D3CAF" w:rsidRDefault="00BB5B55" w:rsidP="00956138">
            <w:pPr>
              <w:pStyle w:val="TableText"/>
              <w:numPr>
                <w:ilvl w:val="0"/>
                <w:numId w:val="26"/>
              </w:numPr>
              <w:spacing w:before="0" w:after="0"/>
              <w:rPr>
                <w:sz w:val="20"/>
                <w:szCs w:val="20"/>
              </w:rPr>
            </w:pPr>
            <w:r>
              <w:rPr>
                <w:sz w:val="20"/>
                <w:szCs w:val="20"/>
              </w:rPr>
              <w:t>The Magistrates’ Court proposed the entitlement be increased to $1,500 per assessment</w:t>
            </w:r>
            <w:r w:rsidR="00A43157">
              <w:rPr>
                <w:sz w:val="20"/>
                <w:szCs w:val="20"/>
              </w:rPr>
              <w:t xml:space="preserve">, indexed </w:t>
            </w:r>
            <w:r w:rsidR="00F36531">
              <w:rPr>
                <w:sz w:val="20"/>
                <w:szCs w:val="20"/>
              </w:rPr>
              <w:t>to prevent devaluation</w:t>
            </w:r>
            <w:r w:rsidR="00A43157">
              <w:rPr>
                <w:sz w:val="20"/>
                <w:szCs w:val="20"/>
              </w:rPr>
              <w:t xml:space="preserve">. </w:t>
            </w:r>
          </w:p>
        </w:tc>
      </w:tr>
      <w:tr w:rsidR="006B1E4F" w:rsidRPr="005F3A9E" w14:paraId="577C2A73" w14:textId="77777777" w:rsidTr="009C7290">
        <w:trPr>
          <w:trHeight w:val="84"/>
          <w:tblHeader/>
        </w:trPr>
        <w:tc>
          <w:tcPr>
            <w:tcW w:w="1309" w:type="pct"/>
            <w:shd w:val="clear" w:color="auto" w:fill="auto"/>
          </w:tcPr>
          <w:p w14:paraId="654D8EBD" w14:textId="1338D71D" w:rsidR="006B1E4F" w:rsidRPr="00DA6A6E" w:rsidRDefault="006B1E4F" w:rsidP="006B1E4F">
            <w:pPr>
              <w:pStyle w:val="TableText"/>
              <w:spacing w:before="0" w:after="0"/>
              <w:rPr>
                <w:color w:val="0063A6"/>
              </w:rPr>
            </w:pPr>
            <w:r w:rsidRPr="00DA6A6E">
              <w:rPr>
                <w:color w:val="0063A6"/>
              </w:rPr>
              <w:t>Comment and determination</w:t>
            </w:r>
          </w:p>
        </w:tc>
        <w:tc>
          <w:tcPr>
            <w:tcW w:w="3691" w:type="pct"/>
            <w:gridSpan w:val="2"/>
            <w:shd w:val="clear" w:color="auto" w:fill="auto"/>
          </w:tcPr>
          <w:p w14:paraId="1D2AE8D4" w14:textId="2B14CA1A" w:rsidR="002D3CAF" w:rsidRDefault="002D3CAF" w:rsidP="002D3CAF">
            <w:pPr>
              <w:pStyle w:val="TableText"/>
              <w:spacing w:before="0" w:after="0"/>
              <w:rPr>
                <w:sz w:val="20"/>
                <w:szCs w:val="20"/>
              </w:rPr>
            </w:pPr>
            <w:r>
              <w:rPr>
                <w:sz w:val="20"/>
                <w:szCs w:val="20"/>
              </w:rPr>
              <w:t xml:space="preserve">The Panel does not agree with the submissions of the Supreme and Magistrates’ Courts. Notwithstanding, the Panel supports ensuring regional magistrates </w:t>
            </w:r>
            <w:r w:rsidR="00A24795">
              <w:rPr>
                <w:sz w:val="20"/>
                <w:szCs w:val="20"/>
              </w:rPr>
              <w:t>have access to</w:t>
            </w:r>
            <w:r>
              <w:rPr>
                <w:sz w:val="20"/>
                <w:szCs w:val="20"/>
              </w:rPr>
              <w:t xml:space="preserve"> services engaged by CSV. </w:t>
            </w:r>
          </w:p>
          <w:p w14:paraId="74E0D7D8" w14:textId="549EAE84" w:rsidR="002D3CAF" w:rsidRDefault="002D3CAF" w:rsidP="002D3CAF">
            <w:pPr>
              <w:pStyle w:val="TableText"/>
              <w:spacing w:before="0" w:after="0"/>
              <w:rPr>
                <w:sz w:val="20"/>
                <w:szCs w:val="20"/>
              </w:rPr>
            </w:pPr>
            <w:r>
              <w:rPr>
                <w:sz w:val="20"/>
                <w:szCs w:val="20"/>
              </w:rPr>
              <w:t xml:space="preserve">The current entitlement ensures the allowance is used effectively, as medical practitioners engaged by CSV have specific expertise in undertaking medical assessments. Moreover, if a judicial officer </w:t>
            </w:r>
            <w:proofErr w:type="gramStart"/>
            <w:r>
              <w:rPr>
                <w:sz w:val="20"/>
                <w:szCs w:val="20"/>
              </w:rPr>
              <w:t>is able to</w:t>
            </w:r>
            <w:proofErr w:type="gramEnd"/>
            <w:r>
              <w:rPr>
                <w:sz w:val="20"/>
                <w:szCs w:val="20"/>
              </w:rPr>
              <w:t xml:space="preserve"> choose their own providers, the personal relationship between the practitioner and the judicial officer may affect the opinion of the practitioner. </w:t>
            </w:r>
          </w:p>
          <w:p w14:paraId="6699EC8C" w14:textId="3830F1D4" w:rsidR="002D3CAF" w:rsidRDefault="002D3CAF" w:rsidP="002D3CAF">
            <w:pPr>
              <w:pStyle w:val="TableText"/>
              <w:spacing w:before="0" w:after="0"/>
              <w:rPr>
                <w:sz w:val="20"/>
                <w:szCs w:val="20"/>
              </w:rPr>
            </w:pPr>
            <w:r>
              <w:rPr>
                <w:sz w:val="20"/>
                <w:szCs w:val="20"/>
              </w:rPr>
              <w:t>The Panel does not perceive any privacy or confidentiality issues with the current arrangements</w:t>
            </w:r>
            <w:r w:rsidR="00BD5777">
              <w:rPr>
                <w:sz w:val="20"/>
                <w:szCs w:val="20"/>
              </w:rPr>
              <w:t xml:space="preserve">. The medical assessments are provided to judicial officers’ own general </w:t>
            </w:r>
            <w:proofErr w:type="gramStart"/>
            <w:r w:rsidR="00BD5777">
              <w:rPr>
                <w:sz w:val="20"/>
                <w:szCs w:val="20"/>
              </w:rPr>
              <w:t>practitioners, and</w:t>
            </w:r>
            <w:proofErr w:type="gramEnd"/>
            <w:r w:rsidR="00BD5777">
              <w:rPr>
                <w:sz w:val="20"/>
                <w:szCs w:val="20"/>
              </w:rPr>
              <w:t xml:space="preserve"> are covered by the doctor-patient confidentiality protections in statute and the common law. </w:t>
            </w:r>
          </w:p>
          <w:p w14:paraId="6B69DE25" w14:textId="56FD6EE5" w:rsidR="006B1E4F" w:rsidRPr="009C7290" w:rsidRDefault="002D3CAF" w:rsidP="002D3CAF">
            <w:pPr>
              <w:pStyle w:val="TableText"/>
              <w:spacing w:before="0" w:after="0"/>
              <w:rPr>
                <w:sz w:val="20"/>
                <w:szCs w:val="20"/>
              </w:rPr>
            </w:pPr>
            <w:r>
              <w:rPr>
                <w:sz w:val="20"/>
                <w:szCs w:val="20"/>
              </w:rPr>
              <w:t xml:space="preserve">The Panel considered </w:t>
            </w:r>
            <w:r w:rsidR="005373D8">
              <w:rPr>
                <w:sz w:val="20"/>
                <w:szCs w:val="20"/>
              </w:rPr>
              <w:t xml:space="preserve">and did not accept </w:t>
            </w:r>
            <w:r w:rsidR="004B30A8">
              <w:rPr>
                <w:sz w:val="20"/>
                <w:szCs w:val="20"/>
              </w:rPr>
              <w:t>the Magistrates’ Court’s submission</w:t>
            </w:r>
            <w:r>
              <w:rPr>
                <w:sz w:val="20"/>
                <w:szCs w:val="20"/>
              </w:rPr>
              <w:t xml:space="preserve"> to increase the value of the current health assessment in 2018</w:t>
            </w:r>
            <w:r w:rsidR="004B30A8">
              <w:rPr>
                <w:sz w:val="20"/>
                <w:szCs w:val="20"/>
              </w:rPr>
              <w:t xml:space="preserve">. </w:t>
            </w:r>
            <w:r w:rsidR="00DB126D">
              <w:rPr>
                <w:sz w:val="20"/>
                <w:szCs w:val="20"/>
              </w:rPr>
              <w:t xml:space="preserve">The Panel’s research </w:t>
            </w:r>
            <w:r w:rsidR="006B1E4F" w:rsidRPr="005F3A9E">
              <w:rPr>
                <w:sz w:val="20"/>
                <w:szCs w:val="20"/>
              </w:rPr>
              <w:t xml:space="preserve">indicated a comprehensive health assessment can be obtained for the amount provided under the current </w:t>
            </w:r>
            <w:r>
              <w:rPr>
                <w:sz w:val="20"/>
                <w:szCs w:val="20"/>
              </w:rPr>
              <w:t>entitlement</w:t>
            </w:r>
            <w:r w:rsidR="00DB126D">
              <w:rPr>
                <w:sz w:val="20"/>
                <w:szCs w:val="20"/>
              </w:rPr>
              <w:t xml:space="preserve">. </w:t>
            </w:r>
            <w:r w:rsidR="00F36531">
              <w:rPr>
                <w:sz w:val="20"/>
                <w:szCs w:val="20"/>
              </w:rPr>
              <w:t>In the absence of compelling evidence</w:t>
            </w:r>
            <w:r w:rsidR="00546C51">
              <w:rPr>
                <w:sz w:val="20"/>
                <w:szCs w:val="20"/>
              </w:rPr>
              <w:t xml:space="preserve"> demonstrating</w:t>
            </w:r>
            <w:r w:rsidR="00F36531">
              <w:rPr>
                <w:sz w:val="20"/>
                <w:szCs w:val="20"/>
              </w:rPr>
              <w:t xml:space="preserve"> the current entitlement is insufficient, and noting the</w:t>
            </w:r>
            <w:r w:rsidR="00DB126D">
              <w:rPr>
                <w:sz w:val="20"/>
                <w:szCs w:val="20"/>
              </w:rPr>
              <w:t xml:space="preserve"> entitlement is indexed</w:t>
            </w:r>
            <w:r w:rsidR="00F36531">
              <w:rPr>
                <w:sz w:val="20"/>
                <w:szCs w:val="20"/>
              </w:rPr>
              <w:t xml:space="preserve"> for CPI, </w:t>
            </w:r>
            <w:r w:rsidR="00DB126D">
              <w:rPr>
                <w:sz w:val="20"/>
                <w:szCs w:val="20"/>
              </w:rPr>
              <w:t>the Panel</w:t>
            </w:r>
            <w:r w:rsidR="00F36531">
              <w:rPr>
                <w:sz w:val="20"/>
                <w:szCs w:val="20"/>
              </w:rPr>
              <w:t xml:space="preserve"> </w:t>
            </w:r>
            <w:r w:rsidR="00DB126D">
              <w:rPr>
                <w:sz w:val="20"/>
                <w:szCs w:val="20"/>
              </w:rPr>
              <w:t>rejects this proposal</w:t>
            </w:r>
            <w:r w:rsidR="00F36531">
              <w:rPr>
                <w:sz w:val="20"/>
                <w:szCs w:val="20"/>
              </w:rPr>
              <w:t xml:space="preserve"> again</w:t>
            </w:r>
            <w:r w:rsidR="00DB126D">
              <w:rPr>
                <w:sz w:val="20"/>
                <w:szCs w:val="20"/>
              </w:rPr>
              <w:t xml:space="preserve">. </w:t>
            </w:r>
          </w:p>
        </w:tc>
      </w:tr>
    </w:tbl>
    <w:p w14:paraId="39FF3804" w14:textId="73B16BFA" w:rsidR="00ED1E19" w:rsidRDefault="00ED1E19" w:rsidP="00F36531">
      <w:pPr>
        <w:autoSpaceDE/>
        <w:autoSpaceDN/>
        <w:adjustRightInd/>
        <w:spacing w:before="0" w:after="0"/>
      </w:pPr>
    </w:p>
    <w:tbl>
      <w:tblPr>
        <w:tblW w:w="5056" w:type="pct"/>
        <w:tblBorders>
          <w:top w:val="single" w:sz="4" w:space="0" w:color="666366"/>
          <w:bottom w:val="single" w:sz="4" w:space="0" w:color="666366"/>
          <w:insideH w:val="single" w:sz="2" w:space="0" w:color="C0C0C0"/>
        </w:tblBorders>
        <w:shd w:val="clear" w:color="auto" w:fill="FFFFFF"/>
        <w:tblLayout w:type="fixed"/>
        <w:tblCellMar>
          <w:top w:w="57" w:type="dxa"/>
          <w:bottom w:w="57" w:type="dxa"/>
        </w:tblCellMar>
        <w:tblLook w:val="01E0" w:firstRow="1" w:lastRow="1" w:firstColumn="1" w:lastColumn="1" w:noHBand="0" w:noVBand="0"/>
      </w:tblPr>
      <w:tblGrid>
        <w:gridCol w:w="2552"/>
        <w:gridCol w:w="4678"/>
        <w:gridCol w:w="2516"/>
      </w:tblGrid>
      <w:tr w:rsidR="00A545BE" w:rsidRPr="00A545BE" w14:paraId="7E20AE8A" w14:textId="77777777" w:rsidTr="00221633">
        <w:trPr>
          <w:trHeight w:val="195"/>
          <w:tblHeader/>
        </w:trPr>
        <w:tc>
          <w:tcPr>
            <w:tcW w:w="5000" w:type="pct"/>
            <w:gridSpan w:val="3"/>
            <w:tcBorders>
              <w:top w:val="single" w:sz="2" w:space="0" w:color="0063A6"/>
              <w:left w:val="nil"/>
              <w:bottom w:val="nil"/>
            </w:tcBorders>
            <w:shd w:val="clear" w:color="auto" w:fill="0063A6"/>
          </w:tcPr>
          <w:p w14:paraId="11E0F4EC" w14:textId="77777777" w:rsidR="00A545BE" w:rsidRPr="00A545BE" w:rsidRDefault="00A545BE" w:rsidP="00ED1E19">
            <w:pPr>
              <w:pStyle w:val="Heading5"/>
            </w:pPr>
            <w:r w:rsidRPr="00A545BE">
              <w:lastRenderedPageBreak/>
              <w:t>Magistrates’ Court</w:t>
            </w:r>
          </w:p>
        </w:tc>
      </w:tr>
      <w:tr w:rsidR="00A545BE" w:rsidRPr="005F3A9E" w14:paraId="3CB6A5E4" w14:textId="77777777" w:rsidTr="00221633">
        <w:trPr>
          <w:trHeight w:val="193"/>
        </w:trPr>
        <w:tc>
          <w:tcPr>
            <w:tcW w:w="5000" w:type="pct"/>
            <w:gridSpan w:val="3"/>
            <w:tcBorders>
              <w:top w:val="single" w:sz="4" w:space="0" w:color="0063A6"/>
              <w:left w:val="nil"/>
              <w:bottom w:val="nil"/>
            </w:tcBorders>
            <w:shd w:val="clear" w:color="auto" w:fill="FFFFFF"/>
          </w:tcPr>
          <w:p w14:paraId="0AB78003" w14:textId="226FBF13" w:rsidR="00A545BE" w:rsidRPr="00A545BE" w:rsidRDefault="00777234" w:rsidP="007940DE">
            <w:pPr>
              <w:pStyle w:val="TableText"/>
              <w:spacing w:before="60" w:after="60"/>
              <w:rPr>
                <w:b/>
                <w:sz w:val="20"/>
                <w:szCs w:val="20"/>
              </w:rPr>
            </w:pPr>
            <w:r>
              <w:rPr>
                <w:b/>
                <w:color w:val="0063A6"/>
                <w:sz w:val="20"/>
                <w:szCs w:val="20"/>
              </w:rPr>
              <w:t>Long Service</w:t>
            </w:r>
            <w:r w:rsidR="00A545BE" w:rsidRPr="00ED1E19">
              <w:rPr>
                <w:b/>
                <w:color w:val="0063A6"/>
                <w:sz w:val="20"/>
                <w:szCs w:val="20"/>
              </w:rPr>
              <w:t xml:space="preserve"> Leave</w:t>
            </w:r>
          </w:p>
        </w:tc>
      </w:tr>
      <w:tr w:rsidR="00177AC6" w:rsidRPr="005F3A9E" w14:paraId="77B390BF" w14:textId="77777777" w:rsidTr="00D84D61">
        <w:trPr>
          <w:trHeight w:val="758"/>
        </w:trPr>
        <w:tc>
          <w:tcPr>
            <w:tcW w:w="1309" w:type="pct"/>
            <w:tcBorders>
              <w:top w:val="nil"/>
              <w:left w:val="nil"/>
              <w:bottom w:val="nil"/>
              <w:right w:val="nil"/>
            </w:tcBorders>
            <w:shd w:val="clear" w:color="auto" w:fill="FFFFFF"/>
          </w:tcPr>
          <w:p w14:paraId="0DC410ED" w14:textId="7A70CA66" w:rsidR="00177AC6" w:rsidRPr="00DA6A6E" w:rsidRDefault="00177AC6" w:rsidP="00177AC6">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2357BB27" w14:textId="5D3B9AEA" w:rsidR="00177AC6" w:rsidRPr="00777234" w:rsidRDefault="00177AC6" w:rsidP="00177AC6">
            <w:pPr>
              <w:pStyle w:val="TableText"/>
              <w:spacing w:before="0" w:after="0"/>
              <w:rPr>
                <w:sz w:val="20"/>
                <w:szCs w:val="20"/>
              </w:rPr>
            </w:pPr>
            <w:r w:rsidRPr="005F3A9E">
              <w:rPr>
                <w:sz w:val="20"/>
                <w:szCs w:val="20"/>
              </w:rPr>
              <w:t>Magistrates are entitled to three months long service le</w:t>
            </w:r>
            <w:r>
              <w:rPr>
                <w:sz w:val="20"/>
                <w:szCs w:val="20"/>
              </w:rPr>
              <w:t>ave after ten years of service</w:t>
            </w:r>
            <w:r w:rsidR="00777234">
              <w:rPr>
                <w:sz w:val="20"/>
                <w:szCs w:val="20"/>
              </w:rPr>
              <w:t xml:space="preserve">. Magistrates accrue and may access their long service entitlement on a </w:t>
            </w:r>
            <w:r w:rsidR="00777234">
              <w:rPr>
                <w:i/>
                <w:sz w:val="20"/>
                <w:szCs w:val="20"/>
              </w:rPr>
              <w:t>pro rata</w:t>
            </w:r>
            <w:r w:rsidR="00777234">
              <w:rPr>
                <w:sz w:val="20"/>
                <w:szCs w:val="20"/>
              </w:rPr>
              <w:t xml:space="preserve"> basis after seven years of servi</w:t>
            </w:r>
            <w:r w:rsidR="001A1946">
              <w:rPr>
                <w:sz w:val="20"/>
                <w:szCs w:val="20"/>
              </w:rPr>
              <w:t>ce. After 10 years of service, magistrates accrue and may access 3/10</w:t>
            </w:r>
            <w:r w:rsidR="001A1946" w:rsidRPr="001A1946">
              <w:rPr>
                <w:sz w:val="20"/>
                <w:szCs w:val="20"/>
                <w:vertAlign w:val="superscript"/>
              </w:rPr>
              <w:t>th</w:t>
            </w:r>
            <w:r w:rsidR="001A1946">
              <w:rPr>
                <w:sz w:val="20"/>
                <w:szCs w:val="20"/>
              </w:rPr>
              <w:t xml:space="preserve"> of a month of long service leave for each completed year of service. </w:t>
            </w:r>
          </w:p>
        </w:tc>
      </w:tr>
      <w:tr w:rsidR="00177AC6" w:rsidRPr="005F3A9E" w14:paraId="1578AF2A" w14:textId="77777777" w:rsidTr="00221633">
        <w:trPr>
          <w:trHeight w:val="1027"/>
        </w:trPr>
        <w:tc>
          <w:tcPr>
            <w:tcW w:w="1309" w:type="pct"/>
            <w:tcBorders>
              <w:top w:val="nil"/>
              <w:left w:val="nil"/>
              <w:bottom w:val="nil"/>
              <w:right w:val="nil"/>
            </w:tcBorders>
            <w:shd w:val="clear" w:color="auto" w:fill="FFFFFF"/>
          </w:tcPr>
          <w:p w14:paraId="40F26A26" w14:textId="541194B4" w:rsidR="00177AC6" w:rsidRPr="00DA6A6E" w:rsidRDefault="00177AC6" w:rsidP="00177AC6">
            <w:pPr>
              <w:pStyle w:val="TableText"/>
              <w:spacing w:before="0" w:after="0"/>
              <w:rPr>
                <w:color w:val="0063A6"/>
              </w:rPr>
            </w:pPr>
            <w:r w:rsidRPr="00DA6A6E">
              <w:rPr>
                <w:color w:val="0063A6"/>
              </w:rPr>
              <w:t>Submission</w:t>
            </w:r>
          </w:p>
        </w:tc>
        <w:tc>
          <w:tcPr>
            <w:tcW w:w="3691" w:type="pct"/>
            <w:gridSpan w:val="2"/>
            <w:tcBorders>
              <w:top w:val="nil"/>
              <w:left w:val="nil"/>
              <w:bottom w:val="nil"/>
            </w:tcBorders>
            <w:shd w:val="clear" w:color="auto" w:fill="FFFFFF"/>
          </w:tcPr>
          <w:p w14:paraId="50E411D3" w14:textId="77777777" w:rsidR="0039482E" w:rsidRDefault="00177AC6" w:rsidP="00777234">
            <w:pPr>
              <w:pStyle w:val="TableText"/>
              <w:spacing w:before="0" w:after="0"/>
              <w:rPr>
                <w:sz w:val="20"/>
                <w:szCs w:val="20"/>
              </w:rPr>
            </w:pPr>
            <w:r w:rsidRPr="005F3A9E">
              <w:rPr>
                <w:sz w:val="20"/>
                <w:szCs w:val="20"/>
              </w:rPr>
              <w:t xml:space="preserve">The </w:t>
            </w:r>
            <w:r w:rsidR="00777234">
              <w:rPr>
                <w:sz w:val="20"/>
                <w:szCs w:val="20"/>
              </w:rPr>
              <w:t xml:space="preserve">Magistrates’ </w:t>
            </w:r>
            <w:r w:rsidRPr="005F3A9E">
              <w:rPr>
                <w:sz w:val="20"/>
                <w:szCs w:val="20"/>
              </w:rPr>
              <w:t xml:space="preserve">Court submitted </w:t>
            </w:r>
            <w:r w:rsidR="00777234">
              <w:rPr>
                <w:sz w:val="20"/>
                <w:szCs w:val="20"/>
              </w:rPr>
              <w:t>magistrates should receive the same long service leave entitlement as judges of the Supreme and County Courts.</w:t>
            </w:r>
            <w:r w:rsidR="006967A7">
              <w:rPr>
                <w:sz w:val="20"/>
                <w:szCs w:val="20"/>
              </w:rPr>
              <w:t xml:space="preserve"> This would entitle magistrates to</w:t>
            </w:r>
            <w:r w:rsidR="0039482E">
              <w:rPr>
                <w:sz w:val="20"/>
                <w:szCs w:val="20"/>
              </w:rPr>
              <w:t>:</w:t>
            </w:r>
          </w:p>
          <w:p w14:paraId="648CA077" w14:textId="51EC143A" w:rsidR="00177AC6" w:rsidRDefault="00177AC6" w:rsidP="00956138">
            <w:pPr>
              <w:pStyle w:val="TableText"/>
              <w:numPr>
                <w:ilvl w:val="0"/>
                <w:numId w:val="27"/>
              </w:numPr>
              <w:spacing w:before="0" w:after="0"/>
              <w:rPr>
                <w:sz w:val="20"/>
                <w:szCs w:val="20"/>
              </w:rPr>
            </w:pPr>
            <w:r w:rsidRPr="005F3A9E">
              <w:rPr>
                <w:sz w:val="20"/>
                <w:szCs w:val="20"/>
              </w:rPr>
              <w:t>six months</w:t>
            </w:r>
            <w:r w:rsidR="006967A7">
              <w:rPr>
                <w:sz w:val="20"/>
                <w:szCs w:val="20"/>
              </w:rPr>
              <w:t>’</w:t>
            </w:r>
            <w:r w:rsidRPr="005F3A9E">
              <w:rPr>
                <w:sz w:val="20"/>
                <w:szCs w:val="20"/>
              </w:rPr>
              <w:t xml:space="preserve"> long service leave after 10 years</w:t>
            </w:r>
            <w:r w:rsidR="006967A7">
              <w:rPr>
                <w:sz w:val="20"/>
                <w:szCs w:val="20"/>
              </w:rPr>
              <w:t>, one month of which may be access</w:t>
            </w:r>
            <w:r w:rsidR="008A286C">
              <w:rPr>
                <w:sz w:val="20"/>
                <w:szCs w:val="20"/>
              </w:rPr>
              <w:t>ed</w:t>
            </w:r>
            <w:r w:rsidR="006967A7">
              <w:rPr>
                <w:sz w:val="20"/>
                <w:szCs w:val="20"/>
              </w:rPr>
              <w:t xml:space="preserve"> after five years</w:t>
            </w:r>
            <w:r w:rsidR="0039482E">
              <w:rPr>
                <w:sz w:val="20"/>
                <w:szCs w:val="20"/>
              </w:rPr>
              <w:t>, and</w:t>
            </w:r>
          </w:p>
          <w:p w14:paraId="349E0D79" w14:textId="77777777" w:rsidR="0039482E" w:rsidRDefault="0039482E" w:rsidP="00956138">
            <w:pPr>
              <w:pStyle w:val="TableText"/>
              <w:numPr>
                <w:ilvl w:val="0"/>
                <w:numId w:val="27"/>
              </w:numPr>
              <w:spacing w:before="0" w:after="0"/>
              <w:rPr>
                <w:sz w:val="20"/>
                <w:szCs w:val="20"/>
              </w:rPr>
            </w:pPr>
            <w:r w:rsidRPr="0039482E">
              <w:rPr>
                <w:sz w:val="20"/>
                <w:szCs w:val="20"/>
              </w:rPr>
              <w:t>6/7th of a month’s leave for every additional year of service completed.</w:t>
            </w:r>
          </w:p>
          <w:p w14:paraId="3F43574B" w14:textId="1B829C11" w:rsidR="00D84D61" w:rsidRPr="005F3A9E" w:rsidRDefault="00D84D61" w:rsidP="00D84D61">
            <w:pPr>
              <w:pStyle w:val="TableText"/>
              <w:spacing w:before="0" w:after="0"/>
              <w:rPr>
                <w:sz w:val="20"/>
                <w:szCs w:val="20"/>
              </w:rPr>
            </w:pPr>
            <w:r>
              <w:rPr>
                <w:sz w:val="20"/>
                <w:szCs w:val="20"/>
              </w:rPr>
              <w:t>The Magistrates’ Court proposed the four magistrates who were previously appointed as acting magistrates have their service in the role of acting magistrate recognised for the purposes of the long service leave entitlement.</w:t>
            </w:r>
          </w:p>
        </w:tc>
      </w:tr>
      <w:tr w:rsidR="00177AC6" w:rsidRPr="005F3A9E" w14:paraId="7D683B5B" w14:textId="77777777" w:rsidTr="00FA7E7F">
        <w:trPr>
          <w:trHeight w:val="496"/>
        </w:trPr>
        <w:tc>
          <w:tcPr>
            <w:tcW w:w="1309" w:type="pct"/>
            <w:tcBorders>
              <w:top w:val="nil"/>
              <w:left w:val="nil"/>
              <w:bottom w:val="single" w:sz="4" w:space="0" w:color="0063A6"/>
              <w:right w:val="nil"/>
            </w:tcBorders>
            <w:shd w:val="clear" w:color="auto" w:fill="FFFFFF"/>
          </w:tcPr>
          <w:p w14:paraId="12C3BD45" w14:textId="41829BBA" w:rsidR="00177AC6" w:rsidRPr="00DA6A6E" w:rsidRDefault="00177AC6" w:rsidP="00177AC6">
            <w:pPr>
              <w:pStyle w:val="TableText"/>
              <w:spacing w:before="0" w:after="0"/>
              <w:rPr>
                <w:color w:val="0063A6"/>
              </w:rPr>
            </w:pPr>
            <w:r w:rsidRPr="00DA6A6E">
              <w:rPr>
                <w:color w:val="0063A6"/>
              </w:rPr>
              <w:t>Comment and determination</w:t>
            </w:r>
          </w:p>
        </w:tc>
        <w:tc>
          <w:tcPr>
            <w:tcW w:w="3691" w:type="pct"/>
            <w:gridSpan w:val="2"/>
            <w:tcBorders>
              <w:top w:val="nil"/>
              <w:left w:val="nil"/>
              <w:bottom w:val="single" w:sz="4" w:space="0" w:color="0063A6"/>
            </w:tcBorders>
            <w:shd w:val="clear" w:color="auto" w:fill="FFFFFF"/>
          </w:tcPr>
          <w:p w14:paraId="2293065F" w14:textId="7AB4BFA5" w:rsidR="00D84D61" w:rsidRPr="005F3A9E" w:rsidRDefault="00B932D5" w:rsidP="00B932D5">
            <w:pPr>
              <w:pStyle w:val="TableText"/>
              <w:spacing w:before="0" w:after="0"/>
              <w:rPr>
                <w:sz w:val="20"/>
                <w:szCs w:val="20"/>
              </w:rPr>
            </w:pPr>
            <w:r>
              <w:rPr>
                <w:sz w:val="20"/>
                <w:szCs w:val="20"/>
              </w:rPr>
              <w:t>The Panel</w:t>
            </w:r>
            <w:r w:rsidR="00177AC6" w:rsidRPr="005F3A9E">
              <w:rPr>
                <w:sz w:val="20"/>
                <w:szCs w:val="20"/>
              </w:rPr>
              <w:t xml:space="preserve"> does not support the proposal to double the amount of long service leave for magistrates</w:t>
            </w:r>
            <w:r>
              <w:rPr>
                <w:sz w:val="20"/>
                <w:szCs w:val="20"/>
              </w:rPr>
              <w:t xml:space="preserve">, consistent with its view in 2018. </w:t>
            </w:r>
          </w:p>
        </w:tc>
      </w:tr>
      <w:tr w:rsidR="00177AC6" w:rsidRPr="005F3A9E" w14:paraId="68DA4242" w14:textId="77777777" w:rsidTr="00221633">
        <w:trPr>
          <w:trHeight w:val="219"/>
        </w:trPr>
        <w:tc>
          <w:tcPr>
            <w:tcW w:w="5000" w:type="pct"/>
            <w:gridSpan w:val="3"/>
            <w:tcBorders>
              <w:top w:val="single" w:sz="4" w:space="0" w:color="0063A6"/>
              <w:left w:val="nil"/>
              <w:bottom w:val="nil"/>
            </w:tcBorders>
            <w:shd w:val="clear" w:color="auto" w:fill="FFFFFF"/>
          </w:tcPr>
          <w:p w14:paraId="08881D57" w14:textId="4D360D11" w:rsidR="00177AC6" w:rsidRPr="00A545BE" w:rsidRDefault="00CB19FB" w:rsidP="007940DE">
            <w:pPr>
              <w:pStyle w:val="TableText"/>
              <w:spacing w:before="60" w:after="60"/>
              <w:rPr>
                <w:b/>
                <w:sz w:val="20"/>
                <w:szCs w:val="20"/>
              </w:rPr>
            </w:pPr>
            <w:r>
              <w:rPr>
                <w:b/>
                <w:color w:val="0063A6"/>
                <w:sz w:val="20"/>
                <w:szCs w:val="20"/>
              </w:rPr>
              <w:t xml:space="preserve">Motor vehicle entitlements </w:t>
            </w:r>
          </w:p>
        </w:tc>
      </w:tr>
      <w:tr w:rsidR="00177AC6" w:rsidRPr="005F3A9E" w14:paraId="14DBD6C3" w14:textId="77777777" w:rsidTr="00221633">
        <w:trPr>
          <w:trHeight w:val="294"/>
        </w:trPr>
        <w:tc>
          <w:tcPr>
            <w:tcW w:w="1309" w:type="pct"/>
            <w:tcBorders>
              <w:top w:val="nil"/>
              <w:left w:val="nil"/>
              <w:bottom w:val="nil"/>
              <w:right w:val="nil"/>
            </w:tcBorders>
            <w:shd w:val="clear" w:color="auto" w:fill="FFFFFF"/>
          </w:tcPr>
          <w:p w14:paraId="3D9F38EA" w14:textId="32497B40" w:rsidR="00177AC6" w:rsidRPr="00DA6A6E" w:rsidRDefault="00177AC6" w:rsidP="00177AC6">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4B8A5496" w14:textId="7EEB6257" w:rsidR="00177AC6" w:rsidRDefault="00177AC6" w:rsidP="00177AC6">
            <w:pPr>
              <w:pStyle w:val="TableText"/>
              <w:spacing w:before="0" w:after="0"/>
              <w:rPr>
                <w:sz w:val="20"/>
                <w:szCs w:val="20"/>
              </w:rPr>
            </w:pPr>
            <w:r>
              <w:rPr>
                <w:sz w:val="20"/>
                <w:szCs w:val="20"/>
              </w:rPr>
              <w:t>Magistrates</w:t>
            </w:r>
            <w:r w:rsidR="00515697">
              <w:rPr>
                <w:sz w:val="20"/>
                <w:szCs w:val="20"/>
              </w:rPr>
              <w:t xml:space="preserve"> </w:t>
            </w:r>
            <w:r w:rsidR="00515697" w:rsidRPr="00515697">
              <w:rPr>
                <w:sz w:val="20"/>
                <w:szCs w:val="20"/>
              </w:rPr>
              <w:t xml:space="preserve">have access to the car scheme provided to </w:t>
            </w:r>
            <w:r w:rsidR="00515697">
              <w:rPr>
                <w:sz w:val="20"/>
                <w:szCs w:val="20"/>
              </w:rPr>
              <w:t>VPS</w:t>
            </w:r>
            <w:r w:rsidR="00515697" w:rsidRPr="00515697">
              <w:rPr>
                <w:sz w:val="20"/>
                <w:szCs w:val="20"/>
              </w:rPr>
              <w:t xml:space="preserve"> executives, which requires </w:t>
            </w:r>
            <w:r w:rsidR="00515697">
              <w:rPr>
                <w:sz w:val="20"/>
                <w:szCs w:val="20"/>
              </w:rPr>
              <w:t>magistrates</w:t>
            </w:r>
            <w:r w:rsidR="00515697" w:rsidRPr="00515697">
              <w:rPr>
                <w:sz w:val="20"/>
                <w:szCs w:val="20"/>
              </w:rPr>
              <w:t xml:space="preserve"> to substantially contribute to the costs of the vehicle</w:t>
            </w:r>
            <w:r>
              <w:rPr>
                <w:sz w:val="20"/>
                <w:szCs w:val="20"/>
              </w:rPr>
              <w:t>.</w:t>
            </w:r>
          </w:p>
        </w:tc>
      </w:tr>
      <w:tr w:rsidR="00177AC6" w:rsidRPr="005F3A9E" w14:paraId="06F1F7FF" w14:textId="77777777" w:rsidTr="00CA53C5">
        <w:trPr>
          <w:trHeight w:val="346"/>
        </w:trPr>
        <w:tc>
          <w:tcPr>
            <w:tcW w:w="1309" w:type="pct"/>
            <w:tcBorders>
              <w:top w:val="nil"/>
              <w:left w:val="nil"/>
              <w:bottom w:val="nil"/>
              <w:right w:val="nil"/>
            </w:tcBorders>
            <w:shd w:val="clear" w:color="auto" w:fill="FFFFFF"/>
          </w:tcPr>
          <w:p w14:paraId="3DC87458" w14:textId="480A135A" w:rsidR="00177AC6" w:rsidRPr="00DA6A6E" w:rsidRDefault="00177AC6" w:rsidP="00177AC6">
            <w:pPr>
              <w:pStyle w:val="TableText"/>
              <w:spacing w:before="0" w:after="0"/>
              <w:rPr>
                <w:color w:val="0063A6"/>
              </w:rPr>
            </w:pPr>
            <w:r w:rsidRPr="00DA6A6E">
              <w:rPr>
                <w:color w:val="0063A6"/>
              </w:rPr>
              <w:t>Submission</w:t>
            </w:r>
          </w:p>
        </w:tc>
        <w:tc>
          <w:tcPr>
            <w:tcW w:w="3691" w:type="pct"/>
            <w:gridSpan w:val="2"/>
            <w:tcBorders>
              <w:top w:val="nil"/>
              <w:left w:val="nil"/>
              <w:bottom w:val="nil"/>
            </w:tcBorders>
            <w:shd w:val="clear" w:color="auto" w:fill="FFFFFF"/>
          </w:tcPr>
          <w:p w14:paraId="700DD301" w14:textId="77034C69" w:rsidR="004B39FF" w:rsidRDefault="00515697" w:rsidP="00177AC6">
            <w:pPr>
              <w:pStyle w:val="TableText"/>
              <w:spacing w:before="0" w:after="0"/>
              <w:rPr>
                <w:sz w:val="20"/>
                <w:szCs w:val="20"/>
              </w:rPr>
            </w:pPr>
            <w:r>
              <w:rPr>
                <w:sz w:val="20"/>
                <w:szCs w:val="20"/>
              </w:rPr>
              <w:t xml:space="preserve">The Magistrates’ Court </w:t>
            </w:r>
            <w:r w:rsidR="00D76BE8">
              <w:rPr>
                <w:sz w:val="20"/>
                <w:szCs w:val="20"/>
              </w:rPr>
              <w:t xml:space="preserve">reiterated its previous proposal that </w:t>
            </w:r>
            <w:r>
              <w:rPr>
                <w:sz w:val="20"/>
                <w:szCs w:val="20"/>
              </w:rPr>
              <w:t>magistrates</w:t>
            </w:r>
            <w:r w:rsidR="00F736A6">
              <w:rPr>
                <w:sz w:val="20"/>
                <w:szCs w:val="20"/>
              </w:rPr>
              <w:t xml:space="preserve"> and coroners</w:t>
            </w:r>
            <w:r>
              <w:rPr>
                <w:sz w:val="20"/>
                <w:szCs w:val="20"/>
              </w:rPr>
              <w:t xml:space="preserve"> are granted access to the Judicial Car Scheme currently available to Supreme and County Court judges. </w:t>
            </w:r>
            <w:r w:rsidR="00482540">
              <w:rPr>
                <w:sz w:val="20"/>
                <w:szCs w:val="20"/>
              </w:rPr>
              <w:t>These judges</w:t>
            </w:r>
            <w:r w:rsidR="00482540" w:rsidRPr="00482540">
              <w:rPr>
                <w:sz w:val="20"/>
                <w:szCs w:val="20"/>
              </w:rPr>
              <w:t xml:space="preserve">, and the Chief Magistrate, are </w:t>
            </w:r>
            <w:r w:rsidR="00482540">
              <w:rPr>
                <w:sz w:val="20"/>
                <w:szCs w:val="20"/>
              </w:rPr>
              <w:t>entitled to</w:t>
            </w:r>
            <w:r w:rsidR="00482540" w:rsidRPr="00482540">
              <w:rPr>
                <w:sz w:val="20"/>
                <w:szCs w:val="20"/>
              </w:rPr>
              <w:t xml:space="preserve"> a motor vehicle in accordance with the Judicial Car </w:t>
            </w:r>
            <w:r w:rsidR="00482540">
              <w:rPr>
                <w:sz w:val="20"/>
                <w:szCs w:val="20"/>
              </w:rPr>
              <w:t>Scheme,</w:t>
            </w:r>
            <w:r w:rsidR="00482540" w:rsidRPr="00482540">
              <w:rPr>
                <w:sz w:val="20"/>
                <w:szCs w:val="20"/>
              </w:rPr>
              <w:t xml:space="preserve"> for an annual contribution of $837.</w:t>
            </w:r>
            <w:r w:rsidR="00F736A6">
              <w:rPr>
                <w:sz w:val="20"/>
                <w:szCs w:val="20"/>
              </w:rPr>
              <w:t xml:space="preserve"> </w:t>
            </w:r>
          </w:p>
          <w:p w14:paraId="4EBFE36E" w14:textId="03291B46" w:rsidR="004B39FF" w:rsidRPr="00295919" w:rsidRDefault="004B39FF" w:rsidP="00177AC6">
            <w:pPr>
              <w:pStyle w:val="TableText"/>
              <w:spacing w:before="0" w:after="0"/>
              <w:rPr>
                <w:sz w:val="20"/>
                <w:szCs w:val="20"/>
              </w:rPr>
            </w:pPr>
            <w:r>
              <w:rPr>
                <w:sz w:val="20"/>
                <w:szCs w:val="20"/>
              </w:rPr>
              <w:t>In its submission, the Magistrates’ Court suggested that, if the Panel did not accept its above proposal, the Panel should recommend the car allowance for magistrates be increased by $4</w:t>
            </w:r>
            <w:r w:rsidR="008C0677">
              <w:rPr>
                <w:sz w:val="20"/>
                <w:szCs w:val="20"/>
              </w:rPr>
              <w:t>,</w:t>
            </w:r>
            <w:r>
              <w:rPr>
                <w:sz w:val="20"/>
                <w:szCs w:val="20"/>
              </w:rPr>
              <w:t xml:space="preserve">000 per annum, to compensate </w:t>
            </w:r>
            <w:r w:rsidR="008A286C">
              <w:rPr>
                <w:sz w:val="20"/>
                <w:szCs w:val="20"/>
              </w:rPr>
              <w:t xml:space="preserve">for </w:t>
            </w:r>
            <w:r>
              <w:rPr>
                <w:sz w:val="20"/>
                <w:szCs w:val="20"/>
              </w:rPr>
              <w:t xml:space="preserve">changes to </w:t>
            </w:r>
            <w:r w:rsidRPr="00295919">
              <w:rPr>
                <w:sz w:val="20"/>
                <w:szCs w:val="20"/>
              </w:rPr>
              <w:t xml:space="preserve">the VPS car scheme resulting in increased costs for magistrates. </w:t>
            </w:r>
          </w:p>
          <w:p w14:paraId="5C85754D" w14:textId="6142D46D" w:rsidR="00177AC6" w:rsidRDefault="00F736A6" w:rsidP="00177AC6">
            <w:pPr>
              <w:pStyle w:val="TableText"/>
              <w:spacing w:before="0" w:after="0"/>
              <w:rPr>
                <w:sz w:val="20"/>
                <w:szCs w:val="20"/>
              </w:rPr>
            </w:pPr>
            <w:r w:rsidRPr="00295919">
              <w:rPr>
                <w:sz w:val="20"/>
                <w:szCs w:val="20"/>
              </w:rPr>
              <w:t xml:space="preserve">The Magistrates’ Court also submitted </w:t>
            </w:r>
            <w:r w:rsidR="004B39FF" w:rsidRPr="00295919">
              <w:rPr>
                <w:sz w:val="20"/>
                <w:szCs w:val="20"/>
              </w:rPr>
              <w:t>magistrates</w:t>
            </w:r>
            <w:r w:rsidRPr="00295919">
              <w:rPr>
                <w:sz w:val="20"/>
                <w:szCs w:val="20"/>
              </w:rPr>
              <w:t xml:space="preserve"> should have access to </w:t>
            </w:r>
            <w:r w:rsidR="00C227EE" w:rsidRPr="00295919">
              <w:rPr>
                <w:sz w:val="20"/>
                <w:szCs w:val="20"/>
              </w:rPr>
              <w:t xml:space="preserve">all categories of </w:t>
            </w:r>
            <w:r w:rsidRPr="00295919">
              <w:rPr>
                <w:sz w:val="20"/>
                <w:szCs w:val="20"/>
              </w:rPr>
              <w:t xml:space="preserve">vehicle in </w:t>
            </w:r>
            <w:proofErr w:type="spellStart"/>
            <w:r w:rsidRPr="00295919">
              <w:rPr>
                <w:sz w:val="20"/>
                <w:szCs w:val="20"/>
              </w:rPr>
              <w:t>VicFleet</w:t>
            </w:r>
            <w:proofErr w:type="spellEnd"/>
            <w:r w:rsidRPr="00295919">
              <w:rPr>
                <w:sz w:val="20"/>
                <w:szCs w:val="20"/>
              </w:rPr>
              <w:t>.</w:t>
            </w:r>
          </w:p>
        </w:tc>
      </w:tr>
      <w:tr w:rsidR="00177AC6" w:rsidRPr="005F3A9E" w14:paraId="59110EC8" w14:textId="77777777" w:rsidTr="00CA53C5">
        <w:trPr>
          <w:trHeight w:val="245"/>
        </w:trPr>
        <w:tc>
          <w:tcPr>
            <w:tcW w:w="1309" w:type="pct"/>
            <w:tcBorders>
              <w:top w:val="nil"/>
              <w:left w:val="nil"/>
              <w:bottom w:val="single" w:sz="4" w:space="0" w:color="4472C4" w:themeColor="accent5"/>
              <w:right w:val="nil"/>
            </w:tcBorders>
            <w:shd w:val="clear" w:color="auto" w:fill="FFFFFF"/>
          </w:tcPr>
          <w:p w14:paraId="41B72AF9" w14:textId="45953A03" w:rsidR="00177AC6" w:rsidRPr="00DA6A6E" w:rsidRDefault="00177AC6" w:rsidP="00177AC6">
            <w:pPr>
              <w:pStyle w:val="TableText"/>
              <w:spacing w:before="0" w:after="0"/>
              <w:rPr>
                <w:color w:val="0063A6"/>
              </w:rPr>
            </w:pPr>
            <w:r w:rsidRPr="00DA6A6E">
              <w:rPr>
                <w:color w:val="0063A6"/>
              </w:rPr>
              <w:t>Comment and determination</w:t>
            </w:r>
          </w:p>
        </w:tc>
        <w:tc>
          <w:tcPr>
            <w:tcW w:w="3691" w:type="pct"/>
            <w:gridSpan w:val="2"/>
            <w:tcBorders>
              <w:top w:val="nil"/>
              <w:left w:val="nil"/>
              <w:bottom w:val="single" w:sz="4" w:space="0" w:color="4472C4" w:themeColor="accent5"/>
            </w:tcBorders>
            <w:shd w:val="clear" w:color="auto" w:fill="FFFFFF"/>
          </w:tcPr>
          <w:p w14:paraId="18608C8B" w14:textId="390A8843" w:rsidR="008C0677" w:rsidRDefault="00FE34AD" w:rsidP="00177AC6">
            <w:pPr>
              <w:pStyle w:val="TableText"/>
              <w:spacing w:before="0" w:after="0"/>
              <w:rPr>
                <w:sz w:val="20"/>
                <w:szCs w:val="20"/>
              </w:rPr>
            </w:pPr>
            <w:r>
              <w:rPr>
                <w:sz w:val="20"/>
                <w:szCs w:val="20"/>
              </w:rPr>
              <w:t>As noted in the Panel’s 2018 report of Own Motions Recommendations, t</w:t>
            </w:r>
            <w:r w:rsidR="00177AC6">
              <w:rPr>
                <w:sz w:val="20"/>
                <w:szCs w:val="20"/>
              </w:rPr>
              <w:t>he</w:t>
            </w:r>
            <w:r>
              <w:rPr>
                <w:sz w:val="20"/>
                <w:szCs w:val="20"/>
              </w:rPr>
              <w:t xml:space="preserve"> </w:t>
            </w:r>
            <w:r w:rsidR="002067E9" w:rsidRPr="002067E9">
              <w:rPr>
                <w:sz w:val="20"/>
                <w:szCs w:val="20"/>
              </w:rPr>
              <w:t xml:space="preserve">number of different arrangements for car entitlements for judicial officers that currently operate present significant complexities for the reform of the entitlement. </w:t>
            </w:r>
            <w:r w:rsidR="008C0677">
              <w:rPr>
                <w:sz w:val="20"/>
                <w:szCs w:val="20"/>
              </w:rPr>
              <w:t xml:space="preserve">All magistrates presently receive $11,720 per annum (in addition to salary) for a motor vehicle allowance, regardless of whether they access the car scheme or not. </w:t>
            </w:r>
          </w:p>
          <w:p w14:paraId="2B5CC6AF" w14:textId="57C21953" w:rsidR="007A27F8" w:rsidRDefault="007A27F8" w:rsidP="00177AC6">
            <w:pPr>
              <w:pStyle w:val="TableText"/>
              <w:spacing w:before="0" w:after="0"/>
              <w:rPr>
                <w:sz w:val="20"/>
                <w:szCs w:val="20"/>
              </w:rPr>
            </w:pPr>
            <w:r>
              <w:rPr>
                <w:sz w:val="20"/>
                <w:szCs w:val="20"/>
              </w:rPr>
              <w:t xml:space="preserve">The Panel notes restrictions on the categories of a range of </w:t>
            </w:r>
            <w:r w:rsidR="008A286C">
              <w:rPr>
                <w:sz w:val="20"/>
                <w:szCs w:val="20"/>
              </w:rPr>
              <w:t xml:space="preserve">vehicles </w:t>
            </w:r>
            <w:r>
              <w:rPr>
                <w:sz w:val="20"/>
                <w:szCs w:val="20"/>
              </w:rPr>
              <w:t xml:space="preserve">judicial officers may access are due to current CSV (and previously, Department of Justice) policy. The current policy prevents all judicial officers except for Supreme Court judges, the Chief Justice of the County </w:t>
            </w:r>
            <w:proofErr w:type="gramStart"/>
            <w:r>
              <w:rPr>
                <w:sz w:val="20"/>
                <w:szCs w:val="20"/>
              </w:rPr>
              <w:t>Court</w:t>
            </w:r>
            <w:proofErr w:type="gramEnd"/>
            <w:r>
              <w:rPr>
                <w:sz w:val="20"/>
                <w:szCs w:val="20"/>
              </w:rPr>
              <w:t xml:space="preserve"> and the Chief Magistrate from accessing ‘prestige’ vehicles.</w:t>
            </w:r>
          </w:p>
          <w:p w14:paraId="182B881A" w14:textId="400975E0" w:rsidR="00177AC6" w:rsidRDefault="00A749F7" w:rsidP="00177AC6">
            <w:pPr>
              <w:pStyle w:val="TableText"/>
              <w:spacing w:before="0" w:after="0"/>
              <w:rPr>
                <w:sz w:val="20"/>
                <w:szCs w:val="20"/>
              </w:rPr>
            </w:pPr>
            <w:r w:rsidRPr="00922FD2">
              <w:rPr>
                <w:sz w:val="20"/>
                <w:szCs w:val="20"/>
              </w:rPr>
              <w:t xml:space="preserve">The panel has </w:t>
            </w:r>
            <w:proofErr w:type="gramStart"/>
            <w:r w:rsidRPr="00922FD2">
              <w:rPr>
                <w:sz w:val="20"/>
                <w:szCs w:val="20"/>
              </w:rPr>
              <w:t>made an observation</w:t>
            </w:r>
            <w:proofErr w:type="gramEnd"/>
            <w:r w:rsidRPr="00922FD2">
              <w:rPr>
                <w:sz w:val="20"/>
                <w:szCs w:val="20"/>
              </w:rPr>
              <w:t xml:space="preserve"> on this matter.</w:t>
            </w:r>
          </w:p>
        </w:tc>
      </w:tr>
      <w:tr w:rsidR="002428AC" w:rsidRPr="005F3A9E" w14:paraId="4DD9BA8B" w14:textId="77777777" w:rsidTr="00CA53C5">
        <w:trPr>
          <w:trHeight w:val="191"/>
        </w:trPr>
        <w:tc>
          <w:tcPr>
            <w:tcW w:w="1309" w:type="pct"/>
            <w:tcBorders>
              <w:top w:val="single" w:sz="4" w:space="0" w:color="4472C4" w:themeColor="accent5"/>
              <w:left w:val="nil"/>
              <w:bottom w:val="nil"/>
              <w:right w:val="nil"/>
            </w:tcBorders>
            <w:shd w:val="clear" w:color="auto" w:fill="FFFFFF"/>
          </w:tcPr>
          <w:p w14:paraId="30B0D992" w14:textId="44FDA528" w:rsidR="002428AC" w:rsidRPr="00DA6A6E" w:rsidRDefault="00CA53C5" w:rsidP="00177AC6">
            <w:pPr>
              <w:pStyle w:val="TableText"/>
              <w:spacing w:before="0" w:after="0"/>
              <w:rPr>
                <w:color w:val="0063A6"/>
              </w:rPr>
            </w:pPr>
            <w:r>
              <w:rPr>
                <w:b/>
                <w:color w:val="0063A6"/>
                <w:sz w:val="20"/>
                <w:szCs w:val="20"/>
              </w:rPr>
              <w:t>E-Tag</w:t>
            </w:r>
            <w:r w:rsidRPr="00ED1E19">
              <w:rPr>
                <w:b/>
                <w:color w:val="0063A6"/>
                <w:sz w:val="20"/>
                <w:szCs w:val="20"/>
              </w:rPr>
              <w:t xml:space="preserve"> </w:t>
            </w:r>
            <w:r>
              <w:rPr>
                <w:b/>
                <w:color w:val="0063A6"/>
                <w:sz w:val="20"/>
                <w:szCs w:val="20"/>
              </w:rPr>
              <w:t>expenses</w:t>
            </w:r>
          </w:p>
        </w:tc>
        <w:tc>
          <w:tcPr>
            <w:tcW w:w="3691" w:type="pct"/>
            <w:gridSpan w:val="2"/>
            <w:tcBorders>
              <w:top w:val="single" w:sz="4" w:space="0" w:color="4472C4" w:themeColor="accent5"/>
              <w:left w:val="nil"/>
              <w:bottom w:val="nil"/>
            </w:tcBorders>
            <w:shd w:val="clear" w:color="auto" w:fill="FFFFFF"/>
          </w:tcPr>
          <w:p w14:paraId="0B977E6C" w14:textId="77777777" w:rsidR="002428AC" w:rsidRDefault="002428AC" w:rsidP="00177AC6">
            <w:pPr>
              <w:pStyle w:val="TableText"/>
              <w:spacing w:before="0" w:after="0"/>
              <w:rPr>
                <w:sz w:val="20"/>
                <w:szCs w:val="20"/>
              </w:rPr>
            </w:pPr>
          </w:p>
        </w:tc>
      </w:tr>
      <w:tr w:rsidR="002428AC" w:rsidRPr="005F3A9E" w14:paraId="2BBB13CC" w14:textId="77777777" w:rsidTr="00CA53C5">
        <w:trPr>
          <w:trHeight w:val="191"/>
        </w:trPr>
        <w:tc>
          <w:tcPr>
            <w:tcW w:w="1309" w:type="pct"/>
            <w:tcBorders>
              <w:top w:val="nil"/>
              <w:left w:val="nil"/>
              <w:bottom w:val="nil"/>
              <w:right w:val="nil"/>
            </w:tcBorders>
            <w:shd w:val="clear" w:color="auto" w:fill="FFFFFF"/>
          </w:tcPr>
          <w:p w14:paraId="1A170706" w14:textId="6924119F" w:rsidR="002428AC" w:rsidRDefault="00CA53C5" w:rsidP="00177AC6">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00753691" w14:textId="5B55EAC0" w:rsidR="002428AC" w:rsidRDefault="00F648C3" w:rsidP="00177AC6">
            <w:pPr>
              <w:pStyle w:val="TableText"/>
              <w:spacing w:before="0" w:after="0"/>
              <w:rPr>
                <w:sz w:val="20"/>
                <w:szCs w:val="20"/>
              </w:rPr>
            </w:pPr>
            <w:r>
              <w:rPr>
                <w:sz w:val="20"/>
                <w:szCs w:val="20"/>
              </w:rPr>
              <w:t xml:space="preserve">Magistrates do not receive any entitlements regarding E-Tags. </w:t>
            </w:r>
          </w:p>
        </w:tc>
      </w:tr>
      <w:tr w:rsidR="00CA53C5" w:rsidRPr="005F3A9E" w14:paraId="06A88D34" w14:textId="77777777" w:rsidTr="00CA53C5">
        <w:trPr>
          <w:trHeight w:val="191"/>
        </w:trPr>
        <w:tc>
          <w:tcPr>
            <w:tcW w:w="1309" w:type="pct"/>
            <w:tcBorders>
              <w:top w:val="nil"/>
              <w:left w:val="nil"/>
              <w:bottom w:val="nil"/>
              <w:right w:val="nil"/>
            </w:tcBorders>
            <w:shd w:val="clear" w:color="auto" w:fill="FFFFFF"/>
          </w:tcPr>
          <w:p w14:paraId="7D0C4F14" w14:textId="08AE3F83" w:rsidR="00CA53C5" w:rsidRPr="00DA6A6E" w:rsidRDefault="00CA53C5" w:rsidP="00177AC6">
            <w:pPr>
              <w:pStyle w:val="TableText"/>
              <w:spacing w:before="0" w:after="0"/>
              <w:rPr>
                <w:color w:val="0063A6"/>
              </w:rPr>
            </w:pPr>
            <w:r>
              <w:rPr>
                <w:color w:val="0063A6"/>
              </w:rPr>
              <w:t>Submission</w:t>
            </w:r>
          </w:p>
        </w:tc>
        <w:tc>
          <w:tcPr>
            <w:tcW w:w="3691" w:type="pct"/>
            <w:gridSpan w:val="2"/>
            <w:tcBorders>
              <w:top w:val="nil"/>
              <w:left w:val="nil"/>
              <w:bottom w:val="nil"/>
            </w:tcBorders>
            <w:shd w:val="clear" w:color="auto" w:fill="FFFFFF"/>
          </w:tcPr>
          <w:p w14:paraId="5C42B863" w14:textId="29B9E74C" w:rsidR="00CA53C5" w:rsidRDefault="00F648C3" w:rsidP="00177AC6">
            <w:pPr>
              <w:pStyle w:val="TableText"/>
              <w:spacing w:before="0" w:after="0"/>
              <w:rPr>
                <w:sz w:val="20"/>
                <w:szCs w:val="20"/>
              </w:rPr>
            </w:pPr>
            <w:r>
              <w:rPr>
                <w:sz w:val="20"/>
                <w:szCs w:val="20"/>
              </w:rPr>
              <w:t xml:space="preserve">The Magistrates’ Court submitted magistrates’ vehicle-related entitlements include the payment of all E-Tag expenses. The Magistrates’ Court noted </w:t>
            </w:r>
            <w:r w:rsidR="00161194">
              <w:rPr>
                <w:sz w:val="20"/>
                <w:szCs w:val="20"/>
              </w:rPr>
              <w:br/>
            </w:r>
            <w:r>
              <w:rPr>
                <w:sz w:val="20"/>
                <w:szCs w:val="20"/>
              </w:rPr>
              <w:t xml:space="preserve">E-Tag expenses vary among magistrates, depending on </w:t>
            </w:r>
            <w:r w:rsidR="00161194">
              <w:rPr>
                <w:sz w:val="20"/>
                <w:szCs w:val="20"/>
              </w:rPr>
              <w:t>the court each magistrate is assigned to and where he or she lives.</w:t>
            </w:r>
          </w:p>
        </w:tc>
      </w:tr>
      <w:tr w:rsidR="00CA53C5" w:rsidRPr="005F3A9E" w14:paraId="10003959" w14:textId="77777777" w:rsidTr="00CA53C5">
        <w:trPr>
          <w:trHeight w:val="191"/>
        </w:trPr>
        <w:tc>
          <w:tcPr>
            <w:tcW w:w="1309" w:type="pct"/>
            <w:tcBorders>
              <w:top w:val="nil"/>
              <w:left w:val="nil"/>
              <w:bottom w:val="single" w:sz="4" w:space="0" w:color="0063A6"/>
              <w:right w:val="nil"/>
            </w:tcBorders>
            <w:shd w:val="clear" w:color="auto" w:fill="FFFFFF"/>
          </w:tcPr>
          <w:p w14:paraId="20A84597" w14:textId="26722A75" w:rsidR="00CA53C5" w:rsidRDefault="00CA53C5" w:rsidP="00177AC6">
            <w:pPr>
              <w:pStyle w:val="TableText"/>
              <w:spacing w:before="0" w:after="0"/>
              <w:rPr>
                <w:color w:val="0063A6"/>
              </w:rPr>
            </w:pPr>
            <w:r>
              <w:rPr>
                <w:color w:val="0063A6"/>
              </w:rPr>
              <w:lastRenderedPageBreak/>
              <w:t>Comment and determination</w:t>
            </w:r>
          </w:p>
        </w:tc>
        <w:tc>
          <w:tcPr>
            <w:tcW w:w="3691" w:type="pct"/>
            <w:gridSpan w:val="2"/>
            <w:tcBorders>
              <w:top w:val="nil"/>
              <w:left w:val="nil"/>
              <w:bottom w:val="single" w:sz="4" w:space="0" w:color="0063A6"/>
            </w:tcBorders>
            <w:shd w:val="clear" w:color="auto" w:fill="FFFFFF"/>
          </w:tcPr>
          <w:p w14:paraId="34630A98" w14:textId="77777777" w:rsidR="00CA53C5" w:rsidRDefault="00161194" w:rsidP="00177AC6">
            <w:pPr>
              <w:pStyle w:val="TableText"/>
              <w:spacing w:before="0" w:after="0"/>
              <w:rPr>
                <w:sz w:val="20"/>
                <w:szCs w:val="20"/>
              </w:rPr>
            </w:pPr>
            <w:r>
              <w:rPr>
                <w:sz w:val="20"/>
                <w:szCs w:val="20"/>
              </w:rPr>
              <w:t xml:space="preserve">The Panel does not support extending magistrates’ entitlements to cover </w:t>
            </w:r>
            <w:r>
              <w:rPr>
                <w:sz w:val="20"/>
                <w:szCs w:val="20"/>
              </w:rPr>
              <w:br/>
              <w:t xml:space="preserve">E-Tag expenses. As magistrates may be using E-Tags for personal use, as well as for travel to and from work, it would not be appropriate for all these expenses to be covered by the State of Victoria. </w:t>
            </w:r>
          </w:p>
          <w:p w14:paraId="728268ED" w14:textId="7E737FBF" w:rsidR="00E124C3" w:rsidRDefault="00E124C3" w:rsidP="00177AC6">
            <w:pPr>
              <w:pStyle w:val="TableText"/>
              <w:spacing w:before="0" w:after="0"/>
              <w:rPr>
                <w:sz w:val="20"/>
                <w:szCs w:val="20"/>
              </w:rPr>
            </w:pPr>
            <w:r>
              <w:rPr>
                <w:sz w:val="20"/>
                <w:szCs w:val="20"/>
              </w:rPr>
              <w:t>The Panel does support</w:t>
            </w:r>
            <w:r w:rsidR="00D76BE8">
              <w:rPr>
                <w:sz w:val="20"/>
                <w:szCs w:val="20"/>
              </w:rPr>
              <w:t xml:space="preserve"> the reimbursement of</w:t>
            </w:r>
            <w:r>
              <w:rPr>
                <w:sz w:val="20"/>
                <w:szCs w:val="20"/>
              </w:rPr>
              <w:t xml:space="preserve"> work-related E-Tag expenses</w:t>
            </w:r>
            <w:r w:rsidR="00D76BE8">
              <w:rPr>
                <w:sz w:val="20"/>
                <w:szCs w:val="20"/>
              </w:rPr>
              <w:t>.</w:t>
            </w:r>
          </w:p>
        </w:tc>
      </w:tr>
      <w:tr w:rsidR="00177AC6" w:rsidRPr="005F3A9E" w14:paraId="63D9D8C6" w14:textId="77777777" w:rsidTr="00221633">
        <w:trPr>
          <w:trHeight w:val="214"/>
        </w:trPr>
        <w:tc>
          <w:tcPr>
            <w:tcW w:w="5000" w:type="pct"/>
            <w:gridSpan w:val="3"/>
            <w:tcBorders>
              <w:top w:val="single" w:sz="4" w:space="0" w:color="0063A6"/>
              <w:left w:val="nil"/>
              <w:bottom w:val="nil"/>
            </w:tcBorders>
            <w:shd w:val="clear" w:color="auto" w:fill="FFFFFF"/>
          </w:tcPr>
          <w:p w14:paraId="48BBB349" w14:textId="73473189" w:rsidR="00177AC6" w:rsidRPr="00177AC6" w:rsidRDefault="00177AC6" w:rsidP="007940DE">
            <w:pPr>
              <w:pStyle w:val="TableText"/>
              <w:spacing w:before="60" w:after="60"/>
              <w:rPr>
                <w:b/>
                <w:sz w:val="20"/>
                <w:szCs w:val="20"/>
              </w:rPr>
            </w:pPr>
            <w:r w:rsidRPr="00ED1E19">
              <w:rPr>
                <w:b/>
                <w:color w:val="0063A6"/>
                <w:sz w:val="20"/>
                <w:szCs w:val="20"/>
              </w:rPr>
              <w:t>Conference leave</w:t>
            </w:r>
            <w:r>
              <w:rPr>
                <w:b/>
                <w:sz w:val="20"/>
                <w:szCs w:val="20"/>
              </w:rPr>
              <w:t xml:space="preserve"> </w:t>
            </w:r>
          </w:p>
        </w:tc>
      </w:tr>
      <w:tr w:rsidR="00177AC6" w:rsidRPr="005F3A9E" w14:paraId="40C675FB" w14:textId="77777777" w:rsidTr="00221633">
        <w:trPr>
          <w:trHeight w:val="299"/>
        </w:trPr>
        <w:tc>
          <w:tcPr>
            <w:tcW w:w="1309" w:type="pct"/>
            <w:tcBorders>
              <w:top w:val="nil"/>
              <w:left w:val="nil"/>
              <w:bottom w:val="nil"/>
              <w:right w:val="nil"/>
            </w:tcBorders>
            <w:shd w:val="clear" w:color="auto" w:fill="FFFFFF"/>
          </w:tcPr>
          <w:p w14:paraId="531774E0" w14:textId="3311201B" w:rsidR="00177AC6" w:rsidRPr="00DA6A6E" w:rsidRDefault="00177AC6" w:rsidP="00177AC6">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7918A031" w14:textId="76F2F673" w:rsidR="00177AC6" w:rsidRPr="005F3A9E" w:rsidRDefault="00177AC6" w:rsidP="00177AC6">
            <w:pPr>
              <w:pStyle w:val="TableText"/>
              <w:spacing w:before="0" w:after="0"/>
              <w:rPr>
                <w:sz w:val="20"/>
                <w:szCs w:val="20"/>
              </w:rPr>
            </w:pPr>
            <w:r w:rsidRPr="005F3A9E">
              <w:rPr>
                <w:sz w:val="20"/>
                <w:szCs w:val="20"/>
              </w:rPr>
              <w:t>Magistrates are not entitled to conference leave.</w:t>
            </w:r>
          </w:p>
        </w:tc>
      </w:tr>
      <w:tr w:rsidR="00177AC6" w:rsidRPr="005F3A9E" w14:paraId="28191791" w14:textId="77777777" w:rsidTr="00221633">
        <w:trPr>
          <w:trHeight w:val="724"/>
        </w:trPr>
        <w:tc>
          <w:tcPr>
            <w:tcW w:w="1309" w:type="pct"/>
            <w:tcBorders>
              <w:top w:val="nil"/>
              <w:left w:val="nil"/>
              <w:bottom w:val="nil"/>
              <w:right w:val="nil"/>
            </w:tcBorders>
            <w:shd w:val="clear" w:color="auto" w:fill="FFFFFF"/>
          </w:tcPr>
          <w:p w14:paraId="424DF78D" w14:textId="33097D42" w:rsidR="00177AC6" w:rsidRPr="00DA6A6E" w:rsidRDefault="00177AC6" w:rsidP="00177AC6">
            <w:pPr>
              <w:pStyle w:val="TableText"/>
              <w:spacing w:before="0" w:after="0"/>
              <w:rPr>
                <w:color w:val="0063A6"/>
              </w:rPr>
            </w:pPr>
            <w:r w:rsidRPr="00DA6A6E">
              <w:rPr>
                <w:color w:val="0063A6"/>
              </w:rPr>
              <w:t>Submission</w:t>
            </w:r>
          </w:p>
        </w:tc>
        <w:tc>
          <w:tcPr>
            <w:tcW w:w="3691" w:type="pct"/>
            <w:gridSpan w:val="2"/>
            <w:tcBorders>
              <w:top w:val="nil"/>
              <w:left w:val="nil"/>
              <w:bottom w:val="nil"/>
            </w:tcBorders>
            <w:shd w:val="clear" w:color="auto" w:fill="FFFFFF"/>
          </w:tcPr>
          <w:p w14:paraId="6A0A4C2C" w14:textId="465BA184" w:rsidR="00177AC6" w:rsidRPr="005F3A9E" w:rsidRDefault="00830492" w:rsidP="00177AC6">
            <w:pPr>
              <w:pStyle w:val="TableText"/>
              <w:spacing w:before="0" w:after="0"/>
              <w:rPr>
                <w:sz w:val="20"/>
                <w:szCs w:val="20"/>
              </w:rPr>
            </w:pPr>
            <w:r>
              <w:rPr>
                <w:sz w:val="20"/>
                <w:szCs w:val="20"/>
              </w:rPr>
              <w:t xml:space="preserve">The </w:t>
            </w:r>
            <w:r w:rsidR="000261F7">
              <w:rPr>
                <w:sz w:val="20"/>
                <w:szCs w:val="20"/>
              </w:rPr>
              <w:t xml:space="preserve">Magistrates’ Court repeated its previous submission that each magistrate be entitled to five days’ conference leave per annum on a cumulative basis, in addition to any court-organised professional development days. </w:t>
            </w:r>
          </w:p>
        </w:tc>
      </w:tr>
      <w:tr w:rsidR="00177AC6" w:rsidRPr="005F3A9E" w14:paraId="31B83CB8" w14:textId="77777777" w:rsidTr="004B77A8">
        <w:trPr>
          <w:trHeight w:val="1397"/>
        </w:trPr>
        <w:tc>
          <w:tcPr>
            <w:tcW w:w="1309" w:type="pct"/>
            <w:tcBorders>
              <w:top w:val="nil"/>
              <w:left w:val="nil"/>
              <w:bottom w:val="single" w:sz="4" w:space="0" w:color="0063A6"/>
              <w:right w:val="nil"/>
            </w:tcBorders>
            <w:shd w:val="clear" w:color="auto" w:fill="FFFFFF"/>
          </w:tcPr>
          <w:p w14:paraId="3AE5DAEE" w14:textId="0E171177" w:rsidR="00177AC6" w:rsidRPr="00DA6A6E" w:rsidRDefault="00177AC6" w:rsidP="00177AC6">
            <w:pPr>
              <w:pStyle w:val="TableText"/>
              <w:spacing w:before="0" w:after="0"/>
              <w:rPr>
                <w:color w:val="0063A6"/>
              </w:rPr>
            </w:pPr>
            <w:r w:rsidRPr="00DA6A6E">
              <w:rPr>
                <w:color w:val="0063A6"/>
              </w:rPr>
              <w:t>Comment and determination</w:t>
            </w:r>
          </w:p>
        </w:tc>
        <w:tc>
          <w:tcPr>
            <w:tcW w:w="3691" w:type="pct"/>
            <w:gridSpan w:val="2"/>
            <w:tcBorders>
              <w:top w:val="nil"/>
              <w:left w:val="nil"/>
              <w:bottom w:val="single" w:sz="4" w:space="0" w:color="0063A6"/>
            </w:tcBorders>
            <w:shd w:val="clear" w:color="auto" w:fill="FFFFFF"/>
          </w:tcPr>
          <w:p w14:paraId="2D7EC811" w14:textId="4461FFC0" w:rsidR="00177AC6" w:rsidRPr="005F3A9E" w:rsidRDefault="00177AC6" w:rsidP="00177AC6">
            <w:pPr>
              <w:pStyle w:val="TableText"/>
              <w:spacing w:before="0" w:after="0"/>
              <w:rPr>
                <w:sz w:val="20"/>
                <w:szCs w:val="20"/>
              </w:rPr>
            </w:pPr>
            <w:r w:rsidRPr="005F3A9E">
              <w:rPr>
                <w:sz w:val="20"/>
                <w:szCs w:val="20"/>
              </w:rPr>
              <w:t xml:space="preserve">The Panel supports the commitment of the judicial system to ongoing professional development. </w:t>
            </w:r>
            <w:r w:rsidR="00EF0339">
              <w:rPr>
                <w:sz w:val="20"/>
                <w:szCs w:val="20"/>
              </w:rPr>
              <w:t xml:space="preserve">The Panel notes that, following its recommendation in 2018, the library allowance was replaced by the professional development allowance. Among other activities and purchases, this new allowance may be used for the costs of attending professional conferences, </w:t>
            </w:r>
            <w:proofErr w:type="gramStart"/>
            <w:r w:rsidR="00EF0339">
              <w:rPr>
                <w:sz w:val="20"/>
                <w:szCs w:val="20"/>
              </w:rPr>
              <w:t>courses</w:t>
            </w:r>
            <w:proofErr w:type="gramEnd"/>
            <w:r w:rsidR="00EF0339">
              <w:rPr>
                <w:sz w:val="20"/>
                <w:szCs w:val="20"/>
              </w:rPr>
              <w:t xml:space="preserve"> or tuition.</w:t>
            </w:r>
          </w:p>
          <w:p w14:paraId="44A965EE" w14:textId="784A8A20" w:rsidR="00E37617" w:rsidRPr="005F3A9E" w:rsidRDefault="00177AC6" w:rsidP="00177AC6">
            <w:pPr>
              <w:pStyle w:val="TableText"/>
              <w:spacing w:before="0" w:after="0"/>
              <w:rPr>
                <w:sz w:val="20"/>
                <w:szCs w:val="20"/>
              </w:rPr>
            </w:pPr>
            <w:r w:rsidRPr="005F3A9E">
              <w:rPr>
                <w:sz w:val="20"/>
                <w:szCs w:val="20"/>
              </w:rPr>
              <w:t>The Panel does not support making an entitlement to leave for the purpose of engaging in professional development activities</w:t>
            </w:r>
            <w:r w:rsidR="00C469DC">
              <w:rPr>
                <w:sz w:val="20"/>
                <w:szCs w:val="20"/>
              </w:rPr>
              <w:t xml:space="preserve">. Such leave should be provided with approval by the head of jurisdiction on a case-by-case basis. </w:t>
            </w:r>
          </w:p>
        </w:tc>
      </w:tr>
      <w:tr w:rsidR="00DA6A6E" w:rsidRPr="005F3A9E" w14:paraId="04AC7285" w14:textId="77777777" w:rsidTr="00221633">
        <w:trPr>
          <w:trHeight w:val="226"/>
        </w:trPr>
        <w:tc>
          <w:tcPr>
            <w:tcW w:w="5000" w:type="pct"/>
            <w:gridSpan w:val="3"/>
            <w:tcBorders>
              <w:top w:val="single" w:sz="4" w:space="0" w:color="0063A6"/>
              <w:left w:val="nil"/>
              <w:bottom w:val="nil"/>
            </w:tcBorders>
            <w:shd w:val="clear" w:color="auto" w:fill="FFFFFF"/>
          </w:tcPr>
          <w:p w14:paraId="780576D3" w14:textId="19F2C8E3" w:rsidR="00DA6A6E" w:rsidRPr="00177AC6" w:rsidRDefault="00DA6A6E" w:rsidP="007940DE">
            <w:pPr>
              <w:pStyle w:val="TableText"/>
              <w:spacing w:before="60" w:after="60"/>
              <w:rPr>
                <w:b/>
                <w:sz w:val="20"/>
                <w:szCs w:val="20"/>
              </w:rPr>
            </w:pPr>
            <w:r w:rsidRPr="00ED1E19">
              <w:rPr>
                <w:b/>
                <w:color w:val="0063A6"/>
                <w:sz w:val="20"/>
                <w:szCs w:val="20"/>
              </w:rPr>
              <w:t xml:space="preserve">Home Security </w:t>
            </w:r>
            <w:r w:rsidR="007C2E65">
              <w:rPr>
                <w:b/>
                <w:color w:val="0063A6"/>
                <w:sz w:val="20"/>
                <w:szCs w:val="20"/>
              </w:rPr>
              <w:t xml:space="preserve">Audit and </w:t>
            </w:r>
            <w:r w:rsidRPr="00ED1E19">
              <w:rPr>
                <w:b/>
                <w:color w:val="0063A6"/>
                <w:sz w:val="20"/>
                <w:szCs w:val="20"/>
              </w:rPr>
              <w:t>Allowance</w:t>
            </w:r>
            <w:r>
              <w:rPr>
                <w:b/>
                <w:sz w:val="20"/>
                <w:szCs w:val="20"/>
              </w:rPr>
              <w:t xml:space="preserve"> </w:t>
            </w:r>
          </w:p>
        </w:tc>
      </w:tr>
      <w:tr w:rsidR="00DA6A6E" w:rsidRPr="005F3A9E" w14:paraId="6A2D2FF9" w14:textId="77777777" w:rsidTr="007C2E65">
        <w:trPr>
          <w:trHeight w:val="355"/>
        </w:trPr>
        <w:tc>
          <w:tcPr>
            <w:tcW w:w="1309" w:type="pct"/>
            <w:tcBorders>
              <w:top w:val="nil"/>
              <w:left w:val="nil"/>
              <w:bottom w:val="nil"/>
              <w:right w:val="nil"/>
            </w:tcBorders>
            <w:shd w:val="clear" w:color="auto" w:fill="FFFFFF"/>
          </w:tcPr>
          <w:p w14:paraId="08184337" w14:textId="6133DE29" w:rsidR="00DA6A6E" w:rsidRPr="00DA6A6E" w:rsidRDefault="00DA6A6E" w:rsidP="00DA6A6E">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41945B76" w14:textId="77777777" w:rsidR="00DA6A6E" w:rsidRDefault="00DA6A6E" w:rsidP="00DA6A6E">
            <w:pPr>
              <w:pStyle w:val="TableText"/>
              <w:spacing w:before="0" w:after="0"/>
              <w:rPr>
                <w:sz w:val="20"/>
                <w:szCs w:val="20"/>
              </w:rPr>
            </w:pPr>
            <w:r w:rsidRPr="005F3A9E">
              <w:rPr>
                <w:sz w:val="20"/>
                <w:szCs w:val="20"/>
              </w:rPr>
              <w:t xml:space="preserve">Any member of the public can identify the personal property address of a </w:t>
            </w:r>
            <w:r w:rsidR="004B77A8">
              <w:rPr>
                <w:sz w:val="20"/>
                <w:szCs w:val="20"/>
              </w:rPr>
              <w:t>judicial officer through a property list index search. A judicial officer’s interests in any company or business can also be discovered using an ASIC company or business name search.</w:t>
            </w:r>
          </w:p>
          <w:p w14:paraId="4FCF98FE" w14:textId="3D9A0505" w:rsidR="007C2E65" w:rsidRPr="005F3A9E" w:rsidRDefault="007C2E65" w:rsidP="00DA6A6E">
            <w:pPr>
              <w:pStyle w:val="TableText"/>
              <w:spacing w:before="0" w:after="0"/>
              <w:rPr>
                <w:sz w:val="20"/>
                <w:szCs w:val="20"/>
              </w:rPr>
            </w:pPr>
            <w:r>
              <w:rPr>
                <w:sz w:val="20"/>
                <w:szCs w:val="20"/>
              </w:rPr>
              <w:t>Magistrates may receive threats to their or their family’s safety, due to the nature of their work and magistrates’ frequent exposure to violent offenders and organised crime.</w:t>
            </w:r>
          </w:p>
        </w:tc>
      </w:tr>
      <w:tr w:rsidR="00DA6A6E" w:rsidRPr="005F3A9E" w14:paraId="6EFEE38E" w14:textId="77777777" w:rsidTr="003F1972">
        <w:trPr>
          <w:trHeight w:val="909"/>
        </w:trPr>
        <w:tc>
          <w:tcPr>
            <w:tcW w:w="1309" w:type="pct"/>
            <w:tcBorders>
              <w:top w:val="nil"/>
              <w:left w:val="nil"/>
              <w:bottom w:val="nil"/>
              <w:right w:val="nil"/>
            </w:tcBorders>
            <w:shd w:val="clear" w:color="auto" w:fill="FFFFFF"/>
          </w:tcPr>
          <w:p w14:paraId="4C4276A3" w14:textId="027C454D" w:rsidR="00DA6A6E" w:rsidRPr="00DA6A6E" w:rsidRDefault="00DA6A6E" w:rsidP="00DA6A6E">
            <w:pPr>
              <w:pStyle w:val="TableText"/>
              <w:spacing w:before="0" w:after="0"/>
              <w:rPr>
                <w:color w:val="0063A6"/>
              </w:rPr>
            </w:pPr>
            <w:r w:rsidRPr="00DA6A6E">
              <w:rPr>
                <w:color w:val="0063A6"/>
              </w:rPr>
              <w:t>Submission</w:t>
            </w:r>
          </w:p>
        </w:tc>
        <w:tc>
          <w:tcPr>
            <w:tcW w:w="3691" w:type="pct"/>
            <w:gridSpan w:val="2"/>
            <w:tcBorders>
              <w:top w:val="nil"/>
              <w:left w:val="nil"/>
              <w:bottom w:val="nil"/>
            </w:tcBorders>
            <w:shd w:val="clear" w:color="auto" w:fill="FFFFFF"/>
          </w:tcPr>
          <w:p w14:paraId="343E2C5F" w14:textId="77777777" w:rsidR="007C2E65" w:rsidRDefault="007C2E65" w:rsidP="003F1972">
            <w:pPr>
              <w:pStyle w:val="TableText"/>
              <w:spacing w:before="0" w:after="0"/>
              <w:rPr>
                <w:sz w:val="20"/>
                <w:szCs w:val="20"/>
              </w:rPr>
            </w:pPr>
            <w:r>
              <w:rPr>
                <w:sz w:val="20"/>
                <w:szCs w:val="20"/>
              </w:rPr>
              <w:t>The Magistrates’ Court proposed:</w:t>
            </w:r>
          </w:p>
          <w:p w14:paraId="0C53A6AF" w14:textId="4CB85374" w:rsidR="004B77A8" w:rsidRDefault="007C2E65" w:rsidP="00956138">
            <w:pPr>
              <w:pStyle w:val="TableText"/>
              <w:numPr>
                <w:ilvl w:val="0"/>
                <w:numId w:val="28"/>
              </w:numPr>
              <w:spacing w:before="0" w:after="0"/>
              <w:rPr>
                <w:sz w:val="20"/>
                <w:szCs w:val="20"/>
              </w:rPr>
            </w:pPr>
            <w:r>
              <w:rPr>
                <w:sz w:val="20"/>
                <w:szCs w:val="20"/>
              </w:rPr>
              <w:t>an</w:t>
            </w:r>
            <w:r w:rsidR="004037C1">
              <w:rPr>
                <w:sz w:val="20"/>
                <w:szCs w:val="20"/>
              </w:rPr>
              <w:t xml:space="preserve"> allowance be provided to conduct an</w:t>
            </w:r>
            <w:r>
              <w:rPr>
                <w:sz w:val="20"/>
                <w:szCs w:val="20"/>
              </w:rPr>
              <w:t xml:space="preserve"> annual security audit of each magistrate’s residence with a court-appointed security expert, and any security issues at the property are paid for by CSV</w:t>
            </w:r>
          </w:p>
          <w:p w14:paraId="60DCAE41" w14:textId="460E2DD5" w:rsidR="007C2E65" w:rsidRDefault="007C2E65" w:rsidP="00956138">
            <w:pPr>
              <w:pStyle w:val="TableText"/>
              <w:numPr>
                <w:ilvl w:val="0"/>
                <w:numId w:val="28"/>
              </w:numPr>
              <w:spacing w:before="0" w:after="0"/>
              <w:rPr>
                <w:sz w:val="20"/>
                <w:szCs w:val="20"/>
              </w:rPr>
            </w:pPr>
            <w:r>
              <w:rPr>
                <w:sz w:val="20"/>
                <w:szCs w:val="20"/>
              </w:rPr>
              <w:t>magistrates and their families’ personal identities on any public register be protected and/or removed, and</w:t>
            </w:r>
          </w:p>
          <w:p w14:paraId="7D02C9A6" w14:textId="20C965B5" w:rsidR="00DA6A6E" w:rsidRPr="00B516C7" w:rsidRDefault="007C2E65" w:rsidP="00956138">
            <w:pPr>
              <w:pStyle w:val="TableText"/>
              <w:numPr>
                <w:ilvl w:val="0"/>
                <w:numId w:val="28"/>
              </w:numPr>
              <w:spacing w:before="0" w:after="0"/>
              <w:rPr>
                <w:sz w:val="20"/>
                <w:szCs w:val="20"/>
              </w:rPr>
            </w:pPr>
            <w:r>
              <w:rPr>
                <w:sz w:val="20"/>
                <w:szCs w:val="20"/>
              </w:rPr>
              <w:t xml:space="preserve">magistrates be provided with personal duress alarms that are monitored 24/7 by security or law enforcement bodies. </w:t>
            </w:r>
            <w:r w:rsidR="00DA6A6E" w:rsidRPr="00B516C7">
              <w:rPr>
                <w:sz w:val="20"/>
                <w:szCs w:val="20"/>
              </w:rPr>
              <w:t xml:space="preserve"> </w:t>
            </w:r>
          </w:p>
        </w:tc>
      </w:tr>
      <w:tr w:rsidR="00DA6A6E" w:rsidRPr="005F3A9E" w14:paraId="42D5FC2C" w14:textId="77777777" w:rsidTr="003F1972">
        <w:trPr>
          <w:trHeight w:val="440"/>
        </w:trPr>
        <w:tc>
          <w:tcPr>
            <w:tcW w:w="1309" w:type="pct"/>
            <w:tcBorders>
              <w:top w:val="nil"/>
              <w:left w:val="nil"/>
              <w:bottom w:val="single" w:sz="4" w:space="0" w:color="0063A6"/>
              <w:right w:val="nil"/>
            </w:tcBorders>
            <w:shd w:val="clear" w:color="auto" w:fill="FFFFFF"/>
          </w:tcPr>
          <w:p w14:paraId="3341D655" w14:textId="36640725" w:rsidR="00DA6A6E" w:rsidRPr="00DA6A6E" w:rsidRDefault="00DA6A6E" w:rsidP="00DA6A6E">
            <w:pPr>
              <w:pStyle w:val="TableText"/>
              <w:spacing w:before="0" w:after="0"/>
              <w:rPr>
                <w:color w:val="0063A6"/>
              </w:rPr>
            </w:pPr>
            <w:r w:rsidRPr="00DA6A6E">
              <w:rPr>
                <w:color w:val="0063A6"/>
              </w:rPr>
              <w:t>Comment and determination</w:t>
            </w:r>
          </w:p>
        </w:tc>
        <w:tc>
          <w:tcPr>
            <w:tcW w:w="3691" w:type="pct"/>
            <w:gridSpan w:val="2"/>
            <w:tcBorders>
              <w:top w:val="nil"/>
              <w:left w:val="nil"/>
              <w:bottom w:val="single" w:sz="4" w:space="0" w:color="0063A6"/>
            </w:tcBorders>
            <w:shd w:val="clear" w:color="auto" w:fill="FFFFFF"/>
          </w:tcPr>
          <w:p w14:paraId="486AF125" w14:textId="351FB2FE" w:rsidR="0049283E" w:rsidRDefault="0049283E" w:rsidP="00DA6A6E">
            <w:pPr>
              <w:pStyle w:val="TableText"/>
              <w:spacing w:before="0" w:after="0"/>
              <w:rPr>
                <w:sz w:val="20"/>
                <w:szCs w:val="20"/>
              </w:rPr>
            </w:pPr>
            <w:r>
              <w:rPr>
                <w:sz w:val="20"/>
                <w:szCs w:val="20"/>
              </w:rPr>
              <w:t>The Panel has not found a compelling reason to provide</w:t>
            </w:r>
            <w:r w:rsidR="002F5B29">
              <w:rPr>
                <w:sz w:val="20"/>
                <w:szCs w:val="20"/>
              </w:rPr>
              <w:t xml:space="preserve"> magistrates with a </w:t>
            </w:r>
            <w:r w:rsidR="0098532A">
              <w:rPr>
                <w:sz w:val="20"/>
                <w:szCs w:val="20"/>
              </w:rPr>
              <w:t xml:space="preserve">home security audit and allowance when other judicial officers, both in Victoria and interstate, do not receive such an entitlement. </w:t>
            </w:r>
          </w:p>
          <w:p w14:paraId="49FA60D9" w14:textId="603555C7" w:rsidR="0098532A" w:rsidRDefault="0098532A" w:rsidP="00DA6A6E">
            <w:pPr>
              <w:pStyle w:val="TableText"/>
              <w:spacing w:before="0" w:after="0"/>
              <w:rPr>
                <w:sz w:val="20"/>
                <w:szCs w:val="20"/>
              </w:rPr>
            </w:pPr>
            <w:r>
              <w:rPr>
                <w:sz w:val="20"/>
                <w:szCs w:val="20"/>
              </w:rPr>
              <w:t xml:space="preserve">The publication of magistrates’ details on the Land Titles and ASIC registers falls outside the remit of the Attorney-General, and therefore the Panel cannot make a recommendation to the minster on this issue. </w:t>
            </w:r>
          </w:p>
          <w:p w14:paraId="40A98812" w14:textId="64F03E40" w:rsidR="00DA6A6E" w:rsidRPr="005F3A9E" w:rsidRDefault="0098532A" w:rsidP="0098532A">
            <w:pPr>
              <w:pStyle w:val="TableText"/>
              <w:spacing w:before="0" w:after="0"/>
              <w:rPr>
                <w:sz w:val="20"/>
                <w:szCs w:val="20"/>
              </w:rPr>
            </w:pPr>
            <w:r>
              <w:rPr>
                <w:sz w:val="20"/>
                <w:szCs w:val="20"/>
              </w:rPr>
              <w:t xml:space="preserve">If a magistrate faces </w:t>
            </w:r>
            <w:r w:rsidR="00DA6A6E" w:rsidRPr="005F3A9E">
              <w:rPr>
                <w:sz w:val="20"/>
                <w:szCs w:val="20"/>
              </w:rPr>
              <w:t>specific security issues,</w:t>
            </w:r>
            <w:r>
              <w:rPr>
                <w:sz w:val="20"/>
                <w:szCs w:val="20"/>
              </w:rPr>
              <w:t xml:space="preserve"> the magistrate should raise these with the Court and CSV.</w:t>
            </w:r>
            <w:r w:rsidR="00DA6A6E" w:rsidRPr="005F3A9E">
              <w:rPr>
                <w:sz w:val="20"/>
                <w:szCs w:val="20"/>
              </w:rPr>
              <w:t xml:space="preserve"> </w:t>
            </w:r>
          </w:p>
        </w:tc>
      </w:tr>
      <w:tr w:rsidR="003F1972" w:rsidRPr="005F3A9E" w14:paraId="3D711C4D" w14:textId="77777777" w:rsidTr="003F1972">
        <w:trPr>
          <w:trHeight w:val="440"/>
        </w:trPr>
        <w:tc>
          <w:tcPr>
            <w:tcW w:w="5000" w:type="pct"/>
            <w:gridSpan w:val="3"/>
            <w:tcBorders>
              <w:top w:val="single" w:sz="4" w:space="0" w:color="0063A6"/>
              <w:left w:val="nil"/>
              <w:bottom w:val="nil"/>
            </w:tcBorders>
            <w:shd w:val="clear" w:color="auto" w:fill="FFFFFF"/>
          </w:tcPr>
          <w:p w14:paraId="610CA70A" w14:textId="652BCF3C" w:rsidR="003F1972" w:rsidRPr="005F3A9E" w:rsidRDefault="00E50F0C" w:rsidP="003F1972">
            <w:pPr>
              <w:pStyle w:val="TableText"/>
              <w:spacing w:before="60" w:after="60"/>
              <w:rPr>
                <w:sz w:val="20"/>
                <w:szCs w:val="20"/>
              </w:rPr>
            </w:pPr>
            <w:r>
              <w:rPr>
                <w:b/>
                <w:color w:val="0063A6"/>
                <w:sz w:val="20"/>
                <w:szCs w:val="20"/>
              </w:rPr>
              <w:t>Public transport</w:t>
            </w:r>
          </w:p>
        </w:tc>
      </w:tr>
      <w:tr w:rsidR="003F1972" w:rsidRPr="005F3A9E" w14:paraId="3329DB9F" w14:textId="77777777" w:rsidTr="003F1972">
        <w:trPr>
          <w:trHeight w:val="440"/>
        </w:trPr>
        <w:tc>
          <w:tcPr>
            <w:tcW w:w="1309" w:type="pct"/>
            <w:tcBorders>
              <w:top w:val="nil"/>
              <w:left w:val="nil"/>
              <w:bottom w:val="nil"/>
              <w:right w:val="nil"/>
            </w:tcBorders>
            <w:shd w:val="clear" w:color="auto" w:fill="FFFFFF"/>
          </w:tcPr>
          <w:p w14:paraId="665E001A" w14:textId="6BA43ED6" w:rsidR="003F1972" w:rsidRPr="00DA6A6E" w:rsidRDefault="003F1972" w:rsidP="003F1972">
            <w:pPr>
              <w:pStyle w:val="TableText"/>
              <w:spacing w:before="0" w:after="0"/>
              <w:rPr>
                <w:color w:val="0063A6"/>
              </w:rPr>
            </w:pPr>
            <w:r w:rsidRPr="00DA6A6E">
              <w:rPr>
                <w:color w:val="0063A6"/>
              </w:rPr>
              <w:t>Current entitlement / Issue</w:t>
            </w:r>
          </w:p>
        </w:tc>
        <w:tc>
          <w:tcPr>
            <w:tcW w:w="3691" w:type="pct"/>
            <w:gridSpan w:val="2"/>
            <w:tcBorders>
              <w:top w:val="nil"/>
              <w:left w:val="nil"/>
              <w:bottom w:val="nil"/>
            </w:tcBorders>
            <w:shd w:val="clear" w:color="auto" w:fill="FFFFFF"/>
          </w:tcPr>
          <w:p w14:paraId="3F36C4D4" w14:textId="215FF8A8" w:rsidR="003F1972" w:rsidRPr="005F3A9E" w:rsidRDefault="001A0F53" w:rsidP="003F1972">
            <w:pPr>
              <w:pStyle w:val="TableText"/>
              <w:spacing w:before="0" w:after="0"/>
              <w:rPr>
                <w:sz w:val="20"/>
                <w:szCs w:val="20"/>
              </w:rPr>
            </w:pPr>
            <w:r>
              <w:rPr>
                <w:sz w:val="20"/>
                <w:szCs w:val="20"/>
              </w:rPr>
              <w:t xml:space="preserve">Magistrates do not receive a public transport entitlement. </w:t>
            </w:r>
          </w:p>
        </w:tc>
      </w:tr>
      <w:tr w:rsidR="003F1972" w:rsidRPr="005F3A9E" w14:paraId="61B77508" w14:textId="77777777" w:rsidTr="003478D3">
        <w:trPr>
          <w:trHeight w:val="440"/>
        </w:trPr>
        <w:tc>
          <w:tcPr>
            <w:tcW w:w="1309" w:type="pct"/>
            <w:tcBorders>
              <w:top w:val="nil"/>
              <w:left w:val="nil"/>
              <w:bottom w:val="nil"/>
              <w:right w:val="nil"/>
            </w:tcBorders>
            <w:shd w:val="clear" w:color="auto" w:fill="FFFFFF"/>
          </w:tcPr>
          <w:p w14:paraId="71B752E8" w14:textId="170B8D75" w:rsidR="003F1972" w:rsidRPr="00DA6A6E" w:rsidRDefault="003F1972" w:rsidP="003F1972">
            <w:pPr>
              <w:pStyle w:val="TableText"/>
              <w:spacing w:before="0" w:after="0"/>
              <w:rPr>
                <w:color w:val="0063A6"/>
              </w:rPr>
            </w:pPr>
            <w:r w:rsidRPr="00DA6A6E">
              <w:rPr>
                <w:color w:val="0063A6"/>
              </w:rPr>
              <w:lastRenderedPageBreak/>
              <w:t>Submission</w:t>
            </w:r>
          </w:p>
        </w:tc>
        <w:tc>
          <w:tcPr>
            <w:tcW w:w="3691" w:type="pct"/>
            <w:gridSpan w:val="2"/>
            <w:tcBorders>
              <w:top w:val="nil"/>
              <w:left w:val="nil"/>
              <w:bottom w:val="nil"/>
            </w:tcBorders>
            <w:shd w:val="clear" w:color="auto" w:fill="FFFFFF"/>
          </w:tcPr>
          <w:p w14:paraId="2F96EDC0" w14:textId="103F039E" w:rsidR="001A0F53" w:rsidRDefault="001A0F53" w:rsidP="00E50F0C">
            <w:pPr>
              <w:pStyle w:val="TableText"/>
              <w:spacing w:before="0" w:after="0"/>
              <w:rPr>
                <w:sz w:val="20"/>
                <w:szCs w:val="20"/>
              </w:rPr>
            </w:pPr>
            <w:r>
              <w:rPr>
                <w:sz w:val="20"/>
                <w:szCs w:val="20"/>
              </w:rPr>
              <w:t>The Magistrates’ Court repeated its previous submission that magistrates receive an entitlement to free travel on public transport, in line with Supreme and County Court judges.</w:t>
            </w:r>
          </w:p>
          <w:p w14:paraId="20F492FB" w14:textId="74E81BA3" w:rsidR="00EE267B" w:rsidRPr="001A0F53" w:rsidRDefault="001A0F53" w:rsidP="001A0F53">
            <w:pPr>
              <w:pStyle w:val="TableText"/>
              <w:spacing w:before="0" w:after="0"/>
              <w:rPr>
                <w:sz w:val="20"/>
                <w:szCs w:val="20"/>
              </w:rPr>
            </w:pPr>
            <w:r>
              <w:rPr>
                <w:sz w:val="20"/>
                <w:szCs w:val="20"/>
              </w:rPr>
              <w:t xml:space="preserve">The Court contended this entitlement would be in the interests of the community and the </w:t>
            </w:r>
            <w:proofErr w:type="gramStart"/>
            <w:r>
              <w:rPr>
                <w:sz w:val="20"/>
                <w:szCs w:val="20"/>
              </w:rPr>
              <w:t>environment, and</w:t>
            </w:r>
            <w:proofErr w:type="gramEnd"/>
            <w:r>
              <w:rPr>
                <w:sz w:val="20"/>
                <w:szCs w:val="20"/>
              </w:rPr>
              <w:t xml:space="preserve"> had a trivial cost implication.</w:t>
            </w:r>
          </w:p>
        </w:tc>
      </w:tr>
      <w:tr w:rsidR="003F1972" w:rsidRPr="005F3A9E" w14:paraId="0F28FE88" w14:textId="77777777" w:rsidTr="003478D3">
        <w:trPr>
          <w:trHeight w:val="440"/>
        </w:trPr>
        <w:tc>
          <w:tcPr>
            <w:tcW w:w="1309" w:type="pct"/>
            <w:tcBorders>
              <w:top w:val="nil"/>
              <w:left w:val="nil"/>
              <w:bottom w:val="single" w:sz="4" w:space="0" w:color="4472C4" w:themeColor="accent5"/>
              <w:right w:val="nil"/>
            </w:tcBorders>
            <w:shd w:val="clear" w:color="auto" w:fill="FFFFFF"/>
          </w:tcPr>
          <w:p w14:paraId="2BCF5047" w14:textId="313E82C5" w:rsidR="003F1972" w:rsidRPr="00DA6A6E" w:rsidRDefault="003F1972" w:rsidP="003F1972">
            <w:pPr>
              <w:pStyle w:val="TableText"/>
              <w:spacing w:before="0" w:after="0"/>
              <w:rPr>
                <w:color w:val="0063A6"/>
              </w:rPr>
            </w:pPr>
            <w:r w:rsidRPr="00DA6A6E">
              <w:rPr>
                <w:color w:val="0063A6"/>
              </w:rPr>
              <w:t>Comment and determination</w:t>
            </w:r>
          </w:p>
        </w:tc>
        <w:tc>
          <w:tcPr>
            <w:tcW w:w="3691" w:type="pct"/>
            <w:gridSpan w:val="2"/>
            <w:tcBorders>
              <w:top w:val="nil"/>
              <w:left w:val="nil"/>
              <w:bottom w:val="single" w:sz="4" w:space="0" w:color="4472C4" w:themeColor="accent5"/>
            </w:tcBorders>
            <w:shd w:val="clear" w:color="auto" w:fill="FFFFFF"/>
          </w:tcPr>
          <w:p w14:paraId="0621CB42" w14:textId="57E1EB58" w:rsidR="00E50F0C" w:rsidRDefault="00E50F0C" w:rsidP="00E50F0C">
            <w:pPr>
              <w:pStyle w:val="TableText"/>
              <w:spacing w:before="0" w:after="0"/>
              <w:rPr>
                <w:sz w:val="20"/>
                <w:szCs w:val="20"/>
              </w:rPr>
            </w:pPr>
            <w:r>
              <w:rPr>
                <w:sz w:val="20"/>
                <w:szCs w:val="20"/>
              </w:rPr>
              <w:t>The Panel recognise</w:t>
            </w:r>
            <w:r w:rsidR="001A0F53">
              <w:rPr>
                <w:sz w:val="20"/>
                <w:szCs w:val="20"/>
              </w:rPr>
              <w:t>s the increased use of public transport provides a range of savings for the community</w:t>
            </w:r>
            <w:r>
              <w:rPr>
                <w:sz w:val="20"/>
                <w:szCs w:val="20"/>
              </w:rPr>
              <w:t>.</w:t>
            </w:r>
            <w:r w:rsidR="001A0F53">
              <w:rPr>
                <w:sz w:val="20"/>
                <w:szCs w:val="20"/>
              </w:rPr>
              <w:t xml:space="preserve"> Notwithstanding, consistent with its view in 2018, the Panel does not support extending the public transport entitlement to magistrates. </w:t>
            </w:r>
          </w:p>
          <w:p w14:paraId="79A35ED3" w14:textId="7F1C2403" w:rsidR="007B1B3B" w:rsidRDefault="007B1B3B" w:rsidP="00E50F0C">
            <w:pPr>
              <w:pStyle w:val="TableText"/>
              <w:spacing w:before="0" w:after="0"/>
              <w:rPr>
                <w:sz w:val="20"/>
                <w:szCs w:val="20"/>
              </w:rPr>
            </w:pPr>
            <w:r>
              <w:rPr>
                <w:sz w:val="20"/>
                <w:szCs w:val="20"/>
              </w:rPr>
              <w:t xml:space="preserve">While Supreme and County Court judges receive such an entitlement, the enhanced entitlements for these judges reflects their higher position in the judicial system. </w:t>
            </w:r>
          </w:p>
          <w:p w14:paraId="4B47738E" w14:textId="039D8458" w:rsidR="003F1972" w:rsidRPr="005F3A9E" w:rsidRDefault="007B1B3B" w:rsidP="00E50F0C">
            <w:pPr>
              <w:pStyle w:val="TableText"/>
              <w:spacing w:before="0" w:after="0"/>
              <w:rPr>
                <w:sz w:val="20"/>
                <w:szCs w:val="20"/>
              </w:rPr>
            </w:pPr>
            <w:r>
              <w:rPr>
                <w:sz w:val="20"/>
                <w:szCs w:val="20"/>
              </w:rPr>
              <w:t xml:space="preserve">The Panel continues to support magistrates’ work-related public transport costs being </w:t>
            </w:r>
            <w:proofErr w:type="gramStart"/>
            <w:r>
              <w:rPr>
                <w:sz w:val="20"/>
                <w:szCs w:val="20"/>
              </w:rPr>
              <w:t>covered, but</w:t>
            </w:r>
            <w:proofErr w:type="gramEnd"/>
            <w:r>
              <w:rPr>
                <w:sz w:val="20"/>
                <w:szCs w:val="20"/>
              </w:rPr>
              <w:t xml:space="preserve"> does not support covering both work and personal travel.</w:t>
            </w:r>
          </w:p>
        </w:tc>
      </w:tr>
      <w:tr w:rsidR="008431A6" w:rsidRPr="005F3A9E" w14:paraId="3AD2B9F3" w14:textId="77777777" w:rsidTr="00732956">
        <w:trPr>
          <w:trHeight w:val="141"/>
        </w:trPr>
        <w:tc>
          <w:tcPr>
            <w:tcW w:w="3709" w:type="pct"/>
            <w:gridSpan w:val="2"/>
            <w:tcBorders>
              <w:top w:val="single" w:sz="4" w:space="0" w:color="4472C4" w:themeColor="accent5"/>
              <w:left w:val="nil"/>
              <w:bottom w:val="nil"/>
              <w:right w:val="nil"/>
            </w:tcBorders>
            <w:shd w:val="clear" w:color="auto" w:fill="FFFFFF"/>
          </w:tcPr>
          <w:p w14:paraId="112D1584" w14:textId="051FB0FC" w:rsidR="008431A6" w:rsidRPr="00DA6A6E" w:rsidRDefault="003478D3" w:rsidP="003F1972">
            <w:pPr>
              <w:pStyle w:val="TableText"/>
              <w:spacing w:before="0" w:after="0"/>
              <w:rPr>
                <w:color w:val="0063A6"/>
              </w:rPr>
            </w:pPr>
            <w:r>
              <w:rPr>
                <w:b/>
                <w:color w:val="0063A6"/>
                <w:sz w:val="20"/>
                <w:szCs w:val="20"/>
              </w:rPr>
              <w:t xml:space="preserve">Reserve magistrates’ </w:t>
            </w:r>
            <w:r w:rsidR="00732956">
              <w:rPr>
                <w:b/>
                <w:color w:val="0063A6"/>
                <w:sz w:val="20"/>
                <w:szCs w:val="20"/>
              </w:rPr>
              <w:t>professional development allowances</w:t>
            </w:r>
          </w:p>
        </w:tc>
        <w:tc>
          <w:tcPr>
            <w:tcW w:w="1291" w:type="pct"/>
            <w:tcBorders>
              <w:top w:val="single" w:sz="4" w:space="0" w:color="4472C4" w:themeColor="accent5"/>
              <w:left w:val="nil"/>
              <w:bottom w:val="nil"/>
            </w:tcBorders>
            <w:shd w:val="clear" w:color="auto" w:fill="FFFFFF"/>
          </w:tcPr>
          <w:p w14:paraId="099F2ECA" w14:textId="77777777" w:rsidR="008431A6" w:rsidRDefault="008431A6" w:rsidP="00E50F0C">
            <w:pPr>
              <w:pStyle w:val="TableText"/>
              <w:spacing w:before="0" w:after="0"/>
              <w:rPr>
                <w:sz w:val="20"/>
                <w:szCs w:val="20"/>
              </w:rPr>
            </w:pPr>
          </w:p>
        </w:tc>
      </w:tr>
      <w:tr w:rsidR="003478D3" w:rsidRPr="005F3A9E" w14:paraId="70FF4FC8" w14:textId="77777777" w:rsidTr="003F1972">
        <w:trPr>
          <w:trHeight w:val="440"/>
        </w:trPr>
        <w:tc>
          <w:tcPr>
            <w:tcW w:w="1309" w:type="pct"/>
            <w:tcBorders>
              <w:top w:val="nil"/>
              <w:left w:val="nil"/>
              <w:bottom w:val="nil"/>
              <w:right w:val="nil"/>
            </w:tcBorders>
            <w:shd w:val="clear" w:color="auto" w:fill="FFFFFF"/>
          </w:tcPr>
          <w:p w14:paraId="5DD636F4" w14:textId="038D6DE9" w:rsidR="003478D3" w:rsidRDefault="003478D3" w:rsidP="003F1972">
            <w:pPr>
              <w:pStyle w:val="TableText"/>
              <w:spacing w:before="0" w:after="0"/>
              <w:rPr>
                <w:color w:val="0063A6"/>
              </w:rPr>
            </w:pPr>
            <w:r>
              <w:rPr>
                <w:color w:val="0063A6"/>
              </w:rPr>
              <w:t>Current entitlement / Issue</w:t>
            </w:r>
          </w:p>
        </w:tc>
        <w:tc>
          <w:tcPr>
            <w:tcW w:w="3691" w:type="pct"/>
            <w:gridSpan w:val="2"/>
            <w:tcBorders>
              <w:top w:val="nil"/>
              <w:left w:val="nil"/>
              <w:bottom w:val="nil"/>
            </w:tcBorders>
            <w:shd w:val="clear" w:color="auto" w:fill="FFFFFF"/>
          </w:tcPr>
          <w:p w14:paraId="7E0716B6" w14:textId="6C576A01" w:rsidR="003478D3" w:rsidRDefault="00732956" w:rsidP="00E50F0C">
            <w:pPr>
              <w:pStyle w:val="TableText"/>
              <w:spacing w:before="0" w:after="0"/>
              <w:rPr>
                <w:sz w:val="20"/>
                <w:szCs w:val="20"/>
              </w:rPr>
            </w:pPr>
            <w:r>
              <w:rPr>
                <w:sz w:val="20"/>
                <w:szCs w:val="20"/>
              </w:rPr>
              <w:t>Reserve magistrates are not entitled to a professional development allowance or professional development days.</w:t>
            </w:r>
          </w:p>
        </w:tc>
      </w:tr>
      <w:tr w:rsidR="003478D3" w:rsidRPr="005F3A9E" w14:paraId="25E120C1" w14:textId="77777777" w:rsidTr="003F1972">
        <w:trPr>
          <w:trHeight w:val="440"/>
        </w:trPr>
        <w:tc>
          <w:tcPr>
            <w:tcW w:w="1309" w:type="pct"/>
            <w:tcBorders>
              <w:top w:val="nil"/>
              <w:left w:val="nil"/>
              <w:bottom w:val="nil"/>
              <w:right w:val="nil"/>
            </w:tcBorders>
            <w:shd w:val="clear" w:color="auto" w:fill="FFFFFF"/>
          </w:tcPr>
          <w:p w14:paraId="4E580D5D" w14:textId="4EF93828" w:rsidR="003478D3" w:rsidRDefault="003478D3" w:rsidP="003F1972">
            <w:pPr>
              <w:pStyle w:val="TableText"/>
              <w:spacing w:before="0" w:after="0"/>
              <w:rPr>
                <w:color w:val="0063A6"/>
              </w:rPr>
            </w:pPr>
            <w:r>
              <w:rPr>
                <w:color w:val="0063A6"/>
              </w:rPr>
              <w:t>Submission</w:t>
            </w:r>
          </w:p>
        </w:tc>
        <w:tc>
          <w:tcPr>
            <w:tcW w:w="3691" w:type="pct"/>
            <w:gridSpan w:val="2"/>
            <w:tcBorders>
              <w:top w:val="nil"/>
              <w:left w:val="nil"/>
              <w:bottom w:val="nil"/>
            </w:tcBorders>
            <w:shd w:val="clear" w:color="auto" w:fill="FFFFFF"/>
          </w:tcPr>
          <w:p w14:paraId="5C18DF70" w14:textId="77777777" w:rsidR="003478D3" w:rsidRDefault="00732956" w:rsidP="00E50F0C">
            <w:pPr>
              <w:pStyle w:val="TableText"/>
              <w:spacing w:before="0" w:after="0"/>
              <w:rPr>
                <w:sz w:val="20"/>
                <w:szCs w:val="20"/>
              </w:rPr>
            </w:pPr>
            <w:r>
              <w:rPr>
                <w:sz w:val="20"/>
                <w:szCs w:val="20"/>
              </w:rPr>
              <w:t>The Magistrates’ Court proposed reserve magistrates be entitled to:</w:t>
            </w:r>
          </w:p>
          <w:p w14:paraId="0EB367E3" w14:textId="77777777" w:rsidR="00732956" w:rsidRDefault="00732956" w:rsidP="00956138">
            <w:pPr>
              <w:pStyle w:val="TableText"/>
              <w:numPr>
                <w:ilvl w:val="0"/>
                <w:numId w:val="29"/>
              </w:numPr>
              <w:spacing w:before="0" w:after="0"/>
              <w:rPr>
                <w:sz w:val="20"/>
                <w:szCs w:val="20"/>
              </w:rPr>
            </w:pPr>
            <w:r>
              <w:rPr>
                <w:sz w:val="20"/>
                <w:szCs w:val="20"/>
              </w:rPr>
              <w:t xml:space="preserve">a percentage of the book allowance, now known as the professional development allowance, as approved by the Chief Magistrate, in proportion to the days </w:t>
            </w:r>
            <w:r w:rsidR="00084AC4">
              <w:rPr>
                <w:sz w:val="20"/>
                <w:szCs w:val="20"/>
              </w:rPr>
              <w:t>the reserve magistrate attends to the business of the court over the financial year, and</w:t>
            </w:r>
          </w:p>
          <w:p w14:paraId="2305858C" w14:textId="383226B4" w:rsidR="00084AC4" w:rsidRDefault="00084AC4" w:rsidP="00956138">
            <w:pPr>
              <w:pStyle w:val="TableText"/>
              <w:numPr>
                <w:ilvl w:val="0"/>
                <w:numId w:val="29"/>
              </w:numPr>
              <w:spacing w:before="0" w:after="0"/>
              <w:rPr>
                <w:sz w:val="20"/>
                <w:szCs w:val="20"/>
              </w:rPr>
            </w:pPr>
            <w:r>
              <w:rPr>
                <w:sz w:val="20"/>
                <w:szCs w:val="20"/>
              </w:rPr>
              <w:t>a daily allowance for attending professional development days approved by the Chief Magistrate.</w:t>
            </w:r>
          </w:p>
        </w:tc>
      </w:tr>
      <w:tr w:rsidR="003478D3" w:rsidRPr="005F3A9E" w14:paraId="4E863F14" w14:textId="77777777" w:rsidTr="003F1972">
        <w:trPr>
          <w:trHeight w:val="440"/>
        </w:trPr>
        <w:tc>
          <w:tcPr>
            <w:tcW w:w="1309" w:type="pct"/>
            <w:tcBorders>
              <w:top w:val="nil"/>
              <w:left w:val="nil"/>
              <w:bottom w:val="nil"/>
              <w:right w:val="nil"/>
            </w:tcBorders>
            <w:shd w:val="clear" w:color="auto" w:fill="FFFFFF"/>
          </w:tcPr>
          <w:p w14:paraId="37541C71" w14:textId="641E74F1" w:rsidR="003478D3" w:rsidRDefault="003478D3" w:rsidP="003F1972">
            <w:pPr>
              <w:pStyle w:val="TableText"/>
              <w:spacing w:before="0" w:after="0"/>
              <w:rPr>
                <w:color w:val="0063A6"/>
              </w:rPr>
            </w:pPr>
            <w:r>
              <w:rPr>
                <w:color w:val="0063A6"/>
              </w:rPr>
              <w:t>Comment and determination</w:t>
            </w:r>
          </w:p>
        </w:tc>
        <w:tc>
          <w:tcPr>
            <w:tcW w:w="3691" w:type="pct"/>
            <w:gridSpan w:val="2"/>
            <w:tcBorders>
              <w:top w:val="nil"/>
              <w:left w:val="nil"/>
              <w:bottom w:val="nil"/>
            </w:tcBorders>
            <w:shd w:val="clear" w:color="auto" w:fill="FFFFFF"/>
          </w:tcPr>
          <w:p w14:paraId="13F5229E" w14:textId="3629EB2E" w:rsidR="00D3293D" w:rsidRDefault="00D3293D" w:rsidP="00E50F0C">
            <w:pPr>
              <w:pStyle w:val="TableText"/>
              <w:spacing w:before="0" w:after="0"/>
              <w:rPr>
                <w:sz w:val="20"/>
                <w:szCs w:val="20"/>
              </w:rPr>
            </w:pPr>
            <w:r>
              <w:rPr>
                <w:sz w:val="20"/>
                <w:szCs w:val="20"/>
              </w:rPr>
              <w:t>The Panel considers the proposal to entitle reserve magistrates to a percentage of the professional development allowance would involve an administrative burden disproportionate to the benefit provided.</w:t>
            </w:r>
          </w:p>
          <w:p w14:paraId="30D3F5B7" w14:textId="55540949" w:rsidR="003478D3" w:rsidRDefault="00084AC4" w:rsidP="00E50F0C">
            <w:pPr>
              <w:pStyle w:val="TableText"/>
              <w:spacing w:before="0" w:after="0"/>
              <w:rPr>
                <w:sz w:val="20"/>
                <w:szCs w:val="20"/>
              </w:rPr>
            </w:pPr>
            <w:r>
              <w:rPr>
                <w:sz w:val="20"/>
                <w:szCs w:val="20"/>
              </w:rPr>
              <w:t>The professional development entitlement in the certificate dated 2</w:t>
            </w:r>
            <w:r w:rsidR="007A5ED8">
              <w:rPr>
                <w:sz w:val="20"/>
                <w:szCs w:val="20"/>
              </w:rPr>
              <w:t>6</w:t>
            </w:r>
            <w:r>
              <w:rPr>
                <w:sz w:val="20"/>
                <w:szCs w:val="20"/>
              </w:rPr>
              <w:t xml:space="preserve"> August 2019 provides certain judicial officers with a monetary allowance, rather than days. Therefore, providing reserve magistrates with professional development days would be inconsistent with the entitlements of other judicial officers. </w:t>
            </w:r>
          </w:p>
        </w:tc>
      </w:tr>
    </w:tbl>
    <w:p w14:paraId="42565360" w14:textId="71B22DA4" w:rsidR="005F3A9E" w:rsidRDefault="005F3A9E">
      <w:pPr>
        <w:autoSpaceDE/>
        <w:autoSpaceDN/>
        <w:adjustRightInd/>
        <w:spacing w:before="0" w:after="0"/>
      </w:pPr>
      <w:r>
        <w:br w:type="page"/>
      </w:r>
    </w:p>
    <w:p w14:paraId="4147DED0" w14:textId="0E8C0A12" w:rsidR="00BB4181" w:rsidRDefault="00BB4181" w:rsidP="00BB4181">
      <w:pPr>
        <w:pStyle w:val="Heading1"/>
      </w:pPr>
      <w:bookmarkStart w:id="70" w:name="_Toc41306078"/>
      <w:r>
        <w:lastRenderedPageBreak/>
        <w:t>Appendices</w:t>
      </w:r>
      <w:bookmarkEnd w:id="70"/>
      <w:r>
        <w:br w:type="page"/>
      </w:r>
    </w:p>
    <w:p w14:paraId="3AD1AFB5" w14:textId="77777777" w:rsidR="00213609" w:rsidRDefault="00213609" w:rsidP="00213609">
      <w:pPr>
        <w:pStyle w:val="Heading2"/>
      </w:pPr>
      <w:bookmarkStart w:id="71" w:name="_Toc41306079"/>
      <w:r>
        <w:lastRenderedPageBreak/>
        <w:t>Appendix 1</w:t>
      </w:r>
      <w:bookmarkEnd w:id="71"/>
    </w:p>
    <w:p w14:paraId="194E8D7F" w14:textId="07330CE9" w:rsidR="00213609" w:rsidRDefault="00B97AE2" w:rsidP="00213609">
      <w:pPr>
        <w:pStyle w:val="Heading3"/>
      </w:pPr>
      <w:bookmarkStart w:id="72" w:name="_Toc41306080"/>
      <w:r>
        <w:t>Extract of relevant approaches to costings from the former Chief Executive Officer, Magistrates’ Court of Victoria</w:t>
      </w:r>
      <w:bookmarkEnd w:id="72"/>
      <w:r>
        <w:t xml:space="preserve"> </w:t>
      </w:r>
    </w:p>
    <w:p w14:paraId="03DC389A" w14:textId="6462D009" w:rsidR="00E21C2B" w:rsidRDefault="00E21C2B" w:rsidP="006F7F2B">
      <w:pPr>
        <w:pStyle w:val="Heading4"/>
        <w:rPr>
          <w:sz w:val="22"/>
          <w:szCs w:val="22"/>
        </w:rPr>
      </w:pPr>
      <w:r w:rsidRPr="00BB4181">
        <w:rPr>
          <w:sz w:val="22"/>
          <w:szCs w:val="22"/>
        </w:rPr>
        <w:t xml:space="preserve">Note to the </w:t>
      </w:r>
      <w:r w:rsidR="00232EC0">
        <w:rPr>
          <w:sz w:val="22"/>
          <w:szCs w:val="22"/>
        </w:rPr>
        <w:t>extract</w:t>
      </w:r>
      <w:r>
        <w:rPr>
          <w:sz w:val="22"/>
          <w:szCs w:val="22"/>
        </w:rPr>
        <w:t xml:space="preserve"> </w:t>
      </w:r>
    </w:p>
    <w:p w14:paraId="07B0FCA1" w14:textId="141EFCFD" w:rsidR="006F7F2B" w:rsidRPr="00E21C2B" w:rsidRDefault="00956138" w:rsidP="00E21C2B">
      <w:pPr>
        <w:autoSpaceDE/>
        <w:autoSpaceDN/>
        <w:adjustRightInd/>
        <w:spacing w:before="0" w:after="0"/>
        <w:rPr>
          <w:szCs w:val="28"/>
        </w:rPr>
      </w:pPr>
      <w:r w:rsidRPr="00E21C2B">
        <w:rPr>
          <w:szCs w:val="28"/>
        </w:rPr>
        <w:t>On 14 February 2020, the Panel received an email from the former Chief Executive Officer of the Magistrates’</w:t>
      </w:r>
      <w:r w:rsidRPr="00D226E2">
        <w:rPr>
          <w:szCs w:val="28"/>
        </w:rPr>
        <w:t xml:space="preserve"> Court of Victoria, Mr Andrew </w:t>
      </w:r>
      <w:proofErr w:type="spellStart"/>
      <w:r w:rsidRPr="00D226E2">
        <w:rPr>
          <w:szCs w:val="28"/>
        </w:rPr>
        <w:t>Tenni</w:t>
      </w:r>
      <w:proofErr w:type="spellEnd"/>
      <w:r w:rsidRPr="00D226E2">
        <w:rPr>
          <w:szCs w:val="28"/>
        </w:rPr>
        <w:t>, regarding the estimated costs of an increase to magistr</w:t>
      </w:r>
      <w:r w:rsidRPr="00EA7DA1">
        <w:rPr>
          <w:szCs w:val="28"/>
        </w:rPr>
        <w:t>ates</w:t>
      </w:r>
      <w:r w:rsidRPr="00143700">
        <w:rPr>
          <w:szCs w:val="28"/>
        </w:rPr>
        <w:t>’ leave entitlements. Relevant extracts from th</w:t>
      </w:r>
      <w:r w:rsidRPr="00C13000">
        <w:rPr>
          <w:szCs w:val="28"/>
        </w:rPr>
        <w:t xml:space="preserve">at email </w:t>
      </w:r>
      <w:r w:rsidRPr="00AB1D1E">
        <w:rPr>
          <w:szCs w:val="28"/>
        </w:rPr>
        <w:t>are reproduced below.</w:t>
      </w:r>
      <w:r w:rsidRPr="00897D71">
        <w:rPr>
          <w:szCs w:val="28"/>
        </w:rPr>
        <w:t xml:space="preserve"> </w:t>
      </w:r>
    </w:p>
    <w:p w14:paraId="27052E4B" w14:textId="77777777" w:rsidR="00D226E2" w:rsidRDefault="00D226E2" w:rsidP="00E21C2B">
      <w:pPr>
        <w:autoSpaceDE/>
        <w:autoSpaceDN/>
        <w:adjustRightInd/>
        <w:spacing w:before="0" w:after="0"/>
        <w:rPr>
          <w:szCs w:val="28"/>
        </w:rPr>
      </w:pPr>
    </w:p>
    <w:p w14:paraId="3B021EE8" w14:textId="531D52FA" w:rsidR="00213609" w:rsidRPr="00956138" w:rsidRDefault="008A207C" w:rsidP="00E21C2B">
      <w:pPr>
        <w:autoSpaceDE/>
        <w:autoSpaceDN/>
        <w:adjustRightInd/>
        <w:spacing w:before="0" w:after="0"/>
      </w:pPr>
      <w:r w:rsidRPr="00E21C2B">
        <w:rPr>
          <w:szCs w:val="28"/>
        </w:rPr>
        <w:t>This c</w:t>
      </w:r>
      <w:r w:rsidR="00956138" w:rsidRPr="00E21C2B">
        <w:rPr>
          <w:szCs w:val="28"/>
        </w:rPr>
        <w:t xml:space="preserve">osting information is reflected in </w:t>
      </w:r>
      <w:r w:rsidRPr="00E21C2B">
        <w:rPr>
          <w:szCs w:val="28"/>
        </w:rPr>
        <w:t xml:space="preserve">the </w:t>
      </w:r>
      <w:r w:rsidRPr="00D226E2">
        <w:rPr>
          <w:szCs w:val="28"/>
        </w:rPr>
        <w:t xml:space="preserve">‘Summary of approximate costs of recommendations’ and </w:t>
      </w:r>
      <w:r w:rsidRPr="00EA7DA1">
        <w:rPr>
          <w:szCs w:val="28"/>
        </w:rPr>
        <w:t>‘</w:t>
      </w:r>
      <w:r w:rsidRPr="00143700">
        <w:rPr>
          <w:szCs w:val="28"/>
        </w:rPr>
        <w:t>Annual leave for magistrates’</w:t>
      </w:r>
      <w:r w:rsidR="00956138" w:rsidRPr="00143700">
        <w:rPr>
          <w:szCs w:val="28"/>
        </w:rPr>
        <w:t xml:space="preserve"> </w:t>
      </w:r>
      <w:r w:rsidRPr="00143700">
        <w:rPr>
          <w:szCs w:val="28"/>
        </w:rPr>
        <w:t>sections</w:t>
      </w:r>
      <w:r w:rsidR="00956138" w:rsidRPr="00143700">
        <w:rPr>
          <w:szCs w:val="28"/>
        </w:rPr>
        <w:t xml:space="preserve"> of this Report.</w:t>
      </w:r>
    </w:p>
    <w:p w14:paraId="5B687D13" w14:textId="77777777" w:rsidR="00213609" w:rsidRPr="0009011A" w:rsidRDefault="00213609" w:rsidP="00213609">
      <w:pPr>
        <w:rPr>
          <w:color w:val="auto"/>
        </w:rPr>
      </w:pPr>
      <w:r w:rsidRPr="0009011A">
        <w:rPr>
          <w:color w:val="auto"/>
        </w:rPr>
        <w:br w:type="page"/>
      </w:r>
    </w:p>
    <w:p w14:paraId="6286C7AF" w14:textId="1833CBA8" w:rsidR="0009011A" w:rsidRPr="0009011A" w:rsidRDefault="0009011A" w:rsidP="006F7F2B">
      <w:pPr>
        <w:autoSpaceDE/>
        <w:autoSpaceDN/>
        <w:adjustRightInd/>
        <w:spacing w:before="0" w:after="0"/>
        <w:rPr>
          <w:color w:val="auto"/>
          <w:u w:val="single"/>
        </w:rPr>
      </w:pPr>
      <w:r>
        <w:rPr>
          <w:color w:val="auto"/>
          <w:u w:val="single"/>
        </w:rPr>
        <w:lastRenderedPageBreak/>
        <w:t>[</w:t>
      </w:r>
      <w:r w:rsidRPr="0009011A">
        <w:rPr>
          <w:color w:val="auto"/>
          <w:u w:val="single"/>
        </w:rPr>
        <w:t>…</w:t>
      </w:r>
      <w:r>
        <w:rPr>
          <w:color w:val="auto"/>
          <w:u w:val="single"/>
        </w:rPr>
        <w:t>]</w:t>
      </w:r>
    </w:p>
    <w:p w14:paraId="55ED7B2B" w14:textId="77777777" w:rsidR="0009011A" w:rsidRDefault="0009011A" w:rsidP="006F7F2B">
      <w:pPr>
        <w:autoSpaceDE/>
        <w:autoSpaceDN/>
        <w:adjustRightInd/>
        <w:spacing w:before="0" w:after="0"/>
        <w:rPr>
          <w:b/>
          <w:bCs/>
          <w:color w:val="auto"/>
        </w:rPr>
      </w:pPr>
    </w:p>
    <w:p w14:paraId="7C65E2C1" w14:textId="5E6B501E" w:rsidR="006F7F2B" w:rsidRPr="0009011A" w:rsidRDefault="006F7F2B" w:rsidP="006F7F2B">
      <w:pPr>
        <w:autoSpaceDE/>
        <w:autoSpaceDN/>
        <w:adjustRightInd/>
        <w:spacing w:before="0" w:after="0"/>
        <w:rPr>
          <w:color w:val="auto"/>
        </w:rPr>
      </w:pPr>
      <w:r w:rsidRPr="0009011A">
        <w:rPr>
          <w:b/>
          <w:bCs/>
          <w:color w:val="auto"/>
        </w:rPr>
        <w:t>Estimated cost</w:t>
      </w:r>
      <w:r w:rsidRPr="0009011A">
        <w:rPr>
          <w:color w:val="auto"/>
        </w:rPr>
        <w:br/>
        <w:t xml:space="preserve">There is no one agreed formula to assessing the cost of any increase to Magistrates leave entitlements. It is somewhat dependent on the management of the court business and the need for reserve or additional Magistrates. </w:t>
      </w:r>
      <w:r w:rsidRPr="0009011A">
        <w:rPr>
          <w:color w:val="auto"/>
        </w:rPr>
        <w:br/>
        <w:t> </w:t>
      </w:r>
      <w:r w:rsidRPr="0009011A">
        <w:rPr>
          <w:color w:val="auto"/>
        </w:rPr>
        <w:br/>
        <w:t>Accordingly, I provide 3 separate approaches.</w:t>
      </w:r>
      <w:r w:rsidRPr="0009011A">
        <w:rPr>
          <w:color w:val="auto"/>
        </w:rPr>
        <w:br/>
        <w:t> </w:t>
      </w:r>
      <w:r w:rsidRPr="0009011A">
        <w:rPr>
          <w:color w:val="auto"/>
        </w:rPr>
        <w:br/>
      </w:r>
      <w:r w:rsidRPr="0009011A">
        <w:rPr>
          <w:b/>
          <w:bCs/>
          <w:color w:val="auto"/>
          <w:u w:val="single"/>
        </w:rPr>
        <w:t>2018</w:t>
      </w:r>
      <w:r w:rsidRPr="0009011A">
        <w:rPr>
          <w:color w:val="auto"/>
        </w:rPr>
        <w:br/>
        <w:t>The Magistrates’ Court provide advice on the estimated cost to the Panel when it considered the Magistrates request in 2018. For convenience I set this out here:</w:t>
      </w:r>
      <w:r w:rsidRPr="0009011A">
        <w:rPr>
          <w:color w:val="auto"/>
        </w:rPr>
        <w:br/>
        <w:t> </w:t>
      </w:r>
      <w:r w:rsidRPr="0009011A">
        <w:rPr>
          <w:color w:val="auto"/>
        </w:rPr>
        <w:br/>
      </w:r>
      <w:r w:rsidRPr="0009011A">
        <w:rPr>
          <w:i/>
          <w:iCs/>
          <w:color w:val="auto"/>
        </w:rPr>
        <w:t>Assuming the leave is a prospective entitlement:  Based on the current rate of remuneration of a Magistrate ($311,694 plus $11,720 Car plus Super $30,724) and there being 128 Magistrates (numbers and rem reported in previous response), the cost of the proposal would be the loss of 9,728 court hours (2 weeks leave x 128 Magistrates) which equates to $1,737,481 or circa five Magistrates.</w:t>
      </w:r>
      <w:r w:rsidRPr="0009011A">
        <w:rPr>
          <w:color w:val="auto"/>
        </w:rPr>
        <w:br/>
      </w:r>
      <w:r w:rsidRPr="0009011A">
        <w:rPr>
          <w:i/>
          <w:iCs/>
          <w:color w:val="auto"/>
        </w:rPr>
        <w:t> </w:t>
      </w:r>
      <w:r w:rsidRPr="0009011A">
        <w:rPr>
          <w:color w:val="auto"/>
        </w:rPr>
        <w:br/>
      </w:r>
      <w:r w:rsidRPr="0009011A">
        <w:rPr>
          <w:b/>
          <w:bCs/>
          <w:color w:val="auto"/>
          <w:u w:val="single"/>
        </w:rPr>
        <w:t>2019 (a)</w:t>
      </w:r>
      <w:r w:rsidRPr="0009011A">
        <w:rPr>
          <w:color w:val="auto"/>
        </w:rPr>
        <w:br/>
        <w:t>Further analysis undertaken for the purpose of this advice has arrived at a different estimate based upon the cost of Reserve Magistrates to cover an average of 88 Magistrates sitting across the state per day;</w:t>
      </w:r>
      <w:r w:rsidRPr="0009011A">
        <w:rPr>
          <w:color w:val="auto"/>
        </w:rPr>
        <w:br/>
        <w:t xml:space="preserve">  </w:t>
      </w:r>
    </w:p>
    <w:p w14:paraId="6BB90809" w14:textId="77777777" w:rsidR="006F7F2B" w:rsidRPr="0009011A" w:rsidRDefault="006F7F2B" w:rsidP="006F7F2B">
      <w:pPr>
        <w:autoSpaceDE/>
        <w:autoSpaceDN/>
        <w:adjustRightInd/>
        <w:spacing w:before="0" w:after="0"/>
        <w:rPr>
          <w:color w:val="auto"/>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45"/>
        <w:gridCol w:w="1879"/>
      </w:tblGrid>
      <w:tr w:rsidR="0009011A" w:rsidRPr="0009011A" w14:paraId="26E78B80" w14:textId="77777777" w:rsidTr="006F7F2B">
        <w:trPr>
          <w:tblCellSpacing w:w="15" w:type="dxa"/>
        </w:trPr>
        <w:tc>
          <w:tcPr>
            <w:tcW w:w="6300" w:type="dxa"/>
            <w:tcBorders>
              <w:top w:val="outset" w:sz="6" w:space="0" w:color="auto"/>
              <w:left w:val="outset" w:sz="6" w:space="0" w:color="auto"/>
              <w:bottom w:val="outset" w:sz="6" w:space="0" w:color="auto"/>
              <w:right w:val="outset" w:sz="6" w:space="0" w:color="auto"/>
            </w:tcBorders>
            <w:shd w:val="clear" w:color="auto" w:fill="F4B084"/>
            <w:tcMar>
              <w:top w:w="15" w:type="dxa"/>
              <w:left w:w="15" w:type="dxa"/>
              <w:bottom w:w="15" w:type="dxa"/>
              <w:right w:w="15" w:type="dxa"/>
            </w:tcMar>
            <w:vAlign w:val="bottom"/>
            <w:hideMark/>
          </w:tcPr>
          <w:p w14:paraId="34764046" w14:textId="77777777" w:rsidR="006F7F2B" w:rsidRPr="0009011A" w:rsidRDefault="006F7F2B" w:rsidP="006F7F2B">
            <w:pPr>
              <w:autoSpaceDE/>
              <w:autoSpaceDN/>
              <w:adjustRightInd/>
              <w:spacing w:before="0" w:after="0"/>
              <w:rPr>
                <w:color w:val="auto"/>
              </w:rPr>
            </w:pPr>
            <w:r w:rsidRPr="0009011A">
              <w:rPr>
                <w:b/>
                <w:bCs/>
                <w:color w:val="auto"/>
              </w:rPr>
              <w:t xml:space="preserve">Additional two weeks of annual leave (10 days) </w:t>
            </w:r>
          </w:p>
        </w:tc>
        <w:tc>
          <w:tcPr>
            <w:tcW w:w="1770" w:type="dxa"/>
            <w:tcBorders>
              <w:top w:val="outset" w:sz="6" w:space="0" w:color="auto"/>
              <w:left w:val="outset" w:sz="6" w:space="0" w:color="auto"/>
              <w:bottom w:val="outset" w:sz="6" w:space="0" w:color="auto"/>
              <w:right w:val="outset" w:sz="6" w:space="0" w:color="auto"/>
            </w:tcBorders>
            <w:shd w:val="clear" w:color="auto" w:fill="F4B084"/>
            <w:tcMar>
              <w:top w:w="15" w:type="dxa"/>
              <w:left w:w="15" w:type="dxa"/>
              <w:bottom w:w="15" w:type="dxa"/>
              <w:right w:w="15" w:type="dxa"/>
            </w:tcMar>
            <w:vAlign w:val="bottom"/>
            <w:hideMark/>
          </w:tcPr>
          <w:p w14:paraId="378C92C6" w14:textId="77777777" w:rsidR="006F7F2B" w:rsidRPr="0009011A" w:rsidRDefault="006F7F2B" w:rsidP="006F7F2B">
            <w:pPr>
              <w:autoSpaceDE/>
              <w:autoSpaceDN/>
              <w:adjustRightInd/>
              <w:spacing w:before="0" w:after="0"/>
              <w:rPr>
                <w:color w:val="auto"/>
              </w:rPr>
            </w:pPr>
            <w:r w:rsidRPr="0009011A">
              <w:rPr>
                <w:b/>
                <w:bCs/>
                <w:color w:val="auto"/>
              </w:rPr>
              <w:t> </w:t>
            </w:r>
          </w:p>
        </w:tc>
      </w:tr>
      <w:tr w:rsidR="0009011A" w:rsidRPr="0009011A" w14:paraId="006616E5" w14:textId="77777777" w:rsidTr="006F7F2B">
        <w:trPr>
          <w:tblCellSpacing w:w="15" w:type="dxa"/>
        </w:trPr>
        <w:tc>
          <w:tcPr>
            <w:tcW w:w="6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BDF719D" w14:textId="77777777" w:rsidR="006F7F2B" w:rsidRPr="0009011A" w:rsidRDefault="006F7F2B" w:rsidP="006F7F2B">
            <w:pPr>
              <w:autoSpaceDE/>
              <w:autoSpaceDN/>
              <w:adjustRightInd/>
              <w:spacing w:before="0" w:after="0"/>
              <w:rPr>
                <w:color w:val="auto"/>
              </w:rPr>
            </w:pPr>
            <w:r w:rsidRPr="0009011A">
              <w:rPr>
                <w:color w:val="auto"/>
              </w:rPr>
              <w:t xml:space="preserve">Magistrates' Courts </w:t>
            </w:r>
          </w:p>
        </w:tc>
        <w:tc>
          <w:tcPr>
            <w:tcW w:w="1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6164BC8" w14:textId="77777777" w:rsidR="006F7F2B" w:rsidRPr="0009011A" w:rsidRDefault="006F7F2B" w:rsidP="006F7F2B">
            <w:pPr>
              <w:autoSpaceDE/>
              <w:autoSpaceDN/>
              <w:adjustRightInd/>
              <w:spacing w:before="0" w:after="0"/>
              <w:rPr>
                <w:color w:val="auto"/>
              </w:rPr>
            </w:pPr>
            <w:r w:rsidRPr="0009011A">
              <w:rPr>
                <w:color w:val="auto"/>
              </w:rPr>
              <w:t xml:space="preserve">           $1,233,036 </w:t>
            </w:r>
          </w:p>
        </w:tc>
      </w:tr>
      <w:tr w:rsidR="0009011A" w:rsidRPr="0009011A" w14:paraId="62FA6810" w14:textId="77777777" w:rsidTr="006F7F2B">
        <w:trPr>
          <w:tblCellSpacing w:w="15" w:type="dxa"/>
        </w:trPr>
        <w:tc>
          <w:tcPr>
            <w:tcW w:w="6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788FD7F" w14:textId="2D2D6726" w:rsidR="006F7F2B" w:rsidRPr="0009011A" w:rsidRDefault="006F7F2B" w:rsidP="006F7F2B">
            <w:pPr>
              <w:autoSpaceDE/>
              <w:autoSpaceDN/>
              <w:adjustRightInd/>
              <w:spacing w:before="0" w:after="0"/>
              <w:rPr>
                <w:color w:val="auto"/>
              </w:rPr>
            </w:pPr>
            <w:r w:rsidRPr="0009011A">
              <w:rPr>
                <w:noProof/>
                <w:color w:val="auto"/>
              </w:rPr>
              <w:drawing>
                <wp:inline distT="0" distB="0" distL="0" distR="0" wp14:anchorId="7F62082B" wp14:editId="444BDB6B">
                  <wp:extent cx="6985" cy="6985"/>
                  <wp:effectExtent l="0" t="0" r="0" b="0"/>
                  <wp:docPr id="12" name="Picture 12"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moved by sen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c>
          <w:tcPr>
            <w:tcW w:w="1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D71D4B9" w14:textId="3C384F50" w:rsidR="006F7F2B" w:rsidRPr="0009011A" w:rsidRDefault="006F7F2B" w:rsidP="006F7F2B">
            <w:pPr>
              <w:autoSpaceDE/>
              <w:autoSpaceDN/>
              <w:adjustRightInd/>
              <w:spacing w:before="0" w:after="0"/>
              <w:rPr>
                <w:color w:val="auto"/>
              </w:rPr>
            </w:pPr>
            <w:r w:rsidRPr="0009011A">
              <w:rPr>
                <w:noProof/>
                <w:color w:val="auto"/>
              </w:rPr>
              <w:drawing>
                <wp:inline distT="0" distB="0" distL="0" distR="0" wp14:anchorId="6EE05B18" wp14:editId="6A759740">
                  <wp:extent cx="6985" cy="6985"/>
                  <wp:effectExtent l="0" t="0" r="0" b="0"/>
                  <wp:docPr id="11" name="Picture 11"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moved by sen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09011A" w:rsidRPr="0009011A" w14:paraId="060F1FB4" w14:textId="77777777" w:rsidTr="006F7F2B">
        <w:trPr>
          <w:tblCellSpacing w:w="15" w:type="dxa"/>
        </w:trPr>
        <w:tc>
          <w:tcPr>
            <w:tcW w:w="6300" w:type="dxa"/>
            <w:tcBorders>
              <w:top w:val="outset" w:sz="6" w:space="0" w:color="auto"/>
              <w:left w:val="outset" w:sz="6" w:space="0" w:color="auto"/>
              <w:bottom w:val="outset" w:sz="6" w:space="0" w:color="auto"/>
              <w:right w:val="outset" w:sz="6" w:space="0" w:color="auto"/>
            </w:tcBorders>
            <w:shd w:val="clear" w:color="auto" w:fill="F4B084"/>
            <w:tcMar>
              <w:top w:w="15" w:type="dxa"/>
              <w:left w:w="15" w:type="dxa"/>
              <w:bottom w:w="15" w:type="dxa"/>
              <w:right w:w="15" w:type="dxa"/>
            </w:tcMar>
            <w:vAlign w:val="bottom"/>
            <w:hideMark/>
          </w:tcPr>
          <w:p w14:paraId="3B772A1E" w14:textId="77777777" w:rsidR="006F7F2B" w:rsidRPr="0009011A" w:rsidRDefault="006F7F2B" w:rsidP="006F7F2B">
            <w:pPr>
              <w:autoSpaceDE/>
              <w:autoSpaceDN/>
              <w:adjustRightInd/>
              <w:spacing w:before="0" w:after="0"/>
              <w:rPr>
                <w:color w:val="auto"/>
              </w:rPr>
            </w:pPr>
            <w:r w:rsidRPr="0009011A">
              <w:rPr>
                <w:b/>
                <w:bCs/>
                <w:color w:val="auto"/>
              </w:rPr>
              <w:t xml:space="preserve">Additional four weeks of annual leave (20 days) </w:t>
            </w:r>
          </w:p>
        </w:tc>
        <w:tc>
          <w:tcPr>
            <w:tcW w:w="1770" w:type="dxa"/>
            <w:tcBorders>
              <w:top w:val="outset" w:sz="6" w:space="0" w:color="auto"/>
              <w:left w:val="outset" w:sz="6" w:space="0" w:color="auto"/>
              <w:bottom w:val="outset" w:sz="6" w:space="0" w:color="auto"/>
              <w:right w:val="outset" w:sz="6" w:space="0" w:color="auto"/>
            </w:tcBorders>
            <w:shd w:val="clear" w:color="auto" w:fill="F4B084"/>
            <w:tcMar>
              <w:top w:w="15" w:type="dxa"/>
              <w:left w:w="15" w:type="dxa"/>
              <w:bottom w:w="15" w:type="dxa"/>
              <w:right w:w="15" w:type="dxa"/>
            </w:tcMar>
            <w:vAlign w:val="bottom"/>
            <w:hideMark/>
          </w:tcPr>
          <w:p w14:paraId="6597A7D9" w14:textId="416DFA25" w:rsidR="006F7F2B" w:rsidRPr="0009011A" w:rsidRDefault="006F7F2B" w:rsidP="006F7F2B">
            <w:pPr>
              <w:autoSpaceDE/>
              <w:autoSpaceDN/>
              <w:adjustRightInd/>
              <w:spacing w:before="0" w:after="0"/>
              <w:rPr>
                <w:color w:val="auto"/>
              </w:rPr>
            </w:pPr>
            <w:r w:rsidRPr="0009011A">
              <w:rPr>
                <w:noProof/>
                <w:color w:val="auto"/>
              </w:rPr>
              <w:drawing>
                <wp:inline distT="0" distB="0" distL="0" distR="0" wp14:anchorId="3013A320" wp14:editId="1F52AAC5">
                  <wp:extent cx="6985" cy="6985"/>
                  <wp:effectExtent l="0" t="0" r="0" b="0"/>
                  <wp:docPr id="9" name="Picture 9"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moved by sen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09011A" w:rsidRPr="0009011A" w14:paraId="066EE794" w14:textId="77777777" w:rsidTr="006F7F2B">
        <w:trPr>
          <w:tblCellSpacing w:w="15" w:type="dxa"/>
        </w:trPr>
        <w:tc>
          <w:tcPr>
            <w:tcW w:w="6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D3FF723" w14:textId="77777777" w:rsidR="006F7F2B" w:rsidRPr="0009011A" w:rsidRDefault="006F7F2B" w:rsidP="006F7F2B">
            <w:pPr>
              <w:autoSpaceDE/>
              <w:autoSpaceDN/>
              <w:adjustRightInd/>
              <w:spacing w:before="0" w:after="0"/>
              <w:rPr>
                <w:color w:val="auto"/>
              </w:rPr>
            </w:pPr>
            <w:r w:rsidRPr="0009011A">
              <w:rPr>
                <w:color w:val="auto"/>
              </w:rPr>
              <w:t xml:space="preserve">Magistrates' Courts </w:t>
            </w:r>
          </w:p>
        </w:tc>
        <w:tc>
          <w:tcPr>
            <w:tcW w:w="1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9F8BCC6" w14:textId="77777777" w:rsidR="006F7F2B" w:rsidRPr="0009011A" w:rsidRDefault="006F7F2B" w:rsidP="006F7F2B">
            <w:pPr>
              <w:autoSpaceDE/>
              <w:autoSpaceDN/>
              <w:adjustRightInd/>
              <w:spacing w:before="0" w:after="0"/>
              <w:rPr>
                <w:color w:val="auto"/>
              </w:rPr>
            </w:pPr>
            <w:r w:rsidRPr="0009011A">
              <w:rPr>
                <w:color w:val="auto"/>
              </w:rPr>
              <w:t xml:space="preserve">           $2,466,072 </w:t>
            </w:r>
          </w:p>
        </w:tc>
      </w:tr>
    </w:tbl>
    <w:p w14:paraId="67B6BE9A" w14:textId="77777777" w:rsidR="006F7F2B" w:rsidRPr="0009011A" w:rsidRDefault="006F7F2B" w:rsidP="006F7F2B">
      <w:pPr>
        <w:autoSpaceDE/>
        <w:autoSpaceDN/>
        <w:adjustRightInd/>
        <w:spacing w:before="0" w:after="0"/>
        <w:rPr>
          <w:color w:val="auto"/>
        </w:rPr>
      </w:pPr>
      <w:r w:rsidRPr="0009011A">
        <w:rPr>
          <w:b/>
          <w:bCs/>
          <w:color w:val="auto"/>
        </w:rPr>
        <w:t> </w:t>
      </w:r>
      <w:r w:rsidRPr="0009011A">
        <w:rPr>
          <w:color w:val="auto"/>
        </w:rPr>
        <w:br/>
      </w:r>
      <w:r w:rsidRPr="0009011A">
        <w:rPr>
          <w:b/>
          <w:bCs/>
          <w:color w:val="auto"/>
          <w:u w:val="single"/>
        </w:rPr>
        <w:t>2019 (b)</w:t>
      </w:r>
      <w:r w:rsidRPr="0009011A">
        <w:rPr>
          <w:color w:val="auto"/>
        </w:rPr>
        <w:br/>
        <w:t>The Court’s 2019 records show that Magistrates took 2840.60 days of annual leave. Of this, 932 days where filled by reserve Magistrates. This Equates to 27% of annual leave being filled by Reserve Magistrates. Based on this experience the estimated actual cost of an additional 2 weeks would be $373,081.41 and 4 weeks $ 746,162.82.</w:t>
      </w:r>
      <w:r w:rsidRPr="0009011A">
        <w:rPr>
          <w:color w:val="auto"/>
        </w:rPr>
        <w:br/>
        <w:t> </w:t>
      </w:r>
      <w:r w:rsidRPr="0009011A">
        <w:rPr>
          <w:color w:val="auto"/>
        </w:rPr>
        <w:br/>
        <w:t>It is however the view of the Magistrates’ Court that due to a range of internal organisational reform underway, the Court will be in a position to absorb the cost and over time the change in entitlements would be cost neutral. That is, the resultant loss of judicial capacity occasioned by an increase in the leave entitlement available to Magistrates would be offset by efficiency creating initiatives, which are in the process of being implemented and would likely achieve their aims over the next few years. These initiatives would be enhanced by the welfare benefits flowing from increased and appropriate leave.</w:t>
      </w:r>
      <w:r w:rsidRPr="0009011A">
        <w:rPr>
          <w:color w:val="auto"/>
        </w:rPr>
        <w:br/>
        <w:t> </w:t>
      </w:r>
      <w:r w:rsidRPr="0009011A">
        <w:rPr>
          <w:color w:val="auto"/>
        </w:rPr>
        <w:br/>
        <w:t>Further, the above calculations do not consider the reality of the way the Court is organised and operates. The number of Reserve Magistrates used by the Court is at capacity and cannot be increased. The costing based upon full cover of increased leave by reserve Magistrates is therefore illusory.</w:t>
      </w:r>
      <w:r w:rsidRPr="0009011A">
        <w:rPr>
          <w:color w:val="auto"/>
        </w:rPr>
        <w:br/>
        <w:t> </w:t>
      </w:r>
      <w:r w:rsidRPr="0009011A">
        <w:rPr>
          <w:color w:val="auto"/>
        </w:rPr>
        <w:br/>
      </w:r>
      <w:r w:rsidRPr="0009011A">
        <w:rPr>
          <w:color w:val="auto"/>
        </w:rPr>
        <w:lastRenderedPageBreak/>
        <w:t>This cost neutral analysis applies to the Magistrates’ Court</w:t>
      </w:r>
      <w:r w:rsidRPr="0009011A">
        <w:rPr>
          <w:b/>
          <w:bCs/>
          <w:color w:val="auto"/>
        </w:rPr>
        <w:t xml:space="preserve">. </w:t>
      </w:r>
      <w:r w:rsidRPr="0009011A">
        <w:rPr>
          <w:color w:val="auto"/>
        </w:rPr>
        <w:t>While it is a matter for other Jurisdictions, I think it is unlikely that the economies of scale available to the Magistrates’ Court are available to the Children’s and Coroners Court. As such you would be advised to invite those Courts to provide their analysis of the financial impact.</w:t>
      </w:r>
      <w:r w:rsidRPr="0009011A">
        <w:rPr>
          <w:color w:val="auto"/>
        </w:rPr>
        <w:br/>
        <w:t> </w:t>
      </w:r>
      <w:r w:rsidRPr="0009011A">
        <w:rPr>
          <w:color w:val="auto"/>
        </w:rPr>
        <w:br/>
        <w:t>I turn now to the logic behind this analysis.  </w:t>
      </w:r>
      <w:r w:rsidRPr="0009011A">
        <w:rPr>
          <w:color w:val="auto"/>
        </w:rPr>
        <w:br/>
        <w:t> </w:t>
      </w:r>
      <w:r w:rsidRPr="0009011A">
        <w:rPr>
          <w:color w:val="auto"/>
        </w:rPr>
        <w:br/>
        <w:t>Assuming that the additional entitlements were agreed, and no additional Magistrates provided there would be a reduction in the number of days available to list however the Court would seek to manage the impact through a range of procedural improvements.</w:t>
      </w:r>
      <w:r w:rsidRPr="0009011A">
        <w:rPr>
          <w:color w:val="auto"/>
        </w:rPr>
        <w:br/>
        <w:t> </w:t>
      </w:r>
      <w:r w:rsidRPr="0009011A">
        <w:rPr>
          <w:color w:val="auto"/>
        </w:rPr>
        <w:br/>
        <w:t>The Court is constantly implementing new procedures and initiatives to reduce court waiting times and streamline procedure which would ameliorate and / or offset the potential effects of granting extra leave to Magistrates for their health and safety. A number of those new procedures and initiatives include:</w:t>
      </w:r>
      <w:r w:rsidRPr="0009011A">
        <w:rPr>
          <w:color w:val="auto"/>
        </w:rPr>
        <w:br/>
        <w:t xml:space="preserve">  </w:t>
      </w:r>
    </w:p>
    <w:p w14:paraId="68BB0FBB"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 xml:space="preserve">The rollout of CMS (Case Management System, a new court computer program for court case management) will have a significant impact on the Courts productivity.  This is due to come online in </w:t>
      </w:r>
      <w:proofErr w:type="gramStart"/>
      <w:r w:rsidRPr="0009011A">
        <w:rPr>
          <w:color w:val="auto"/>
        </w:rPr>
        <w:t>2022;</w:t>
      </w:r>
      <w:proofErr w:type="gramEnd"/>
      <w:r w:rsidRPr="0009011A">
        <w:rPr>
          <w:color w:val="auto"/>
        </w:rPr>
        <w:t xml:space="preserve"> </w:t>
      </w:r>
    </w:p>
    <w:p w14:paraId="6B576773"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 xml:space="preserve">Reviewing and streamlining the judicial functions of Magistrates and to allocate non judicial functions to administrative support </w:t>
      </w:r>
      <w:proofErr w:type="gramStart"/>
      <w:r w:rsidRPr="0009011A">
        <w:rPr>
          <w:color w:val="auto"/>
        </w:rPr>
        <w:t>staff;</w:t>
      </w:r>
      <w:proofErr w:type="gramEnd"/>
      <w:r w:rsidRPr="0009011A">
        <w:rPr>
          <w:color w:val="auto"/>
        </w:rPr>
        <w:t xml:space="preserve"> </w:t>
      </w:r>
    </w:p>
    <w:p w14:paraId="1328A3E9"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 xml:space="preserve">An analysis to better utilise Judicial registrars and review their delegated responsibilities, so Magistrates are allocated cases that more complex in </w:t>
      </w:r>
      <w:proofErr w:type="gramStart"/>
      <w:r w:rsidRPr="0009011A">
        <w:rPr>
          <w:color w:val="auto"/>
        </w:rPr>
        <w:t>nature;</w:t>
      </w:r>
      <w:proofErr w:type="gramEnd"/>
      <w:r w:rsidRPr="0009011A">
        <w:rPr>
          <w:color w:val="auto"/>
        </w:rPr>
        <w:t xml:space="preserve"> </w:t>
      </w:r>
    </w:p>
    <w:p w14:paraId="1924E24F"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 xml:space="preserve">The appointment of a strategic advisor to review State-wide, listings and Judicial allocations to better allocate judicial and non-judicial resources to create greater workflow </w:t>
      </w:r>
      <w:proofErr w:type="gramStart"/>
      <w:r w:rsidRPr="0009011A">
        <w:rPr>
          <w:color w:val="auto"/>
        </w:rPr>
        <w:t>efficiencies;</w:t>
      </w:r>
      <w:proofErr w:type="gramEnd"/>
      <w:r w:rsidRPr="0009011A">
        <w:rPr>
          <w:color w:val="auto"/>
        </w:rPr>
        <w:t xml:space="preserve"> </w:t>
      </w:r>
    </w:p>
    <w:p w14:paraId="370AC12C"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 xml:space="preserve">Considering an increase in the “over listings ratio” creating greater </w:t>
      </w:r>
      <w:proofErr w:type="gramStart"/>
      <w:r w:rsidRPr="0009011A">
        <w:rPr>
          <w:color w:val="auto"/>
        </w:rPr>
        <w:t>efficiencies;</w:t>
      </w:r>
      <w:proofErr w:type="gramEnd"/>
      <w:r w:rsidRPr="0009011A">
        <w:rPr>
          <w:color w:val="auto"/>
        </w:rPr>
        <w:t xml:space="preserve"> </w:t>
      </w:r>
    </w:p>
    <w:p w14:paraId="32A191F9" w14:textId="6FC77C55" w:rsidR="006F7F2B" w:rsidRPr="0009011A" w:rsidRDefault="006F7F2B" w:rsidP="0009011A">
      <w:pPr>
        <w:numPr>
          <w:ilvl w:val="0"/>
          <w:numId w:val="32"/>
        </w:numPr>
        <w:autoSpaceDE/>
        <w:autoSpaceDN/>
        <w:adjustRightInd/>
        <w:spacing w:before="0" w:after="0"/>
        <w:rPr>
          <w:color w:val="auto"/>
        </w:rPr>
      </w:pPr>
      <w:r w:rsidRPr="0009011A">
        <w:rPr>
          <w:color w:val="auto"/>
        </w:rPr>
        <w:t xml:space="preserve">Considering a realignment of the maximum sitting hours of the Court via review/revocation of a current practice direction in relation to sitting hours being restricted to 10 am to 4 pm; and </w:t>
      </w:r>
    </w:p>
    <w:p w14:paraId="7B69C0E4" w14:textId="77777777" w:rsidR="006F7F2B" w:rsidRPr="0009011A" w:rsidRDefault="006F7F2B" w:rsidP="0009011A">
      <w:pPr>
        <w:numPr>
          <w:ilvl w:val="0"/>
          <w:numId w:val="32"/>
        </w:numPr>
        <w:autoSpaceDE/>
        <w:autoSpaceDN/>
        <w:adjustRightInd/>
        <w:spacing w:before="0" w:after="0"/>
        <w:rPr>
          <w:color w:val="auto"/>
        </w:rPr>
      </w:pPr>
      <w:r w:rsidRPr="0009011A">
        <w:rPr>
          <w:color w:val="auto"/>
        </w:rPr>
        <w:t>Implementation of a range of mental health and welfare initiatives to supplement and support Magistrates welfare.</w:t>
      </w:r>
    </w:p>
    <w:p w14:paraId="3C6031CF" w14:textId="77777777" w:rsidR="0009011A" w:rsidRPr="0009011A" w:rsidRDefault="0009011A" w:rsidP="006F7F2B">
      <w:pPr>
        <w:autoSpaceDE/>
        <w:autoSpaceDN/>
        <w:adjustRightInd/>
        <w:spacing w:before="0" w:after="0"/>
        <w:rPr>
          <w:color w:val="auto"/>
        </w:rPr>
      </w:pPr>
    </w:p>
    <w:p w14:paraId="2319D6F4" w14:textId="78CE81AA" w:rsidR="006F7F2B" w:rsidRPr="006F7F2B" w:rsidRDefault="006F7F2B" w:rsidP="006F7F2B">
      <w:pPr>
        <w:autoSpaceDE/>
        <w:autoSpaceDN/>
        <w:adjustRightInd/>
        <w:spacing w:before="0" w:after="0"/>
      </w:pPr>
      <w:r w:rsidRPr="0009011A">
        <w:rPr>
          <w:color w:val="auto"/>
        </w:rPr>
        <w:t>Should extra annual leave be granted, it is anticipated that, through these efficiencies, each region of the Court will be able to largely absorb its own leave obligations without calling upon extra resources with the impact on listings being minimal over time.</w:t>
      </w:r>
      <w:r w:rsidRPr="0009011A">
        <w:rPr>
          <w:color w:val="auto"/>
        </w:rPr>
        <w:br/>
        <w:t> </w:t>
      </w:r>
      <w:r w:rsidRPr="0009011A">
        <w:rPr>
          <w:color w:val="auto"/>
        </w:rPr>
        <w:br/>
        <w:t>Further, the granting of extra leave will have a positive impact on welfare which has a direct flow upon effect to Magistrates capacity and thus listings and finalisations.  In this regard the Court refers to a PWC report in 2014 which concluded</w:t>
      </w:r>
      <w:r w:rsidR="0009011A" w:rsidRPr="0009011A">
        <w:rPr>
          <w:color w:val="auto"/>
        </w:rPr>
        <w:t>:</w:t>
      </w:r>
      <w:r w:rsidRPr="006F7F2B">
        <w:br/>
        <w:t xml:space="preserve">  </w:t>
      </w:r>
    </w:p>
    <w:p w14:paraId="31580650" w14:textId="77777777" w:rsidR="006F7F2B" w:rsidRPr="006F7F2B" w:rsidRDefault="006F7F2B" w:rsidP="0009011A">
      <w:pPr>
        <w:numPr>
          <w:ilvl w:val="0"/>
          <w:numId w:val="33"/>
        </w:numPr>
        <w:autoSpaceDE/>
        <w:autoSpaceDN/>
        <w:adjustRightInd/>
        <w:spacing w:before="0" w:after="0"/>
      </w:pPr>
      <w:r w:rsidRPr="006F7F2B">
        <w:rPr>
          <w:i/>
          <w:iCs/>
        </w:rPr>
        <w:t xml:space="preserve">Mental health conditions present substantial costs to organisations. However, through the successful implementation of an effective action to create a mentally healthy workplace, organisations, on average, can expect a positive return on investment (ROI) of 2.3. That is, for every dollar spent on successfully implementing an appropriate action, there is on average $2.30 in benefits to be gained by the organisation. </w:t>
      </w:r>
      <w:r w:rsidRPr="006F7F2B">
        <w:br/>
      </w:r>
      <w:r w:rsidRPr="006F7F2B">
        <w:rPr>
          <w:i/>
          <w:iCs/>
        </w:rPr>
        <w:t> </w:t>
      </w:r>
      <w:r w:rsidRPr="006F7F2B">
        <w:t xml:space="preserve"> </w:t>
      </w:r>
    </w:p>
    <w:p w14:paraId="18F70355" w14:textId="77777777" w:rsidR="006F7F2B" w:rsidRPr="006F7F2B" w:rsidRDefault="006F7F2B" w:rsidP="0009011A">
      <w:pPr>
        <w:numPr>
          <w:ilvl w:val="0"/>
          <w:numId w:val="33"/>
        </w:numPr>
        <w:autoSpaceDE/>
        <w:autoSpaceDN/>
        <w:adjustRightInd/>
        <w:spacing w:before="0" w:after="0"/>
      </w:pPr>
      <w:r w:rsidRPr="006F7F2B">
        <w:rPr>
          <w:i/>
          <w:iCs/>
        </w:rPr>
        <w:t xml:space="preserve">These benefits typically take the form of improved productivity, via reduced absenteeism and presenteeism (reduced productivity at work), and lower numbers of compensation claims. </w:t>
      </w:r>
      <w:r w:rsidRPr="006F7F2B">
        <w:br/>
      </w:r>
      <w:r w:rsidRPr="006F7F2B">
        <w:rPr>
          <w:i/>
          <w:iCs/>
        </w:rPr>
        <w:t> </w:t>
      </w:r>
      <w:r w:rsidRPr="006F7F2B">
        <w:t xml:space="preserve"> </w:t>
      </w:r>
    </w:p>
    <w:p w14:paraId="5747864E" w14:textId="77777777" w:rsidR="006F7F2B" w:rsidRPr="006F7F2B" w:rsidRDefault="006F7F2B" w:rsidP="0009011A">
      <w:pPr>
        <w:numPr>
          <w:ilvl w:val="0"/>
          <w:numId w:val="33"/>
        </w:numPr>
        <w:autoSpaceDE/>
        <w:autoSpaceDN/>
        <w:adjustRightInd/>
        <w:spacing w:before="0" w:after="0"/>
      </w:pPr>
      <w:r w:rsidRPr="006F7F2B">
        <w:rPr>
          <w:i/>
          <w:iCs/>
        </w:rPr>
        <w:t xml:space="preserve">Implementing multiple targeted actions is likely to lead to further increases in ROI, noting that the cumulative benefits of multiple actions will be less than their sum as actions may </w:t>
      </w:r>
      <w:r w:rsidRPr="006F7F2B">
        <w:rPr>
          <w:i/>
          <w:iCs/>
        </w:rPr>
        <w:lastRenderedPageBreak/>
        <w:t xml:space="preserve">apply to the same group of employees. </w:t>
      </w:r>
      <w:r w:rsidRPr="006F7F2B">
        <w:br/>
      </w:r>
      <w:r w:rsidRPr="006F7F2B">
        <w:rPr>
          <w:i/>
          <w:iCs/>
        </w:rPr>
        <w:t> </w:t>
      </w:r>
      <w:r w:rsidRPr="006F7F2B">
        <w:t xml:space="preserve"> </w:t>
      </w:r>
    </w:p>
    <w:p w14:paraId="6DF8418A" w14:textId="77777777" w:rsidR="006F7F2B" w:rsidRPr="006F7F2B" w:rsidRDefault="006F7F2B" w:rsidP="0009011A">
      <w:pPr>
        <w:numPr>
          <w:ilvl w:val="0"/>
          <w:numId w:val="33"/>
        </w:numPr>
        <w:autoSpaceDE/>
        <w:autoSpaceDN/>
        <w:adjustRightInd/>
        <w:spacing w:before="0" w:after="0"/>
      </w:pPr>
      <w:r w:rsidRPr="006F7F2B">
        <w:rPr>
          <w:i/>
          <w:iCs/>
        </w:rPr>
        <w:t xml:space="preserve">The productivity gains generated from different actions may vary depending on the industry and size of an organisation. </w:t>
      </w:r>
    </w:p>
    <w:p w14:paraId="67F737DA" w14:textId="77777777" w:rsidR="006F7F2B" w:rsidRPr="006F7F2B" w:rsidRDefault="006F7F2B" w:rsidP="006F7F2B">
      <w:pPr>
        <w:autoSpaceDE/>
        <w:autoSpaceDN/>
        <w:adjustRightInd/>
        <w:spacing w:before="0" w:after="0"/>
      </w:pPr>
      <w:r w:rsidRPr="006F7F2B">
        <w:rPr>
          <w:i/>
          <w:iCs/>
        </w:rPr>
        <w:t> </w:t>
      </w:r>
      <w:r w:rsidRPr="006F7F2B">
        <w:t xml:space="preserve"> </w:t>
      </w:r>
    </w:p>
    <w:p w14:paraId="1226959E" w14:textId="77777777" w:rsidR="006F7F2B" w:rsidRPr="006F7F2B" w:rsidRDefault="006F7F2B" w:rsidP="0009011A">
      <w:pPr>
        <w:numPr>
          <w:ilvl w:val="0"/>
          <w:numId w:val="34"/>
        </w:numPr>
        <w:autoSpaceDE/>
        <w:autoSpaceDN/>
        <w:adjustRightInd/>
        <w:spacing w:before="0" w:after="0"/>
      </w:pPr>
      <w:r w:rsidRPr="006F7F2B">
        <w:rPr>
          <w:i/>
          <w:iCs/>
        </w:rPr>
        <w:t xml:space="preserve">Actions tend to be more effective when implemented in smaller sized organisations because the single most critical success factor is employee participation. This may mean that actions are best implemented on a team or group basis in larger organisations. </w:t>
      </w:r>
      <w:r w:rsidRPr="006F7F2B">
        <w:br/>
      </w:r>
      <w:r w:rsidRPr="006F7F2B">
        <w:rPr>
          <w:i/>
          <w:iCs/>
        </w:rPr>
        <w:t> </w:t>
      </w:r>
      <w:r w:rsidRPr="006F7F2B">
        <w:t xml:space="preserve"> </w:t>
      </w:r>
    </w:p>
    <w:p w14:paraId="6D4685B1" w14:textId="77777777" w:rsidR="006F7F2B" w:rsidRPr="006F7F2B" w:rsidRDefault="006F7F2B" w:rsidP="0009011A">
      <w:pPr>
        <w:numPr>
          <w:ilvl w:val="0"/>
          <w:numId w:val="34"/>
        </w:numPr>
        <w:autoSpaceDE/>
        <w:autoSpaceDN/>
        <w:adjustRightInd/>
        <w:spacing w:before="0" w:after="0"/>
      </w:pPr>
      <w:proofErr w:type="gramStart"/>
      <w:r w:rsidRPr="006F7F2B">
        <w:rPr>
          <w:i/>
          <w:iCs/>
        </w:rPr>
        <w:t>In order to</w:t>
      </w:r>
      <w:proofErr w:type="gramEnd"/>
      <w:r w:rsidRPr="006F7F2B">
        <w:rPr>
          <w:i/>
          <w:iCs/>
        </w:rPr>
        <w:t xml:space="preserve"> achieve a positive ROI, organisations will need to have addressed the critical success factors for change. </w:t>
      </w:r>
      <w:proofErr w:type="gramStart"/>
      <w:r w:rsidRPr="006F7F2B">
        <w:rPr>
          <w:i/>
          <w:iCs/>
        </w:rPr>
        <w:t>In particular, implementing</w:t>
      </w:r>
      <w:proofErr w:type="gramEnd"/>
      <w:r w:rsidRPr="006F7F2B">
        <w:rPr>
          <w:i/>
          <w:iCs/>
        </w:rPr>
        <w:t xml:space="preserve"> one or several actions is unlikely to be effective unless there is leadership and management support for improving the culture and mental health of the workplace. </w:t>
      </w:r>
      <w:r w:rsidRPr="006F7F2B">
        <w:br/>
      </w:r>
      <w:r w:rsidRPr="006F7F2B">
        <w:rPr>
          <w:i/>
          <w:iCs/>
        </w:rPr>
        <w:t> </w:t>
      </w:r>
      <w:r w:rsidRPr="006F7F2B">
        <w:t xml:space="preserve"> </w:t>
      </w:r>
    </w:p>
    <w:p w14:paraId="4583D974" w14:textId="77777777" w:rsidR="006F7F2B" w:rsidRPr="006F7F2B" w:rsidRDefault="006F7F2B" w:rsidP="0009011A">
      <w:pPr>
        <w:numPr>
          <w:ilvl w:val="0"/>
          <w:numId w:val="34"/>
        </w:numPr>
        <w:autoSpaceDE/>
        <w:autoSpaceDN/>
        <w:adjustRightInd/>
        <w:spacing w:before="0" w:after="0"/>
      </w:pPr>
      <w:r w:rsidRPr="006F7F2B">
        <w:rPr>
          <w:i/>
          <w:iCs/>
        </w:rPr>
        <w:t>These benefits typically take the form of improved productivity, via reduced absenteeism and presenteeism (reduced productivity at work), and lower numbers of compensation claims.”  </w:t>
      </w:r>
    </w:p>
    <w:p w14:paraId="14FC2568" w14:textId="699B95E2" w:rsidR="006F7F2B" w:rsidRDefault="006F7F2B" w:rsidP="006F7F2B">
      <w:pPr>
        <w:autoSpaceDE/>
        <w:autoSpaceDN/>
        <w:adjustRightInd/>
        <w:spacing w:before="0" w:after="0"/>
      </w:pPr>
    </w:p>
    <w:p w14:paraId="2833C5A6" w14:textId="5676372F" w:rsidR="006F7F2B" w:rsidRDefault="00E3684B" w:rsidP="006F7F2B">
      <w:pPr>
        <w:autoSpaceDE/>
        <w:autoSpaceDN/>
        <w:adjustRightInd/>
        <w:spacing w:before="0" w:after="0"/>
      </w:pPr>
      <w:r>
        <w:t>[…]</w:t>
      </w:r>
    </w:p>
    <w:p w14:paraId="653233FD" w14:textId="77777777" w:rsidR="006F7F2B" w:rsidRDefault="006F7F2B" w:rsidP="006F7F2B">
      <w:pPr>
        <w:autoSpaceDE/>
        <w:autoSpaceDN/>
        <w:adjustRightInd/>
        <w:spacing w:before="0" w:after="0"/>
      </w:pPr>
      <w:r>
        <w:t xml:space="preserve">    </w:t>
      </w:r>
    </w:p>
    <w:p w14:paraId="52016413" w14:textId="77777777" w:rsidR="006F7F2B" w:rsidRDefault="006F7F2B" w:rsidP="006F7F2B">
      <w:pPr>
        <w:autoSpaceDE/>
        <w:autoSpaceDN/>
        <w:adjustRightInd/>
        <w:spacing w:before="0" w:after="0"/>
        <w:rPr>
          <w:rFonts w:eastAsia="Times New Roman"/>
          <w:b/>
          <w:bCs/>
          <w:color w:val="0063A6"/>
          <w:kern w:val="32"/>
          <w:sz w:val="32"/>
          <w:szCs w:val="32"/>
        </w:rPr>
      </w:pPr>
      <w:r>
        <w:t xml:space="preserve">     </w:t>
      </w:r>
      <w:r>
        <w:br w:type="page"/>
      </w:r>
    </w:p>
    <w:p w14:paraId="74E6760C" w14:textId="4F0EA429" w:rsidR="00DB790B" w:rsidRDefault="00DB790B" w:rsidP="00BB4181">
      <w:pPr>
        <w:pStyle w:val="Heading2"/>
      </w:pPr>
      <w:bookmarkStart w:id="73" w:name="_Toc41306081"/>
      <w:r>
        <w:lastRenderedPageBreak/>
        <w:t xml:space="preserve">Appendix </w:t>
      </w:r>
      <w:r w:rsidR="00213609">
        <w:t>2</w:t>
      </w:r>
      <w:bookmarkEnd w:id="73"/>
    </w:p>
    <w:p w14:paraId="7262ED0C" w14:textId="02A9C1F0" w:rsidR="004B7C35" w:rsidRDefault="00861CF7" w:rsidP="00BB4181">
      <w:pPr>
        <w:pStyle w:val="Heading3"/>
      </w:pPr>
      <w:bookmarkStart w:id="74" w:name="_Toc41306082"/>
      <w:r>
        <w:t>Copy of the s</w:t>
      </w:r>
      <w:r w:rsidR="004B7C35">
        <w:t>ubmission of the Secretary to the Department of Treasury and Finance</w:t>
      </w:r>
      <w:bookmarkEnd w:id="74"/>
    </w:p>
    <w:p w14:paraId="2021945D" w14:textId="6C7A97B3" w:rsidR="006C08EB" w:rsidRPr="00BB4181" w:rsidRDefault="006C08EB" w:rsidP="007F1F46">
      <w:pPr>
        <w:pStyle w:val="Heading4"/>
        <w:rPr>
          <w:sz w:val="22"/>
          <w:szCs w:val="22"/>
        </w:rPr>
      </w:pPr>
      <w:r w:rsidRPr="00BB4181">
        <w:rPr>
          <w:sz w:val="22"/>
          <w:szCs w:val="22"/>
        </w:rPr>
        <w:t>Note to the submission</w:t>
      </w:r>
    </w:p>
    <w:p w14:paraId="59C8C975" w14:textId="0A9D85C6" w:rsidR="00DB56FD" w:rsidRDefault="002D1BBF" w:rsidP="00E01725">
      <w:r>
        <w:rPr>
          <w:szCs w:val="28"/>
        </w:rPr>
        <w:t>Following an invitation under section</w:t>
      </w:r>
      <w:r>
        <w:t xml:space="preserve"> 30(1) of the JE Act, </w:t>
      </w:r>
      <w:r>
        <w:rPr>
          <w:szCs w:val="28"/>
        </w:rPr>
        <w:t>t</w:t>
      </w:r>
      <w:r w:rsidRPr="00E21C2B">
        <w:rPr>
          <w:szCs w:val="28"/>
        </w:rPr>
        <w:t xml:space="preserve">he Panel received a letter from </w:t>
      </w:r>
      <w:r>
        <w:rPr>
          <w:szCs w:val="28"/>
        </w:rPr>
        <w:t>Mr David Martine</w:t>
      </w:r>
      <w:r w:rsidRPr="00E21C2B">
        <w:rPr>
          <w:szCs w:val="28"/>
        </w:rPr>
        <w:t xml:space="preserve">, </w:t>
      </w:r>
      <w:r>
        <w:rPr>
          <w:szCs w:val="28"/>
        </w:rPr>
        <w:t>Secretary of the Department of Treasury and Finance</w:t>
      </w:r>
      <w:r w:rsidRPr="00E21C2B">
        <w:rPr>
          <w:szCs w:val="28"/>
        </w:rPr>
        <w:t xml:space="preserve">, </w:t>
      </w:r>
      <w:r>
        <w:rPr>
          <w:szCs w:val="28"/>
        </w:rPr>
        <w:t>on 25 May</w:t>
      </w:r>
      <w:r w:rsidRPr="00E21C2B">
        <w:rPr>
          <w:szCs w:val="28"/>
        </w:rPr>
        <w:t xml:space="preserve"> 2020. This letter primarily addressed </w:t>
      </w:r>
      <w:r w:rsidR="002776AD">
        <w:rPr>
          <w:szCs w:val="28"/>
        </w:rPr>
        <w:t>Victoria’s economic outlook and remuneration factors for public sector employees</w:t>
      </w:r>
      <w:r w:rsidRPr="00E21C2B">
        <w:rPr>
          <w:szCs w:val="28"/>
        </w:rPr>
        <w:t>.</w:t>
      </w:r>
    </w:p>
    <w:p w14:paraId="6DC7A27E" w14:textId="06E56240" w:rsidR="004B7C35" w:rsidRPr="00DB56FD" w:rsidRDefault="004B7C35" w:rsidP="007F1F46">
      <w:r>
        <w:br w:type="page"/>
      </w:r>
    </w:p>
    <w:p w14:paraId="52DB9CF4" w14:textId="4828BBC1" w:rsidR="00021A3E" w:rsidRDefault="00EA7DA1">
      <w:pPr>
        <w:autoSpaceDE/>
        <w:autoSpaceDN/>
        <w:adjustRightInd/>
        <w:spacing w:before="0" w:after="0"/>
      </w:pPr>
      <w:r>
        <w:rPr>
          <w:noProof/>
        </w:rPr>
        <w:lastRenderedPageBreak/>
        <w:drawing>
          <wp:inline distT="0" distB="0" distL="0" distR="0" wp14:anchorId="3B8B953A" wp14:editId="5590F9BB">
            <wp:extent cx="6313251" cy="845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25 at 1.06.39 pm.png"/>
                    <pic:cNvPicPr/>
                  </pic:nvPicPr>
                  <pic:blipFill>
                    <a:blip r:embed="rId11">
                      <a:extLst>
                        <a:ext uri="{28A0092B-C50C-407E-A947-70E740481C1C}">
                          <a14:useLocalDpi xmlns:a14="http://schemas.microsoft.com/office/drawing/2010/main" val="0"/>
                        </a:ext>
                      </a:extLst>
                    </a:blip>
                    <a:stretch>
                      <a:fillRect/>
                    </a:stretch>
                  </pic:blipFill>
                  <pic:spPr>
                    <a:xfrm>
                      <a:off x="0" y="0"/>
                      <a:ext cx="6330918" cy="8482171"/>
                    </a:xfrm>
                    <a:prstGeom prst="rect">
                      <a:avLst/>
                    </a:prstGeom>
                  </pic:spPr>
                </pic:pic>
              </a:graphicData>
            </a:graphic>
          </wp:inline>
        </w:drawing>
      </w:r>
    </w:p>
    <w:p w14:paraId="1EA7B288" w14:textId="3421F76B" w:rsidR="00DB56FD" w:rsidRDefault="00143700">
      <w:pPr>
        <w:autoSpaceDE/>
        <w:autoSpaceDN/>
        <w:adjustRightInd/>
        <w:spacing w:before="0" w:after="0"/>
      </w:pPr>
      <w:r>
        <w:rPr>
          <w:noProof/>
        </w:rPr>
        <w:lastRenderedPageBreak/>
        <w:drawing>
          <wp:anchor distT="0" distB="0" distL="114300" distR="114300" simplePos="0" relativeHeight="251663360" behindDoc="1" locked="0" layoutInCell="1" allowOverlap="1" wp14:anchorId="161DA32F" wp14:editId="4D94E244">
            <wp:simplePos x="0" y="0"/>
            <wp:positionH relativeFrom="column">
              <wp:posOffset>116205</wp:posOffset>
            </wp:positionH>
            <wp:positionV relativeFrom="paragraph">
              <wp:posOffset>0</wp:posOffset>
            </wp:positionV>
            <wp:extent cx="6024880" cy="6137910"/>
            <wp:effectExtent l="0" t="0" r="0" b="0"/>
            <wp:wrapTight wrapText="bothSides">
              <wp:wrapPolygon edited="0">
                <wp:start x="0" y="0"/>
                <wp:lineTo x="0" y="21542"/>
                <wp:lineTo x="21536" y="21542"/>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25 at 1.07.53 pm.png"/>
                    <pic:cNvPicPr/>
                  </pic:nvPicPr>
                  <pic:blipFill>
                    <a:blip r:embed="rId12">
                      <a:extLst>
                        <a:ext uri="{28A0092B-C50C-407E-A947-70E740481C1C}">
                          <a14:useLocalDpi xmlns:a14="http://schemas.microsoft.com/office/drawing/2010/main" val="0"/>
                        </a:ext>
                      </a:extLst>
                    </a:blip>
                    <a:stretch>
                      <a:fillRect/>
                    </a:stretch>
                  </pic:blipFill>
                  <pic:spPr>
                    <a:xfrm>
                      <a:off x="0" y="0"/>
                      <a:ext cx="6024880" cy="6137910"/>
                    </a:xfrm>
                    <a:prstGeom prst="rect">
                      <a:avLst/>
                    </a:prstGeom>
                  </pic:spPr>
                </pic:pic>
              </a:graphicData>
            </a:graphic>
            <wp14:sizeRelH relativeFrom="page">
              <wp14:pctWidth>0</wp14:pctWidth>
            </wp14:sizeRelH>
            <wp14:sizeRelV relativeFrom="page">
              <wp14:pctHeight>0</wp14:pctHeight>
            </wp14:sizeRelV>
          </wp:anchor>
        </w:drawing>
      </w:r>
    </w:p>
    <w:p w14:paraId="20DFCF5A" w14:textId="50C21345" w:rsidR="00D92AD8" w:rsidRDefault="00D92AD8">
      <w:pPr>
        <w:autoSpaceDE/>
        <w:autoSpaceDN/>
        <w:adjustRightInd/>
        <w:spacing w:before="0" w:after="0"/>
      </w:pPr>
      <w:r>
        <w:t xml:space="preserve">    </w:t>
      </w:r>
    </w:p>
    <w:p w14:paraId="6F85E973" w14:textId="406A13A3" w:rsidR="00021A3E" w:rsidRDefault="00D92AD8">
      <w:pPr>
        <w:autoSpaceDE/>
        <w:autoSpaceDN/>
        <w:adjustRightInd/>
        <w:spacing w:before="0" w:after="0"/>
        <w:rPr>
          <w:rFonts w:eastAsia="Times New Roman"/>
          <w:b/>
          <w:bCs/>
          <w:color w:val="0063A6"/>
          <w:kern w:val="32"/>
          <w:sz w:val="32"/>
          <w:szCs w:val="32"/>
        </w:rPr>
      </w:pPr>
      <w:r>
        <w:t xml:space="preserve">     </w:t>
      </w:r>
      <w:r w:rsidR="00021A3E">
        <w:br w:type="page"/>
      </w:r>
    </w:p>
    <w:p w14:paraId="3D782610" w14:textId="4C836200" w:rsidR="00B32526" w:rsidRDefault="00B32526" w:rsidP="00B32526">
      <w:pPr>
        <w:pStyle w:val="Heading2"/>
      </w:pPr>
      <w:bookmarkStart w:id="75" w:name="_Toc41306083"/>
      <w:r>
        <w:lastRenderedPageBreak/>
        <w:t xml:space="preserve">Appendix </w:t>
      </w:r>
      <w:r w:rsidR="00213609">
        <w:t>3</w:t>
      </w:r>
      <w:bookmarkEnd w:id="75"/>
    </w:p>
    <w:p w14:paraId="45590F73" w14:textId="6A33A96C" w:rsidR="00B32526" w:rsidRDefault="00B32526" w:rsidP="00B32526">
      <w:pPr>
        <w:pStyle w:val="Heading3"/>
      </w:pPr>
      <w:bookmarkStart w:id="76" w:name="_Toc41306084"/>
      <w:r>
        <w:t>Copy of the letter received from CSV on 11 February 2020</w:t>
      </w:r>
      <w:bookmarkEnd w:id="76"/>
    </w:p>
    <w:p w14:paraId="31A13C38" w14:textId="77777777" w:rsidR="00E21C2B" w:rsidRDefault="00E21C2B" w:rsidP="00956138">
      <w:pPr>
        <w:pStyle w:val="Heading4"/>
        <w:rPr>
          <w:sz w:val="22"/>
          <w:szCs w:val="22"/>
        </w:rPr>
      </w:pPr>
      <w:r>
        <w:rPr>
          <w:sz w:val="22"/>
          <w:szCs w:val="22"/>
        </w:rPr>
        <w:t>Note to the submission</w:t>
      </w:r>
    </w:p>
    <w:p w14:paraId="3BCB4D83" w14:textId="248AFC47" w:rsidR="008F398D" w:rsidRPr="00E21C2B" w:rsidRDefault="00BA312E" w:rsidP="00E21C2B">
      <w:pPr>
        <w:autoSpaceDE/>
        <w:autoSpaceDN/>
        <w:adjustRightInd/>
        <w:spacing w:before="0" w:after="0"/>
        <w:rPr>
          <w:szCs w:val="28"/>
        </w:rPr>
      </w:pPr>
      <w:r w:rsidRPr="00E21C2B">
        <w:rPr>
          <w:szCs w:val="28"/>
        </w:rPr>
        <w:t>The Panel received a letter from Ms Louise Anderson, Chief Executive Officer of Court</w:t>
      </w:r>
      <w:r w:rsidR="000A46BA">
        <w:rPr>
          <w:szCs w:val="28"/>
        </w:rPr>
        <w:t xml:space="preserve"> Services Victoria</w:t>
      </w:r>
      <w:r w:rsidRPr="00E21C2B">
        <w:rPr>
          <w:szCs w:val="28"/>
        </w:rPr>
        <w:t xml:space="preserve">, in February 2020. This letter primarily addressed magistrates’ living away from home allowance and vehicle entitlements. </w:t>
      </w:r>
    </w:p>
    <w:p w14:paraId="57C9EF66" w14:textId="78F20061" w:rsidR="00BA312E" w:rsidRPr="00E21C2B" w:rsidRDefault="00BA312E" w:rsidP="00E21C2B">
      <w:pPr>
        <w:autoSpaceDE/>
        <w:autoSpaceDN/>
        <w:adjustRightInd/>
        <w:spacing w:before="0" w:after="0"/>
        <w:rPr>
          <w:szCs w:val="28"/>
        </w:rPr>
      </w:pPr>
    </w:p>
    <w:p w14:paraId="770591C1" w14:textId="769DAD56" w:rsidR="00BA312E" w:rsidRPr="00E21C2B" w:rsidRDefault="00BA312E" w:rsidP="00E21C2B">
      <w:pPr>
        <w:autoSpaceDE/>
        <w:autoSpaceDN/>
        <w:adjustRightInd/>
        <w:spacing w:before="0" w:after="0"/>
        <w:rPr>
          <w:sz w:val="21"/>
        </w:rPr>
      </w:pPr>
      <w:r w:rsidRPr="00E21C2B">
        <w:rPr>
          <w:szCs w:val="28"/>
        </w:rPr>
        <w:t>The issues raised by CSV are reflected in Recommendation 7 and Observation 2 of this Report.</w:t>
      </w:r>
    </w:p>
    <w:p w14:paraId="1A0FB900" w14:textId="6838F91C" w:rsidR="00773301" w:rsidRDefault="00773301">
      <w:pPr>
        <w:autoSpaceDE/>
        <w:autoSpaceDN/>
        <w:adjustRightInd/>
        <w:spacing w:before="0" w:after="0"/>
      </w:pPr>
      <w:r>
        <w:br w:type="page"/>
      </w:r>
    </w:p>
    <w:p w14:paraId="6CB98548" w14:textId="799BDABD" w:rsidR="00773301" w:rsidRDefault="00773301" w:rsidP="00B32526">
      <w:pPr>
        <w:autoSpaceDE/>
        <w:autoSpaceDN/>
        <w:adjustRightInd/>
        <w:spacing w:before="0" w:after="0"/>
        <w:rPr>
          <w:noProof/>
        </w:rPr>
      </w:pPr>
      <w:r>
        <w:rPr>
          <w:noProof/>
        </w:rPr>
        <w:lastRenderedPageBreak/>
        <w:drawing>
          <wp:inline distT="0" distB="0" distL="0" distR="0" wp14:anchorId="6B23804A" wp14:editId="1F331334">
            <wp:extent cx="6120130" cy="872617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3-06 141836.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8726170"/>
                    </a:xfrm>
                    <a:prstGeom prst="rect">
                      <a:avLst/>
                    </a:prstGeom>
                  </pic:spPr>
                </pic:pic>
              </a:graphicData>
            </a:graphic>
          </wp:inline>
        </w:drawing>
      </w:r>
    </w:p>
    <w:p w14:paraId="0022B8D8" w14:textId="5E364F40" w:rsidR="00773301" w:rsidRDefault="00773301" w:rsidP="00B32526">
      <w:pPr>
        <w:autoSpaceDE/>
        <w:autoSpaceDN/>
        <w:adjustRightInd/>
        <w:spacing w:before="0" w:after="0"/>
        <w:rPr>
          <w:noProof/>
        </w:rPr>
      </w:pPr>
      <w:r>
        <w:rPr>
          <w:noProof/>
        </w:rPr>
        <w:lastRenderedPageBreak/>
        <w:drawing>
          <wp:inline distT="0" distB="0" distL="0" distR="0" wp14:anchorId="648B2596" wp14:editId="3C4E41BB">
            <wp:extent cx="6120130" cy="8647430"/>
            <wp:effectExtent l="0" t="0" r="0" b="127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03-06 141940.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47430"/>
                    </a:xfrm>
                    <a:prstGeom prst="rect">
                      <a:avLst/>
                    </a:prstGeom>
                  </pic:spPr>
                </pic:pic>
              </a:graphicData>
            </a:graphic>
          </wp:inline>
        </w:drawing>
      </w:r>
    </w:p>
    <w:p w14:paraId="5032DC09" w14:textId="28CDA6A1" w:rsidR="00773301" w:rsidRDefault="00773301" w:rsidP="00B32526">
      <w:pPr>
        <w:autoSpaceDE/>
        <w:autoSpaceDN/>
        <w:adjustRightInd/>
        <w:spacing w:before="0" w:after="0"/>
        <w:rPr>
          <w:noProof/>
        </w:rPr>
      </w:pPr>
      <w:r>
        <w:rPr>
          <w:noProof/>
        </w:rPr>
        <w:lastRenderedPageBreak/>
        <w:drawing>
          <wp:inline distT="0" distB="0" distL="0" distR="0" wp14:anchorId="747E35D1" wp14:editId="281DC507">
            <wp:extent cx="6120130" cy="8114665"/>
            <wp:effectExtent l="0" t="0" r="0"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0-03-06 142045.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8114665"/>
                    </a:xfrm>
                    <a:prstGeom prst="rect">
                      <a:avLst/>
                    </a:prstGeom>
                  </pic:spPr>
                </pic:pic>
              </a:graphicData>
            </a:graphic>
          </wp:inline>
        </w:drawing>
      </w:r>
    </w:p>
    <w:p w14:paraId="33C45FBB" w14:textId="0F9965D9" w:rsidR="00773301" w:rsidRDefault="00773301" w:rsidP="00B32526">
      <w:pPr>
        <w:autoSpaceDE/>
        <w:autoSpaceDN/>
        <w:adjustRightInd/>
        <w:spacing w:before="0" w:after="0"/>
        <w:rPr>
          <w:noProof/>
        </w:rPr>
      </w:pPr>
    </w:p>
    <w:p w14:paraId="06300B8C" w14:textId="024292E4" w:rsidR="00773301" w:rsidRDefault="00773301" w:rsidP="00B32526">
      <w:pPr>
        <w:autoSpaceDE/>
        <w:autoSpaceDN/>
        <w:adjustRightInd/>
        <w:spacing w:before="0" w:after="0"/>
        <w:rPr>
          <w:noProof/>
        </w:rPr>
      </w:pPr>
    </w:p>
    <w:p w14:paraId="0096DBAF" w14:textId="48F3F797" w:rsidR="00773301" w:rsidRPr="009F55E8" w:rsidRDefault="00773301" w:rsidP="00B32526">
      <w:pPr>
        <w:autoSpaceDE/>
        <w:autoSpaceDN/>
        <w:adjustRightInd/>
        <w:spacing w:before="0" w:after="0"/>
      </w:pPr>
      <w:r>
        <w:rPr>
          <w:noProof/>
        </w:rPr>
        <w:lastRenderedPageBreak/>
        <w:drawing>
          <wp:inline distT="0" distB="0" distL="0" distR="0" wp14:anchorId="526E3099" wp14:editId="12A49D29">
            <wp:extent cx="6120130" cy="848423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06 14213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8484235"/>
                    </a:xfrm>
                    <a:prstGeom prst="rect">
                      <a:avLst/>
                    </a:prstGeom>
                  </pic:spPr>
                </pic:pic>
              </a:graphicData>
            </a:graphic>
          </wp:inline>
        </w:drawing>
      </w:r>
    </w:p>
    <w:sectPr w:rsidR="00773301" w:rsidRPr="009F55E8" w:rsidSect="00362088">
      <w:headerReference w:type="even" r:id="rId17"/>
      <w:headerReference w:type="default" r:id="rId18"/>
      <w:footerReference w:type="default" r:id="rId19"/>
      <w:headerReference w:type="first" r:id="rId20"/>
      <w:pgSz w:w="11906" w:h="16838" w:code="9"/>
      <w:pgMar w:top="1359" w:right="1134" w:bottom="1134" w:left="1134"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2A66C" w14:textId="77777777" w:rsidR="00F977B8" w:rsidRDefault="00F977B8" w:rsidP="00B922A9">
      <w:r>
        <w:separator/>
      </w:r>
    </w:p>
  </w:endnote>
  <w:endnote w:type="continuationSeparator" w:id="0">
    <w:p w14:paraId="3A609434" w14:textId="77777777" w:rsidR="00F977B8" w:rsidRDefault="00F977B8" w:rsidP="00B92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3FEE" w14:textId="77777777" w:rsidR="00156182" w:rsidRPr="00707333" w:rsidRDefault="00156182">
    <w:pPr>
      <w:pStyle w:val="Footer"/>
      <w:jc w:val="center"/>
      <w:rPr>
        <w:color w:val="0063A6"/>
      </w:rPr>
    </w:pPr>
    <w:r w:rsidRPr="00707333">
      <w:rPr>
        <w:color w:val="0063A6"/>
      </w:rPr>
      <w:fldChar w:fldCharType="begin"/>
    </w:r>
    <w:r w:rsidRPr="00707333">
      <w:rPr>
        <w:color w:val="0063A6"/>
      </w:rPr>
      <w:instrText xml:space="preserve"> PAGE   \* MERGEFORMAT </w:instrText>
    </w:r>
    <w:r w:rsidRPr="00707333">
      <w:rPr>
        <w:color w:val="0063A6"/>
      </w:rPr>
      <w:fldChar w:fldCharType="separate"/>
    </w:r>
    <w:r>
      <w:rPr>
        <w:noProof/>
        <w:color w:val="0063A6"/>
      </w:rPr>
      <w:t>59</w:t>
    </w:r>
    <w:r w:rsidRPr="00707333">
      <w:rPr>
        <w:noProof/>
        <w:color w:val="0063A6"/>
      </w:rPr>
      <w:fldChar w:fldCharType="end"/>
    </w:r>
  </w:p>
  <w:p w14:paraId="12E25638" w14:textId="77777777" w:rsidR="00156182" w:rsidRDefault="00156182">
    <w:pPr>
      <w:pStyle w:val="Footer"/>
    </w:pPr>
  </w:p>
  <w:p w14:paraId="5C309093" w14:textId="77777777" w:rsidR="00156182" w:rsidRDefault="001561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515D6" w14:textId="77777777" w:rsidR="00F977B8" w:rsidRDefault="00F977B8" w:rsidP="00B922A9">
      <w:r>
        <w:separator/>
      </w:r>
    </w:p>
  </w:footnote>
  <w:footnote w:type="continuationSeparator" w:id="0">
    <w:p w14:paraId="5E05D0F2" w14:textId="77777777" w:rsidR="00F977B8" w:rsidRDefault="00F977B8" w:rsidP="00B92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5F3F" w14:textId="578336A8" w:rsidR="00156182" w:rsidRDefault="00156182">
    <w:pPr>
      <w:pStyle w:val="Header"/>
    </w:pPr>
  </w:p>
  <w:p w14:paraId="025C7F1F" w14:textId="77777777" w:rsidR="00156182" w:rsidRDefault="001561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Look w:val="04A0" w:firstRow="1" w:lastRow="0" w:firstColumn="1" w:lastColumn="0" w:noHBand="0" w:noVBand="1"/>
    </w:tblPr>
    <w:tblGrid>
      <w:gridCol w:w="3828"/>
      <w:gridCol w:w="5919"/>
    </w:tblGrid>
    <w:tr w:rsidR="00156182" w:rsidRPr="001A5DAA" w14:paraId="03C32F21" w14:textId="77777777" w:rsidTr="00536C7D">
      <w:tc>
        <w:tcPr>
          <w:tcW w:w="9747" w:type="dxa"/>
          <w:gridSpan w:val="2"/>
          <w:shd w:val="clear" w:color="auto" w:fill="auto"/>
        </w:tcPr>
        <w:p w14:paraId="725A0D75" w14:textId="77777777" w:rsidR="00156182" w:rsidRPr="001A5DAA" w:rsidRDefault="00156182" w:rsidP="00651C94">
          <w:pPr>
            <w:pStyle w:val="Header"/>
            <w:jc w:val="right"/>
          </w:pPr>
          <w:r w:rsidRPr="00DD458C">
            <w:rPr>
              <w:noProof/>
            </w:rPr>
            <w:drawing>
              <wp:inline distT="0" distB="0" distL="0" distR="0" wp14:anchorId="65ED6741" wp14:editId="5F9F09F2">
                <wp:extent cx="1181100" cy="485775"/>
                <wp:effectExtent l="0" t="0" r="0" b="0"/>
                <wp:docPr id="10" name="Picture 13" descr="Judicial Entitlements Panel logo 260616 - RG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dicial Entitlements Panel logo 260616 - RGB-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a:ln>
                          <a:noFill/>
                        </a:ln>
                      </pic:spPr>
                    </pic:pic>
                  </a:graphicData>
                </a:graphic>
              </wp:inline>
            </w:drawing>
          </w:r>
        </w:p>
      </w:tc>
    </w:tr>
    <w:tr w:rsidR="00156182" w:rsidRPr="001A5DAA" w14:paraId="54DAA3E4" w14:textId="77777777" w:rsidTr="00536C7D">
      <w:tc>
        <w:tcPr>
          <w:tcW w:w="3828" w:type="dxa"/>
          <w:shd w:val="clear" w:color="auto" w:fill="auto"/>
        </w:tcPr>
        <w:p w14:paraId="71F3AE92" w14:textId="77777777" w:rsidR="00156182" w:rsidRPr="001A5DAA" w:rsidRDefault="00156182" w:rsidP="00651C94">
          <w:pPr>
            <w:pStyle w:val="Header"/>
            <w:jc w:val="right"/>
          </w:pPr>
        </w:p>
      </w:tc>
      <w:tc>
        <w:tcPr>
          <w:tcW w:w="5919" w:type="dxa"/>
          <w:shd w:val="clear" w:color="auto" w:fill="auto"/>
        </w:tcPr>
        <w:p w14:paraId="2C7D0FFA" w14:textId="5E959268" w:rsidR="00156182" w:rsidRPr="00050A0E" w:rsidRDefault="00156182" w:rsidP="00451E74">
          <w:pPr>
            <w:spacing w:before="0" w:after="0"/>
            <w:rPr>
              <w:color w:val="0063A6"/>
            </w:rPr>
          </w:pPr>
          <w:r w:rsidRPr="00050A0E">
            <w:rPr>
              <w:color w:val="0063A6"/>
            </w:rPr>
            <w:t xml:space="preserve">Recommendations to the Attorney-General </w:t>
          </w:r>
          <w:r w:rsidRPr="00D9469D">
            <w:rPr>
              <w:i/>
              <w:color w:val="0063A6"/>
            </w:rPr>
            <w:t>May</w:t>
          </w:r>
          <w:r>
            <w:rPr>
              <w:i/>
              <w:color w:val="0063A6"/>
            </w:rPr>
            <w:t xml:space="preserve"> 2020</w:t>
          </w:r>
        </w:p>
      </w:tc>
    </w:tr>
  </w:tbl>
  <w:p w14:paraId="62CE32E6" w14:textId="77777777" w:rsidR="00156182" w:rsidRDefault="00156182">
    <w:pPr>
      <w:pStyle w:val="Header"/>
    </w:pPr>
  </w:p>
  <w:p w14:paraId="173CFDBA" w14:textId="77777777" w:rsidR="00156182" w:rsidRDefault="001561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3243" w14:textId="4471A993" w:rsidR="00156182" w:rsidRDefault="00156182" w:rsidP="00134E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872F6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D07A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EA6F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76187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F6A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BAF9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DEE1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0673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409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33F39"/>
    <w:multiLevelType w:val="hybridMultilevel"/>
    <w:tmpl w:val="8814E5DC"/>
    <w:lvl w:ilvl="0" w:tplc="63A05610">
      <w:start w:val="1"/>
      <w:numFmt w:val="bullet"/>
      <w:lvlText w:val=""/>
      <w:lvlJc w:val="left"/>
      <w:pPr>
        <w:ind w:left="360" w:hanging="360"/>
      </w:pPr>
      <w:rPr>
        <w:rFonts w:ascii="Symbol" w:hAnsi="Symbol" w:hint="default"/>
        <w:color w:val="0063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3C7180"/>
    <w:multiLevelType w:val="hybridMultilevel"/>
    <w:tmpl w:val="7020F296"/>
    <w:lvl w:ilvl="0" w:tplc="24CE3F3A">
      <w:start w:val="1"/>
      <w:numFmt w:val="decimal"/>
      <w:lvlText w:val="%1."/>
      <w:lvlJc w:val="left"/>
      <w:pPr>
        <w:ind w:left="360" w:hanging="360"/>
      </w:pPr>
      <w:rPr>
        <w:b/>
        <w:color w:val="0063A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A592E59"/>
    <w:multiLevelType w:val="hybridMultilevel"/>
    <w:tmpl w:val="8A0EBC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BA3031"/>
    <w:multiLevelType w:val="multilevel"/>
    <w:tmpl w:val="0C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1EF007FB"/>
    <w:multiLevelType w:val="hybridMultilevel"/>
    <w:tmpl w:val="18782160"/>
    <w:lvl w:ilvl="0" w:tplc="D8885828">
      <w:start w:val="1"/>
      <w:numFmt w:val="decimal"/>
      <w:lvlText w:val="Recommendation %1"/>
      <w:lvlJc w:val="left"/>
      <w:pPr>
        <w:ind w:left="360" w:hanging="360"/>
      </w:pPr>
      <w:rPr>
        <w:rFonts w:hint="default"/>
        <w:b/>
        <w:i/>
        <w:color w:val="0063A6"/>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2BE1988"/>
    <w:multiLevelType w:val="hybridMultilevel"/>
    <w:tmpl w:val="FD9AAF74"/>
    <w:lvl w:ilvl="0" w:tplc="14127252">
      <w:start w:val="1"/>
      <w:numFmt w:val="decimal"/>
      <w:pStyle w:val="NumberList1"/>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3C6404"/>
    <w:multiLevelType w:val="hybridMultilevel"/>
    <w:tmpl w:val="F35CA48E"/>
    <w:lvl w:ilvl="0" w:tplc="4E78CDFA">
      <w:start w:val="1"/>
      <w:numFmt w:val="bullet"/>
      <w:lvlText w:val=""/>
      <w:lvlJc w:val="left"/>
      <w:pPr>
        <w:ind w:left="720" w:hanging="360"/>
      </w:pPr>
      <w:rPr>
        <w:rFonts w:ascii="Symbol" w:hAnsi="Symbol" w:hint="default"/>
        <w:color w:val="0063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521A80"/>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194FB0"/>
    <w:multiLevelType w:val="hybridMultilevel"/>
    <w:tmpl w:val="6262A5C6"/>
    <w:lvl w:ilvl="0" w:tplc="EE4C5E12">
      <w:start w:val="1"/>
      <w:numFmt w:val="decimal"/>
      <w:lvlText w:val="Observation %1"/>
      <w:lvlJc w:val="left"/>
      <w:pPr>
        <w:ind w:left="360" w:hanging="360"/>
      </w:pPr>
      <w:rPr>
        <w:rFonts w:hint="default"/>
        <w:b/>
        <w:i/>
        <w:color w:val="0063A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651CF3"/>
    <w:multiLevelType w:val="multilevel"/>
    <w:tmpl w:val="9CF625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1406942"/>
    <w:multiLevelType w:val="hybridMultilevel"/>
    <w:tmpl w:val="99B06774"/>
    <w:lvl w:ilvl="0" w:tplc="63A05610">
      <w:start w:val="1"/>
      <w:numFmt w:val="bullet"/>
      <w:lvlText w:val=""/>
      <w:lvlJc w:val="left"/>
      <w:pPr>
        <w:ind w:left="360" w:hanging="360"/>
      </w:pPr>
      <w:rPr>
        <w:rFonts w:ascii="Symbol" w:hAnsi="Symbol" w:hint="default"/>
        <w:color w:val="0063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513F75"/>
    <w:multiLevelType w:val="hybridMultilevel"/>
    <w:tmpl w:val="ACDABE00"/>
    <w:lvl w:ilvl="0" w:tplc="0658A8FA">
      <w:start w:val="1"/>
      <w:numFmt w:val="bullet"/>
      <w:lvlText w:val=""/>
      <w:lvlJc w:val="left"/>
      <w:pPr>
        <w:ind w:left="720" w:hanging="360"/>
      </w:pPr>
      <w:rPr>
        <w:rFonts w:ascii="Symbol" w:hAnsi="Symbol" w:hint="default"/>
        <w:color w:val="0063A6"/>
      </w:rPr>
    </w:lvl>
    <w:lvl w:ilvl="1" w:tplc="8556D18C">
      <w:start w:val="1"/>
      <w:numFmt w:val="bullet"/>
      <w:lvlText w:val="o"/>
      <w:lvlJc w:val="left"/>
      <w:pPr>
        <w:ind w:left="1440" w:hanging="360"/>
      </w:pPr>
      <w:rPr>
        <w:rFonts w:ascii="Courier New" w:hAnsi="Courier New" w:cs="Courier New" w:hint="default"/>
        <w:color w:val="2E74B5" w:themeColor="accent1"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33D9E"/>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C3601"/>
    <w:multiLevelType w:val="hybridMultilevel"/>
    <w:tmpl w:val="14347442"/>
    <w:lvl w:ilvl="0" w:tplc="0658A8FA">
      <w:start w:val="1"/>
      <w:numFmt w:val="bullet"/>
      <w:lvlText w:val=""/>
      <w:lvlJc w:val="left"/>
      <w:pPr>
        <w:ind w:left="720" w:hanging="360"/>
      </w:pPr>
      <w:rPr>
        <w:rFonts w:ascii="Symbol" w:hAnsi="Symbol" w:hint="default"/>
        <w:color w:val="0063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F05A6"/>
    <w:multiLevelType w:val="hybridMultilevel"/>
    <w:tmpl w:val="AC1631FC"/>
    <w:lvl w:ilvl="0" w:tplc="0658A8FA">
      <w:start w:val="1"/>
      <w:numFmt w:val="bullet"/>
      <w:lvlText w:val=""/>
      <w:lvlJc w:val="left"/>
      <w:pPr>
        <w:ind w:left="360" w:hanging="360"/>
      </w:pPr>
      <w:rPr>
        <w:rFonts w:ascii="Symbol" w:hAnsi="Symbol" w:hint="default"/>
        <w:color w:val="0063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03835E0"/>
    <w:multiLevelType w:val="hybridMultilevel"/>
    <w:tmpl w:val="37F2A418"/>
    <w:lvl w:ilvl="0" w:tplc="63A05610">
      <w:start w:val="1"/>
      <w:numFmt w:val="bullet"/>
      <w:lvlText w:val=""/>
      <w:lvlJc w:val="left"/>
      <w:pPr>
        <w:ind w:left="360" w:hanging="360"/>
      </w:pPr>
      <w:rPr>
        <w:rFonts w:ascii="Symbol" w:hAnsi="Symbol" w:hint="default"/>
        <w:color w:val="0063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4650AC"/>
    <w:multiLevelType w:val="hybridMultilevel"/>
    <w:tmpl w:val="281644C6"/>
    <w:lvl w:ilvl="0" w:tplc="0658A8FA">
      <w:start w:val="1"/>
      <w:numFmt w:val="bullet"/>
      <w:lvlText w:val=""/>
      <w:lvlJc w:val="left"/>
      <w:pPr>
        <w:ind w:left="720" w:hanging="360"/>
      </w:pPr>
      <w:rPr>
        <w:rFonts w:ascii="Symbol" w:hAnsi="Symbol" w:hint="default"/>
        <w:color w:val="0063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EC42BC"/>
    <w:multiLevelType w:val="multilevel"/>
    <w:tmpl w:val="F06A9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8B26C6"/>
    <w:multiLevelType w:val="hybridMultilevel"/>
    <w:tmpl w:val="6E30A9B4"/>
    <w:lvl w:ilvl="0" w:tplc="63A05610">
      <w:start w:val="1"/>
      <w:numFmt w:val="bullet"/>
      <w:lvlText w:val=""/>
      <w:lvlJc w:val="left"/>
      <w:pPr>
        <w:ind w:left="360" w:hanging="360"/>
      </w:pPr>
      <w:rPr>
        <w:rFonts w:ascii="Symbol" w:hAnsi="Symbol" w:hint="default"/>
        <w:color w:val="0063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D1198A"/>
    <w:multiLevelType w:val="multilevel"/>
    <w:tmpl w:val="D7EE8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2F34E6"/>
    <w:multiLevelType w:val="hybridMultilevel"/>
    <w:tmpl w:val="D102E8D2"/>
    <w:lvl w:ilvl="0" w:tplc="83920A00">
      <w:start w:val="1"/>
      <w:numFmt w:val="decimal"/>
      <w:lvlText w:val="%1."/>
      <w:lvlJc w:val="left"/>
      <w:pPr>
        <w:ind w:left="360" w:hanging="360"/>
      </w:pPr>
      <w:rPr>
        <w:b/>
        <w:color w:val="0063A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5882854"/>
    <w:multiLevelType w:val="hybridMultilevel"/>
    <w:tmpl w:val="08BEB776"/>
    <w:lvl w:ilvl="0" w:tplc="D4EA8B5A">
      <w:start w:val="1"/>
      <w:numFmt w:val="lowerLetter"/>
      <w:lvlText w:val="%1)"/>
      <w:lvlJc w:val="left"/>
      <w:pPr>
        <w:ind w:left="720" w:hanging="360"/>
      </w:pPr>
      <w:rPr>
        <w:b/>
        <w:color w:val="0063A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823BB7"/>
    <w:multiLevelType w:val="multilevel"/>
    <w:tmpl w:val="513E45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721D6D"/>
    <w:multiLevelType w:val="hybridMultilevel"/>
    <w:tmpl w:val="188C1BCE"/>
    <w:lvl w:ilvl="0" w:tplc="0658A8FA">
      <w:start w:val="1"/>
      <w:numFmt w:val="bullet"/>
      <w:lvlText w:val=""/>
      <w:lvlJc w:val="left"/>
      <w:pPr>
        <w:ind w:left="720" w:hanging="360"/>
      </w:pPr>
      <w:rPr>
        <w:rFonts w:ascii="Symbol" w:hAnsi="Symbol" w:hint="default"/>
        <w:color w:val="0063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FF494D"/>
    <w:multiLevelType w:val="hybridMultilevel"/>
    <w:tmpl w:val="C4EC2C40"/>
    <w:lvl w:ilvl="0" w:tplc="08480D08">
      <w:start w:val="1"/>
      <w:numFmt w:val="lowerLetter"/>
      <w:lvlText w:val="%1)"/>
      <w:lvlJc w:val="left"/>
      <w:pPr>
        <w:ind w:left="720" w:hanging="360"/>
      </w:pPr>
      <w:rPr>
        <w:b/>
        <w:color w:val="0063A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6"/>
  </w:num>
  <w:num w:numId="16">
    <w:abstractNumId w:val="24"/>
  </w:num>
  <w:num w:numId="17">
    <w:abstractNumId w:val="33"/>
  </w:num>
  <w:num w:numId="18">
    <w:abstractNumId w:val="21"/>
  </w:num>
  <w:num w:numId="19">
    <w:abstractNumId w:val="23"/>
  </w:num>
  <w:num w:numId="20">
    <w:abstractNumId w:val="15"/>
  </w:num>
  <w:num w:numId="21">
    <w:abstractNumId w:val="31"/>
  </w:num>
  <w:num w:numId="22">
    <w:abstractNumId w:val="30"/>
  </w:num>
  <w:num w:numId="23">
    <w:abstractNumId w:val="14"/>
  </w:num>
  <w:num w:numId="24">
    <w:abstractNumId w:val="34"/>
  </w:num>
  <w:num w:numId="25">
    <w:abstractNumId w:val="18"/>
  </w:num>
  <w:num w:numId="26">
    <w:abstractNumId w:val="10"/>
  </w:num>
  <w:num w:numId="27">
    <w:abstractNumId w:val="28"/>
  </w:num>
  <w:num w:numId="28">
    <w:abstractNumId w:val="25"/>
  </w:num>
  <w:num w:numId="29">
    <w:abstractNumId w:val="20"/>
  </w:num>
  <w:num w:numId="30">
    <w:abstractNumId w:val="12"/>
  </w:num>
  <w:num w:numId="31">
    <w:abstractNumId w:val="16"/>
  </w:num>
  <w:num w:numId="32">
    <w:abstractNumId w:val="29"/>
  </w:num>
  <w:num w:numId="33">
    <w:abstractNumId w:val="27"/>
  </w:num>
  <w:num w:numId="34">
    <w:abstractNumId w:val="32"/>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readOnly" w:formatting="1" w:enforcement="1" w:cryptProviderType="rsaAES" w:cryptAlgorithmClass="hash" w:cryptAlgorithmType="typeAny" w:cryptAlgorithmSid="14" w:cryptSpinCount="100000" w:hash="mlf7QucatD5IrpEG72KFRZy8XtEBPnKE9YiTWtYgZJ1GSdnzAeZHfMC5w/CEyCe82jxa6grJxUHbIdUA46F13g==" w:salt="FI46khOTJqxE2yyg55iIM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4C1B75D-C1A1-488A-AFFD-53B688BC1B83}"/>
    <w:docVar w:name="dgnword-eventsink" w:val="634148240"/>
    <w:docVar w:name="dgnword-lastRevisionsView" w:val="0"/>
  </w:docVars>
  <w:rsids>
    <w:rsidRoot w:val="002A5CF8"/>
    <w:rsid w:val="00001DD3"/>
    <w:rsid w:val="00001E92"/>
    <w:rsid w:val="000021D9"/>
    <w:rsid w:val="00003A18"/>
    <w:rsid w:val="00003D2C"/>
    <w:rsid w:val="000044DC"/>
    <w:rsid w:val="00005206"/>
    <w:rsid w:val="0000573C"/>
    <w:rsid w:val="000068CB"/>
    <w:rsid w:val="00010578"/>
    <w:rsid w:val="000121D4"/>
    <w:rsid w:val="000143FE"/>
    <w:rsid w:val="00017BF9"/>
    <w:rsid w:val="000201A5"/>
    <w:rsid w:val="00021A3E"/>
    <w:rsid w:val="000260AF"/>
    <w:rsid w:val="000261F7"/>
    <w:rsid w:val="00026C94"/>
    <w:rsid w:val="0002754E"/>
    <w:rsid w:val="00027914"/>
    <w:rsid w:val="00031247"/>
    <w:rsid w:val="00034DF0"/>
    <w:rsid w:val="00037F86"/>
    <w:rsid w:val="00040230"/>
    <w:rsid w:val="00040F19"/>
    <w:rsid w:val="00043747"/>
    <w:rsid w:val="00044CC5"/>
    <w:rsid w:val="00044F0F"/>
    <w:rsid w:val="000458B2"/>
    <w:rsid w:val="00046664"/>
    <w:rsid w:val="00050A0E"/>
    <w:rsid w:val="000520F6"/>
    <w:rsid w:val="00053803"/>
    <w:rsid w:val="00053D7C"/>
    <w:rsid w:val="00054751"/>
    <w:rsid w:val="000566D2"/>
    <w:rsid w:val="00057824"/>
    <w:rsid w:val="00057F60"/>
    <w:rsid w:val="000602D0"/>
    <w:rsid w:val="0006087A"/>
    <w:rsid w:val="00062713"/>
    <w:rsid w:val="000631E9"/>
    <w:rsid w:val="000667ED"/>
    <w:rsid w:val="00070267"/>
    <w:rsid w:val="000704BB"/>
    <w:rsid w:val="0007072F"/>
    <w:rsid w:val="00072944"/>
    <w:rsid w:val="00072A45"/>
    <w:rsid w:val="00073B5B"/>
    <w:rsid w:val="00076108"/>
    <w:rsid w:val="000761C9"/>
    <w:rsid w:val="000777D6"/>
    <w:rsid w:val="000801ED"/>
    <w:rsid w:val="0008125C"/>
    <w:rsid w:val="00081388"/>
    <w:rsid w:val="00084612"/>
    <w:rsid w:val="00084A05"/>
    <w:rsid w:val="00084AC4"/>
    <w:rsid w:val="00086040"/>
    <w:rsid w:val="0008659F"/>
    <w:rsid w:val="00086880"/>
    <w:rsid w:val="0009011A"/>
    <w:rsid w:val="00093C3C"/>
    <w:rsid w:val="00096B68"/>
    <w:rsid w:val="0009757D"/>
    <w:rsid w:val="000A194E"/>
    <w:rsid w:val="000A2642"/>
    <w:rsid w:val="000A2767"/>
    <w:rsid w:val="000A46BA"/>
    <w:rsid w:val="000A5358"/>
    <w:rsid w:val="000A5B5A"/>
    <w:rsid w:val="000A798A"/>
    <w:rsid w:val="000B09A9"/>
    <w:rsid w:val="000B0FC6"/>
    <w:rsid w:val="000B161C"/>
    <w:rsid w:val="000B2A9A"/>
    <w:rsid w:val="000B2D31"/>
    <w:rsid w:val="000B3A63"/>
    <w:rsid w:val="000B4048"/>
    <w:rsid w:val="000B4C47"/>
    <w:rsid w:val="000B5C51"/>
    <w:rsid w:val="000B609B"/>
    <w:rsid w:val="000B7CE9"/>
    <w:rsid w:val="000C451C"/>
    <w:rsid w:val="000C53F2"/>
    <w:rsid w:val="000C6C97"/>
    <w:rsid w:val="000C7509"/>
    <w:rsid w:val="000C7BF0"/>
    <w:rsid w:val="000D058D"/>
    <w:rsid w:val="000D0EE7"/>
    <w:rsid w:val="000D21CF"/>
    <w:rsid w:val="000D2662"/>
    <w:rsid w:val="000D2C04"/>
    <w:rsid w:val="000D4C2D"/>
    <w:rsid w:val="000D6431"/>
    <w:rsid w:val="000E021B"/>
    <w:rsid w:val="000E1A16"/>
    <w:rsid w:val="000E1EF4"/>
    <w:rsid w:val="000E223C"/>
    <w:rsid w:val="000E2BA6"/>
    <w:rsid w:val="000E2C6B"/>
    <w:rsid w:val="000E4C80"/>
    <w:rsid w:val="000E530E"/>
    <w:rsid w:val="000F201A"/>
    <w:rsid w:val="000F7143"/>
    <w:rsid w:val="000F7CFA"/>
    <w:rsid w:val="000F7F7D"/>
    <w:rsid w:val="0010320E"/>
    <w:rsid w:val="00103C76"/>
    <w:rsid w:val="00105AE4"/>
    <w:rsid w:val="00105C1B"/>
    <w:rsid w:val="0010693D"/>
    <w:rsid w:val="001079B4"/>
    <w:rsid w:val="00113E5B"/>
    <w:rsid w:val="00113EF9"/>
    <w:rsid w:val="0011422D"/>
    <w:rsid w:val="00115667"/>
    <w:rsid w:val="00115803"/>
    <w:rsid w:val="001162E0"/>
    <w:rsid w:val="00116AF7"/>
    <w:rsid w:val="00117FEF"/>
    <w:rsid w:val="00120FDC"/>
    <w:rsid w:val="00123448"/>
    <w:rsid w:val="00123517"/>
    <w:rsid w:val="0012377C"/>
    <w:rsid w:val="001246CA"/>
    <w:rsid w:val="00124D79"/>
    <w:rsid w:val="00124E0D"/>
    <w:rsid w:val="00125E74"/>
    <w:rsid w:val="001268AF"/>
    <w:rsid w:val="001306C5"/>
    <w:rsid w:val="00132DB3"/>
    <w:rsid w:val="00132FD5"/>
    <w:rsid w:val="00134A26"/>
    <w:rsid w:val="00134AAE"/>
    <w:rsid w:val="00134E8A"/>
    <w:rsid w:val="001361C1"/>
    <w:rsid w:val="00136343"/>
    <w:rsid w:val="00136B57"/>
    <w:rsid w:val="00137FF8"/>
    <w:rsid w:val="0014222F"/>
    <w:rsid w:val="00143700"/>
    <w:rsid w:val="00144386"/>
    <w:rsid w:val="00144D60"/>
    <w:rsid w:val="00147299"/>
    <w:rsid w:val="00147B88"/>
    <w:rsid w:val="00147CB9"/>
    <w:rsid w:val="00152B79"/>
    <w:rsid w:val="00153898"/>
    <w:rsid w:val="001543F9"/>
    <w:rsid w:val="00155382"/>
    <w:rsid w:val="00156021"/>
    <w:rsid w:val="00156182"/>
    <w:rsid w:val="0016000C"/>
    <w:rsid w:val="00161194"/>
    <w:rsid w:val="00164144"/>
    <w:rsid w:val="001654B6"/>
    <w:rsid w:val="001669A2"/>
    <w:rsid w:val="0016753A"/>
    <w:rsid w:val="0017083C"/>
    <w:rsid w:val="00170CD9"/>
    <w:rsid w:val="00171893"/>
    <w:rsid w:val="00171F68"/>
    <w:rsid w:val="00175DC2"/>
    <w:rsid w:val="00177AC6"/>
    <w:rsid w:val="001809C8"/>
    <w:rsid w:val="00180C42"/>
    <w:rsid w:val="00180C83"/>
    <w:rsid w:val="001811B4"/>
    <w:rsid w:val="0018174D"/>
    <w:rsid w:val="00181E8C"/>
    <w:rsid w:val="001839FD"/>
    <w:rsid w:val="00184D27"/>
    <w:rsid w:val="00184E2C"/>
    <w:rsid w:val="00192495"/>
    <w:rsid w:val="00193586"/>
    <w:rsid w:val="001940E3"/>
    <w:rsid w:val="00195513"/>
    <w:rsid w:val="00197702"/>
    <w:rsid w:val="00197BFB"/>
    <w:rsid w:val="001A0F53"/>
    <w:rsid w:val="001A16E5"/>
    <w:rsid w:val="001A1946"/>
    <w:rsid w:val="001A1B86"/>
    <w:rsid w:val="001A688F"/>
    <w:rsid w:val="001B14FD"/>
    <w:rsid w:val="001B6178"/>
    <w:rsid w:val="001C0895"/>
    <w:rsid w:val="001C1ACB"/>
    <w:rsid w:val="001C1EB6"/>
    <w:rsid w:val="001C3B2A"/>
    <w:rsid w:val="001C3DF3"/>
    <w:rsid w:val="001C4FF7"/>
    <w:rsid w:val="001C611A"/>
    <w:rsid w:val="001C67DC"/>
    <w:rsid w:val="001C7380"/>
    <w:rsid w:val="001C7A5B"/>
    <w:rsid w:val="001D1D3D"/>
    <w:rsid w:val="001D227F"/>
    <w:rsid w:val="001D28D3"/>
    <w:rsid w:val="001D2A91"/>
    <w:rsid w:val="001D4F63"/>
    <w:rsid w:val="001D5CF1"/>
    <w:rsid w:val="001D5E8E"/>
    <w:rsid w:val="001D6286"/>
    <w:rsid w:val="001D62CB"/>
    <w:rsid w:val="001D62E6"/>
    <w:rsid w:val="001E1BAF"/>
    <w:rsid w:val="001E29AB"/>
    <w:rsid w:val="001E2A76"/>
    <w:rsid w:val="001E3BF3"/>
    <w:rsid w:val="001E4F2B"/>
    <w:rsid w:val="001E5AC2"/>
    <w:rsid w:val="001E7FC2"/>
    <w:rsid w:val="001F00AA"/>
    <w:rsid w:val="001F1BA4"/>
    <w:rsid w:val="001F452A"/>
    <w:rsid w:val="001F47C8"/>
    <w:rsid w:val="001F7D6E"/>
    <w:rsid w:val="00200BA9"/>
    <w:rsid w:val="002025AB"/>
    <w:rsid w:val="002029C2"/>
    <w:rsid w:val="002067E9"/>
    <w:rsid w:val="00213609"/>
    <w:rsid w:val="00216A1B"/>
    <w:rsid w:val="00216A79"/>
    <w:rsid w:val="002213E6"/>
    <w:rsid w:val="00221633"/>
    <w:rsid w:val="0022280B"/>
    <w:rsid w:val="00222D9E"/>
    <w:rsid w:val="00223DE6"/>
    <w:rsid w:val="00224AA0"/>
    <w:rsid w:val="00226099"/>
    <w:rsid w:val="0022662F"/>
    <w:rsid w:val="00227FA4"/>
    <w:rsid w:val="00230347"/>
    <w:rsid w:val="00231A1C"/>
    <w:rsid w:val="00232EC0"/>
    <w:rsid w:val="00233630"/>
    <w:rsid w:val="0023499D"/>
    <w:rsid w:val="00234C74"/>
    <w:rsid w:val="00234F41"/>
    <w:rsid w:val="002350C5"/>
    <w:rsid w:val="00235386"/>
    <w:rsid w:val="002374B6"/>
    <w:rsid w:val="00237CA1"/>
    <w:rsid w:val="00240810"/>
    <w:rsid w:val="00240A2E"/>
    <w:rsid w:val="00240B59"/>
    <w:rsid w:val="00242396"/>
    <w:rsid w:val="0024239F"/>
    <w:rsid w:val="00242674"/>
    <w:rsid w:val="002428AC"/>
    <w:rsid w:val="00243475"/>
    <w:rsid w:val="00243CE2"/>
    <w:rsid w:val="0024426A"/>
    <w:rsid w:val="0024454B"/>
    <w:rsid w:val="002446F3"/>
    <w:rsid w:val="00245D30"/>
    <w:rsid w:val="00245FC2"/>
    <w:rsid w:val="00252070"/>
    <w:rsid w:val="002523CD"/>
    <w:rsid w:val="00253CD1"/>
    <w:rsid w:val="00256B34"/>
    <w:rsid w:val="00257D40"/>
    <w:rsid w:val="002611F9"/>
    <w:rsid w:val="00265D9E"/>
    <w:rsid w:val="00266287"/>
    <w:rsid w:val="00266A5D"/>
    <w:rsid w:val="002676A7"/>
    <w:rsid w:val="002679AF"/>
    <w:rsid w:val="002705B3"/>
    <w:rsid w:val="00271FA1"/>
    <w:rsid w:val="00272166"/>
    <w:rsid w:val="0027677E"/>
    <w:rsid w:val="002776AD"/>
    <w:rsid w:val="00277E46"/>
    <w:rsid w:val="0028088B"/>
    <w:rsid w:val="00280EDA"/>
    <w:rsid w:val="00280F6B"/>
    <w:rsid w:val="00283871"/>
    <w:rsid w:val="0028703D"/>
    <w:rsid w:val="00292237"/>
    <w:rsid w:val="002924A7"/>
    <w:rsid w:val="00292680"/>
    <w:rsid w:val="00293BEA"/>
    <w:rsid w:val="002942D7"/>
    <w:rsid w:val="0029433A"/>
    <w:rsid w:val="00295919"/>
    <w:rsid w:val="00295ACB"/>
    <w:rsid w:val="00295E13"/>
    <w:rsid w:val="00297D6B"/>
    <w:rsid w:val="002A0CFA"/>
    <w:rsid w:val="002A3D2F"/>
    <w:rsid w:val="002A4568"/>
    <w:rsid w:val="002A4892"/>
    <w:rsid w:val="002A55D3"/>
    <w:rsid w:val="002A5CF8"/>
    <w:rsid w:val="002B1A05"/>
    <w:rsid w:val="002B1DE0"/>
    <w:rsid w:val="002B3994"/>
    <w:rsid w:val="002B3E78"/>
    <w:rsid w:val="002B4092"/>
    <w:rsid w:val="002B4269"/>
    <w:rsid w:val="002B50A9"/>
    <w:rsid w:val="002B66CD"/>
    <w:rsid w:val="002B6E13"/>
    <w:rsid w:val="002C0A83"/>
    <w:rsid w:val="002C12DE"/>
    <w:rsid w:val="002C3D73"/>
    <w:rsid w:val="002C4ACE"/>
    <w:rsid w:val="002C5F1F"/>
    <w:rsid w:val="002C6759"/>
    <w:rsid w:val="002D1BBF"/>
    <w:rsid w:val="002D25BE"/>
    <w:rsid w:val="002D3CAF"/>
    <w:rsid w:val="002D60C2"/>
    <w:rsid w:val="002D75D5"/>
    <w:rsid w:val="002E46DC"/>
    <w:rsid w:val="002E6335"/>
    <w:rsid w:val="002E7512"/>
    <w:rsid w:val="002F1151"/>
    <w:rsid w:val="002F2BFD"/>
    <w:rsid w:val="002F500B"/>
    <w:rsid w:val="002F5021"/>
    <w:rsid w:val="002F50A2"/>
    <w:rsid w:val="002F5B29"/>
    <w:rsid w:val="002F6073"/>
    <w:rsid w:val="002F61E6"/>
    <w:rsid w:val="00303AE0"/>
    <w:rsid w:val="00305893"/>
    <w:rsid w:val="00306351"/>
    <w:rsid w:val="003073F1"/>
    <w:rsid w:val="00307B81"/>
    <w:rsid w:val="00307C32"/>
    <w:rsid w:val="0031105F"/>
    <w:rsid w:val="00312572"/>
    <w:rsid w:val="00312E61"/>
    <w:rsid w:val="00313267"/>
    <w:rsid w:val="003142D6"/>
    <w:rsid w:val="003143D0"/>
    <w:rsid w:val="00315D11"/>
    <w:rsid w:val="0032199E"/>
    <w:rsid w:val="00321D6E"/>
    <w:rsid w:val="0032204B"/>
    <w:rsid w:val="003250E6"/>
    <w:rsid w:val="003252F6"/>
    <w:rsid w:val="003269CB"/>
    <w:rsid w:val="00327B54"/>
    <w:rsid w:val="00333D67"/>
    <w:rsid w:val="00336710"/>
    <w:rsid w:val="00336996"/>
    <w:rsid w:val="00336D0A"/>
    <w:rsid w:val="00341260"/>
    <w:rsid w:val="0034376F"/>
    <w:rsid w:val="00343957"/>
    <w:rsid w:val="00345561"/>
    <w:rsid w:val="00345AC7"/>
    <w:rsid w:val="00346A5D"/>
    <w:rsid w:val="003478D3"/>
    <w:rsid w:val="00350B76"/>
    <w:rsid w:val="003603F0"/>
    <w:rsid w:val="00362088"/>
    <w:rsid w:val="00363A0D"/>
    <w:rsid w:val="0036603D"/>
    <w:rsid w:val="00366F4C"/>
    <w:rsid w:val="0037071C"/>
    <w:rsid w:val="003747D1"/>
    <w:rsid w:val="00374998"/>
    <w:rsid w:val="00376000"/>
    <w:rsid w:val="0037716D"/>
    <w:rsid w:val="00377EB6"/>
    <w:rsid w:val="00380E9B"/>
    <w:rsid w:val="003815D1"/>
    <w:rsid w:val="00384019"/>
    <w:rsid w:val="0038594A"/>
    <w:rsid w:val="003865E2"/>
    <w:rsid w:val="0039390D"/>
    <w:rsid w:val="0039482E"/>
    <w:rsid w:val="00396466"/>
    <w:rsid w:val="00396C3A"/>
    <w:rsid w:val="00397BC4"/>
    <w:rsid w:val="003A0731"/>
    <w:rsid w:val="003A112D"/>
    <w:rsid w:val="003A1845"/>
    <w:rsid w:val="003A3248"/>
    <w:rsid w:val="003A3571"/>
    <w:rsid w:val="003A3CE0"/>
    <w:rsid w:val="003A6A3C"/>
    <w:rsid w:val="003A6A77"/>
    <w:rsid w:val="003A7707"/>
    <w:rsid w:val="003A7AC1"/>
    <w:rsid w:val="003B0774"/>
    <w:rsid w:val="003B1184"/>
    <w:rsid w:val="003B143E"/>
    <w:rsid w:val="003B314C"/>
    <w:rsid w:val="003B4525"/>
    <w:rsid w:val="003B4DE9"/>
    <w:rsid w:val="003B50C7"/>
    <w:rsid w:val="003B514F"/>
    <w:rsid w:val="003B5E6C"/>
    <w:rsid w:val="003B6D4D"/>
    <w:rsid w:val="003B7248"/>
    <w:rsid w:val="003B7286"/>
    <w:rsid w:val="003C1EAA"/>
    <w:rsid w:val="003C3DC3"/>
    <w:rsid w:val="003C5A12"/>
    <w:rsid w:val="003C5CBF"/>
    <w:rsid w:val="003C64CF"/>
    <w:rsid w:val="003C72E2"/>
    <w:rsid w:val="003D0B70"/>
    <w:rsid w:val="003D0C87"/>
    <w:rsid w:val="003D1181"/>
    <w:rsid w:val="003D1A0F"/>
    <w:rsid w:val="003D33D1"/>
    <w:rsid w:val="003D40B2"/>
    <w:rsid w:val="003D5EB3"/>
    <w:rsid w:val="003E001B"/>
    <w:rsid w:val="003E1384"/>
    <w:rsid w:val="003E24C1"/>
    <w:rsid w:val="003E2F99"/>
    <w:rsid w:val="003E3138"/>
    <w:rsid w:val="003E388F"/>
    <w:rsid w:val="003E454C"/>
    <w:rsid w:val="003E4684"/>
    <w:rsid w:val="003E5E4D"/>
    <w:rsid w:val="003E60E0"/>
    <w:rsid w:val="003F1972"/>
    <w:rsid w:val="003F1FC9"/>
    <w:rsid w:val="003F20CE"/>
    <w:rsid w:val="003F5724"/>
    <w:rsid w:val="003F5B1F"/>
    <w:rsid w:val="003F5F74"/>
    <w:rsid w:val="0040067A"/>
    <w:rsid w:val="00401F3A"/>
    <w:rsid w:val="00402077"/>
    <w:rsid w:val="00402B5F"/>
    <w:rsid w:val="00402F64"/>
    <w:rsid w:val="004037C1"/>
    <w:rsid w:val="00404E1F"/>
    <w:rsid w:val="004057A6"/>
    <w:rsid w:val="00405867"/>
    <w:rsid w:val="00410977"/>
    <w:rsid w:val="00411530"/>
    <w:rsid w:val="00411E4F"/>
    <w:rsid w:val="004121CB"/>
    <w:rsid w:val="00412EBA"/>
    <w:rsid w:val="00412FBA"/>
    <w:rsid w:val="00416C82"/>
    <w:rsid w:val="00417788"/>
    <w:rsid w:val="0041785B"/>
    <w:rsid w:val="0042077B"/>
    <w:rsid w:val="004217F8"/>
    <w:rsid w:val="00421F40"/>
    <w:rsid w:val="0042256D"/>
    <w:rsid w:val="00423F3D"/>
    <w:rsid w:val="0042471A"/>
    <w:rsid w:val="00425038"/>
    <w:rsid w:val="00426542"/>
    <w:rsid w:val="004271FE"/>
    <w:rsid w:val="004303F6"/>
    <w:rsid w:val="00430AA8"/>
    <w:rsid w:val="004326B5"/>
    <w:rsid w:val="00432E9B"/>
    <w:rsid w:val="00434832"/>
    <w:rsid w:val="00434B02"/>
    <w:rsid w:val="00434F92"/>
    <w:rsid w:val="004361EC"/>
    <w:rsid w:val="00437E03"/>
    <w:rsid w:val="004410EB"/>
    <w:rsid w:val="00441E92"/>
    <w:rsid w:val="00441F7F"/>
    <w:rsid w:val="004431B8"/>
    <w:rsid w:val="00444250"/>
    <w:rsid w:val="004450D9"/>
    <w:rsid w:val="00446B66"/>
    <w:rsid w:val="00446B85"/>
    <w:rsid w:val="00446EF9"/>
    <w:rsid w:val="00451071"/>
    <w:rsid w:val="00451594"/>
    <w:rsid w:val="00451CC4"/>
    <w:rsid w:val="00451E74"/>
    <w:rsid w:val="00451F6B"/>
    <w:rsid w:val="00453000"/>
    <w:rsid w:val="0045446E"/>
    <w:rsid w:val="004544F6"/>
    <w:rsid w:val="0045485F"/>
    <w:rsid w:val="00454C5F"/>
    <w:rsid w:val="0045571B"/>
    <w:rsid w:val="00455AED"/>
    <w:rsid w:val="004605BA"/>
    <w:rsid w:val="004613CE"/>
    <w:rsid w:val="00463B5C"/>
    <w:rsid w:val="004645D6"/>
    <w:rsid w:val="0046474B"/>
    <w:rsid w:val="00465850"/>
    <w:rsid w:val="0046594E"/>
    <w:rsid w:val="00465ABA"/>
    <w:rsid w:val="00466819"/>
    <w:rsid w:val="00470445"/>
    <w:rsid w:val="00470816"/>
    <w:rsid w:val="0047250C"/>
    <w:rsid w:val="00476A8A"/>
    <w:rsid w:val="004801D6"/>
    <w:rsid w:val="00480AEF"/>
    <w:rsid w:val="00480C19"/>
    <w:rsid w:val="0048220A"/>
    <w:rsid w:val="00482540"/>
    <w:rsid w:val="00482B12"/>
    <w:rsid w:val="00482F06"/>
    <w:rsid w:val="00483EF6"/>
    <w:rsid w:val="00484CDA"/>
    <w:rsid w:val="004875FB"/>
    <w:rsid w:val="004876BC"/>
    <w:rsid w:val="00487768"/>
    <w:rsid w:val="004909DE"/>
    <w:rsid w:val="0049283E"/>
    <w:rsid w:val="00493582"/>
    <w:rsid w:val="00494DD3"/>
    <w:rsid w:val="00494ECC"/>
    <w:rsid w:val="004954BF"/>
    <w:rsid w:val="004A0ED0"/>
    <w:rsid w:val="004A169F"/>
    <w:rsid w:val="004A3070"/>
    <w:rsid w:val="004A4CF3"/>
    <w:rsid w:val="004A4DFE"/>
    <w:rsid w:val="004A51AB"/>
    <w:rsid w:val="004A55F5"/>
    <w:rsid w:val="004A57EF"/>
    <w:rsid w:val="004A5FF2"/>
    <w:rsid w:val="004A62AB"/>
    <w:rsid w:val="004A6308"/>
    <w:rsid w:val="004A7E2B"/>
    <w:rsid w:val="004B0ABE"/>
    <w:rsid w:val="004B0D5C"/>
    <w:rsid w:val="004B1044"/>
    <w:rsid w:val="004B30A8"/>
    <w:rsid w:val="004B39FF"/>
    <w:rsid w:val="004B41D5"/>
    <w:rsid w:val="004B5513"/>
    <w:rsid w:val="004B7741"/>
    <w:rsid w:val="004B77A8"/>
    <w:rsid w:val="004B7C35"/>
    <w:rsid w:val="004C0A79"/>
    <w:rsid w:val="004C1615"/>
    <w:rsid w:val="004D0481"/>
    <w:rsid w:val="004D16C4"/>
    <w:rsid w:val="004D2F1B"/>
    <w:rsid w:val="004D4463"/>
    <w:rsid w:val="004D5287"/>
    <w:rsid w:val="004D58E4"/>
    <w:rsid w:val="004D5952"/>
    <w:rsid w:val="004D65F2"/>
    <w:rsid w:val="004D7AE2"/>
    <w:rsid w:val="004D7BBF"/>
    <w:rsid w:val="004E0270"/>
    <w:rsid w:val="004E085D"/>
    <w:rsid w:val="004E2D2B"/>
    <w:rsid w:val="004E3976"/>
    <w:rsid w:val="004E3C09"/>
    <w:rsid w:val="004E5B49"/>
    <w:rsid w:val="004E7081"/>
    <w:rsid w:val="004F0893"/>
    <w:rsid w:val="004F2D7A"/>
    <w:rsid w:val="004F4249"/>
    <w:rsid w:val="004F58A8"/>
    <w:rsid w:val="004F6A73"/>
    <w:rsid w:val="00501A34"/>
    <w:rsid w:val="00501FBC"/>
    <w:rsid w:val="00502179"/>
    <w:rsid w:val="0050247A"/>
    <w:rsid w:val="00502591"/>
    <w:rsid w:val="00502D2F"/>
    <w:rsid w:val="005032C9"/>
    <w:rsid w:val="0050378D"/>
    <w:rsid w:val="005037F9"/>
    <w:rsid w:val="00503DEB"/>
    <w:rsid w:val="00505EF2"/>
    <w:rsid w:val="00507FA7"/>
    <w:rsid w:val="00511558"/>
    <w:rsid w:val="00512FB9"/>
    <w:rsid w:val="00513AD5"/>
    <w:rsid w:val="00515697"/>
    <w:rsid w:val="005201A6"/>
    <w:rsid w:val="00520D37"/>
    <w:rsid w:val="005220F0"/>
    <w:rsid w:val="00523018"/>
    <w:rsid w:val="00523241"/>
    <w:rsid w:val="005253F7"/>
    <w:rsid w:val="00527AC6"/>
    <w:rsid w:val="00530A88"/>
    <w:rsid w:val="00531ACC"/>
    <w:rsid w:val="0053344F"/>
    <w:rsid w:val="00534865"/>
    <w:rsid w:val="0053674D"/>
    <w:rsid w:val="00536826"/>
    <w:rsid w:val="00536C7D"/>
    <w:rsid w:val="005373D8"/>
    <w:rsid w:val="00537B0A"/>
    <w:rsid w:val="005411E1"/>
    <w:rsid w:val="00541EFA"/>
    <w:rsid w:val="00545725"/>
    <w:rsid w:val="00546C51"/>
    <w:rsid w:val="00546E95"/>
    <w:rsid w:val="0054703B"/>
    <w:rsid w:val="00551019"/>
    <w:rsid w:val="0055143B"/>
    <w:rsid w:val="00552498"/>
    <w:rsid w:val="005528B8"/>
    <w:rsid w:val="0055378D"/>
    <w:rsid w:val="00556332"/>
    <w:rsid w:val="00556842"/>
    <w:rsid w:val="0055731C"/>
    <w:rsid w:val="005621D9"/>
    <w:rsid w:val="005630C0"/>
    <w:rsid w:val="00564361"/>
    <w:rsid w:val="005651AD"/>
    <w:rsid w:val="00565F21"/>
    <w:rsid w:val="005716D9"/>
    <w:rsid w:val="00572AC4"/>
    <w:rsid w:val="005808F0"/>
    <w:rsid w:val="00580A74"/>
    <w:rsid w:val="00583C17"/>
    <w:rsid w:val="005915B1"/>
    <w:rsid w:val="00592FBA"/>
    <w:rsid w:val="0059361D"/>
    <w:rsid w:val="00593D07"/>
    <w:rsid w:val="00594C8A"/>
    <w:rsid w:val="005A017E"/>
    <w:rsid w:val="005A12B4"/>
    <w:rsid w:val="005A3EA0"/>
    <w:rsid w:val="005B02B1"/>
    <w:rsid w:val="005B3819"/>
    <w:rsid w:val="005B439C"/>
    <w:rsid w:val="005B482B"/>
    <w:rsid w:val="005B52B7"/>
    <w:rsid w:val="005C0CD0"/>
    <w:rsid w:val="005C468E"/>
    <w:rsid w:val="005C5906"/>
    <w:rsid w:val="005C6258"/>
    <w:rsid w:val="005D0023"/>
    <w:rsid w:val="005D02D7"/>
    <w:rsid w:val="005D0706"/>
    <w:rsid w:val="005D19D6"/>
    <w:rsid w:val="005D3B41"/>
    <w:rsid w:val="005D51F7"/>
    <w:rsid w:val="005D552B"/>
    <w:rsid w:val="005D6B1C"/>
    <w:rsid w:val="005E0B9A"/>
    <w:rsid w:val="005E11D4"/>
    <w:rsid w:val="005E7AAC"/>
    <w:rsid w:val="005E7F9D"/>
    <w:rsid w:val="005F2D63"/>
    <w:rsid w:val="005F2F2D"/>
    <w:rsid w:val="005F34AC"/>
    <w:rsid w:val="005F3A9E"/>
    <w:rsid w:val="005F5306"/>
    <w:rsid w:val="005F6E28"/>
    <w:rsid w:val="006036F9"/>
    <w:rsid w:val="00603E21"/>
    <w:rsid w:val="00603EFC"/>
    <w:rsid w:val="0060545A"/>
    <w:rsid w:val="006079C6"/>
    <w:rsid w:val="006100E5"/>
    <w:rsid w:val="00610107"/>
    <w:rsid w:val="00611B3A"/>
    <w:rsid w:val="00613D62"/>
    <w:rsid w:val="00616341"/>
    <w:rsid w:val="00616C93"/>
    <w:rsid w:val="006178F2"/>
    <w:rsid w:val="00620935"/>
    <w:rsid w:val="00620E88"/>
    <w:rsid w:val="00621AB3"/>
    <w:rsid w:val="00622694"/>
    <w:rsid w:val="0062331A"/>
    <w:rsid w:val="00624EAF"/>
    <w:rsid w:val="00626243"/>
    <w:rsid w:val="006268E1"/>
    <w:rsid w:val="00626ACD"/>
    <w:rsid w:val="006333CD"/>
    <w:rsid w:val="00634BB1"/>
    <w:rsid w:val="00635812"/>
    <w:rsid w:val="006369B8"/>
    <w:rsid w:val="00637EC1"/>
    <w:rsid w:val="0064179F"/>
    <w:rsid w:val="00641A76"/>
    <w:rsid w:val="00642807"/>
    <w:rsid w:val="00647B57"/>
    <w:rsid w:val="00647D75"/>
    <w:rsid w:val="006503B5"/>
    <w:rsid w:val="0065138E"/>
    <w:rsid w:val="00651C94"/>
    <w:rsid w:val="00651D85"/>
    <w:rsid w:val="00655494"/>
    <w:rsid w:val="006560C4"/>
    <w:rsid w:val="006567C2"/>
    <w:rsid w:val="0066003C"/>
    <w:rsid w:val="006622F2"/>
    <w:rsid w:val="00662336"/>
    <w:rsid w:val="00663A9A"/>
    <w:rsid w:val="00663C94"/>
    <w:rsid w:val="006713C8"/>
    <w:rsid w:val="006726FC"/>
    <w:rsid w:val="00673673"/>
    <w:rsid w:val="00673EA3"/>
    <w:rsid w:val="0067433C"/>
    <w:rsid w:val="006750EC"/>
    <w:rsid w:val="006804F7"/>
    <w:rsid w:val="00683040"/>
    <w:rsid w:val="00685B39"/>
    <w:rsid w:val="006876B2"/>
    <w:rsid w:val="00687DBC"/>
    <w:rsid w:val="00687DF2"/>
    <w:rsid w:val="00687FCE"/>
    <w:rsid w:val="006911DF"/>
    <w:rsid w:val="0069560D"/>
    <w:rsid w:val="006960EC"/>
    <w:rsid w:val="00696645"/>
    <w:rsid w:val="006967A7"/>
    <w:rsid w:val="00696B89"/>
    <w:rsid w:val="00697CDE"/>
    <w:rsid w:val="006A028A"/>
    <w:rsid w:val="006A11A3"/>
    <w:rsid w:val="006A2F4A"/>
    <w:rsid w:val="006A5ADD"/>
    <w:rsid w:val="006A5FF7"/>
    <w:rsid w:val="006A6668"/>
    <w:rsid w:val="006A6D91"/>
    <w:rsid w:val="006A6E97"/>
    <w:rsid w:val="006B19BB"/>
    <w:rsid w:val="006B1E4F"/>
    <w:rsid w:val="006B2EC5"/>
    <w:rsid w:val="006B5167"/>
    <w:rsid w:val="006B7EF4"/>
    <w:rsid w:val="006C0630"/>
    <w:rsid w:val="006C08EB"/>
    <w:rsid w:val="006C2E8C"/>
    <w:rsid w:val="006C30F5"/>
    <w:rsid w:val="006C3D1F"/>
    <w:rsid w:val="006C3E76"/>
    <w:rsid w:val="006C45CF"/>
    <w:rsid w:val="006C5858"/>
    <w:rsid w:val="006C6436"/>
    <w:rsid w:val="006C6847"/>
    <w:rsid w:val="006D0B52"/>
    <w:rsid w:val="006D16B3"/>
    <w:rsid w:val="006D1F2F"/>
    <w:rsid w:val="006D304F"/>
    <w:rsid w:val="006D6AEF"/>
    <w:rsid w:val="006E00E2"/>
    <w:rsid w:val="006E0DBA"/>
    <w:rsid w:val="006E2551"/>
    <w:rsid w:val="006E37CA"/>
    <w:rsid w:val="006E3BF1"/>
    <w:rsid w:val="006E3F9F"/>
    <w:rsid w:val="006E44C6"/>
    <w:rsid w:val="006F0E95"/>
    <w:rsid w:val="006F1383"/>
    <w:rsid w:val="006F3391"/>
    <w:rsid w:val="006F5189"/>
    <w:rsid w:val="006F59E0"/>
    <w:rsid w:val="006F5F2D"/>
    <w:rsid w:val="006F67A0"/>
    <w:rsid w:val="006F7D88"/>
    <w:rsid w:val="006F7F2B"/>
    <w:rsid w:val="00701740"/>
    <w:rsid w:val="00702C87"/>
    <w:rsid w:val="00702CDC"/>
    <w:rsid w:val="007039E6"/>
    <w:rsid w:val="007053B4"/>
    <w:rsid w:val="007067E9"/>
    <w:rsid w:val="0070686B"/>
    <w:rsid w:val="0070694F"/>
    <w:rsid w:val="00706DA1"/>
    <w:rsid w:val="00706E4A"/>
    <w:rsid w:val="00707333"/>
    <w:rsid w:val="00707C17"/>
    <w:rsid w:val="00710FE3"/>
    <w:rsid w:val="0071424F"/>
    <w:rsid w:val="00714762"/>
    <w:rsid w:val="007148F5"/>
    <w:rsid w:val="00714D96"/>
    <w:rsid w:val="00715FE1"/>
    <w:rsid w:val="00717FFE"/>
    <w:rsid w:val="00720CAE"/>
    <w:rsid w:val="00723AA0"/>
    <w:rsid w:val="007256ED"/>
    <w:rsid w:val="007301C7"/>
    <w:rsid w:val="007319D9"/>
    <w:rsid w:val="00732956"/>
    <w:rsid w:val="007367E2"/>
    <w:rsid w:val="00736823"/>
    <w:rsid w:val="007400E1"/>
    <w:rsid w:val="00742A78"/>
    <w:rsid w:val="00743231"/>
    <w:rsid w:val="007447DD"/>
    <w:rsid w:val="007501B8"/>
    <w:rsid w:val="00750468"/>
    <w:rsid w:val="00753E28"/>
    <w:rsid w:val="007543DE"/>
    <w:rsid w:val="007554DE"/>
    <w:rsid w:val="00756A0C"/>
    <w:rsid w:val="00757127"/>
    <w:rsid w:val="00761509"/>
    <w:rsid w:val="00761A9B"/>
    <w:rsid w:val="00762414"/>
    <w:rsid w:val="007646BB"/>
    <w:rsid w:val="00767B55"/>
    <w:rsid w:val="0077006A"/>
    <w:rsid w:val="00770A95"/>
    <w:rsid w:val="0077322A"/>
    <w:rsid w:val="00773301"/>
    <w:rsid w:val="0077432F"/>
    <w:rsid w:val="007752FA"/>
    <w:rsid w:val="00775854"/>
    <w:rsid w:val="00777234"/>
    <w:rsid w:val="00780151"/>
    <w:rsid w:val="00782569"/>
    <w:rsid w:val="0078305C"/>
    <w:rsid w:val="007856A3"/>
    <w:rsid w:val="00785B93"/>
    <w:rsid w:val="00785D62"/>
    <w:rsid w:val="00790A6F"/>
    <w:rsid w:val="00792D77"/>
    <w:rsid w:val="00793936"/>
    <w:rsid w:val="00793968"/>
    <w:rsid w:val="007940DE"/>
    <w:rsid w:val="00794C7C"/>
    <w:rsid w:val="007967DF"/>
    <w:rsid w:val="007A1403"/>
    <w:rsid w:val="007A27F8"/>
    <w:rsid w:val="007A2991"/>
    <w:rsid w:val="007A3D96"/>
    <w:rsid w:val="007A4326"/>
    <w:rsid w:val="007A4B36"/>
    <w:rsid w:val="007A5DDD"/>
    <w:rsid w:val="007A5ED8"/>
    <w:rsid w:val="007A698D"/>
    <w:rsid w:val="007B1B3B"/>
    <w:rsid w:val="007B1CF8"/>
    <w:rsid w:val="007B4A64"/>
    <w:rsid w:val="007C2E65"/>
    <w:rsid w:val="007C31E8"/>
    <w:rsid w:val="007C399D"/>
    <w:rsid w:val="007C4747"/>
    <w:rsid w:val="007C760E"/>
    <w:rsid w:val="007D00A7"/>
    <w:rsid w:val="007D096D"/>
    <w:rsid w:val="007D4DAF"/>
    <w:rsid w:val="007D5B72"/>
    <w:rsid w:val="007E2191"/>
    <w:rsid w:val="007E2D5B"/>
    <w:rsid w:val="007E5BCD"/>
    <w:rsid w:val="007F069B"/>
    <w:rsid w:val="007F1861"/>
    <w:rsid w:val="007F1F46"/>
    <w:rsid w:val="007F3ECB"/>
    <w:rsid w:val="007F45F0"/>
    <w:rsid w:val="007F55E2"/>
    <w:rsid w:val="007F73A9"/>
    <w:rsid w:val="008017FD"/>
    <w:rsid w:val="00802C15"/>
    <w:rsid w:val="008053DE"/>
    <w:rsid w:val="0080621B"/>
    <w:rsid w:val="008073DC"/>
    <w:rsid w:val="00812893"/>
    <w:rsid w:val="00812D48"/>
    <w:rsid w:val="00813F79"/>
    <w:rsid w:val="008142CD"/>
    <w:rsid w:val="008160E6"/>
    <w:rsid w:val="00816103"/>
    <w:rsid w:val="00820C47"/>
    <w:rsid w:val="00824297"/>
    <w:rsid w:val="00825F9D"/>
    <w:rsid w:val="00827081"/>
    <w:rsid w:val="00830492"/>
    <w:rsid w:val="00837CD9"/>
    <w:rsid w:val="00837DAD"/>
    <w:rsid w:val="00840267"/>
    <w:rsid w:val="008417F8"/>
    <w:rsid w:val="008419AE"/>
    <w:rsid w:val="00842AB0"/>
    <w:rsid w:val="008431A6"/>
    <w:rsid w:val="0084550E"/>
    <w:rsid w:val="00846118"/>
    <w:rsid w:val="00852137"/>
    <w:rsid w:val="00855F2C"/>
    <w:rsid w:val="00856F59"/>
    <w:rsid w:val="008602C3"/>
    <w:rsid w:val="00860717"/>
    <w:rsid w:val="00860BED"/>
    <w:rsid w:val="008613FC"/>
    <w:rsid w:val="00861858"/>
    <w:rsid w:val="00861CF7"/>
    <w:rsid w:val="00863680"/>
    <w:rsid w:val="008641E0"/>
    <w:rsid w:val="008664A2"/>
    <w:rsid w:val="0086699F"/>
    <w:rsid w:val="008700F1"/>
    <w:rsid w:val="00870D42"/>
    <w:rsid w:val="00871CDE"/>
    <w:rsid w:val="00873325"/>
    <w:rsid w:val="00874403"/>
    <w:rsid w:val="008744DF"/>
    <w:rsid w:val="00880A98"/>
    <w:rsid w:val="00880C70"/>
    <w:rsid w:val="0088125E"/>
    <w:rsid w:val="008821FC"/>
    <w:rsid w:val="008825BD"/>
    <w:rsid w:val="00885924"/>
    <w:rsid w:val="00887C1E"/>
    <w:rsid w:val="00890548"/>
    <w:rsid w:val="00895F93"/>
    <w:rsid w:val="00896DD1"/>
    <w:rsid w:val="0089774F"/>
    <w:rsid w:val="00897D71"/>
    <w:rsid w:val="008A207C"/>
    <w:rsid w:val="008A286C"/>
    <w:rsid w:val="008A287B"/>
    <w:rsid w:val="008A4303"/>
    <w:rsid w:val="008A4A8B"/>
    <w:rsid w:val="008A4C88"/>
    <w:rsid w:val="008A516F"/>
    <w:rsid w:val="008A5E78"/>
    <w:rsid w:val="008A6370"/>
    <w:rsid w:val="008B1888"/>
    <w:rsid w:val="008B3023"/>
    <w:rsid w:val="008B315D"/>
    <w:rsid w:val="008B3CDE"/>
    <w:rsid w:val="008B470C"/>
    <w:rsid w:val="008C0677"/>
    <w:rsid w:val="008C3983"/>
    <w:rsid w:val="008C43E5"/>
    <w:rsid w:val="008C6408"/>
    <w:rsid w:val="008C7D8C"/>
    <w:rsid w:val="008D0290"/>
    <w:rsid w:val="008D2E97"/>
    <w:rsid w:val="008D3E93"/>
    <w:rsid w:val="008D7CD3"/>
    <w:rsid w:val="008E0D69"/>
    <w:rsid w:val="008E108C"/>
    <w:rsid w:val="008E38E6"/>
    <w:rsid w:val="008E3E20"/>
    <w:rsid w:val="008E4D00"/>
    <w:rsid w:val="008E51E6"/>
    <w:rsid w:val="008E5795"/>
    <w:rsid w:val="008E5E86"/>
    <w:rsid w:val="008E6ECB"/>
    <w:rsid w:val="008F0BA7"/>
    <w:rsid w:val="008F112C"/>
    <w:rsid w:val="008F2702"/>
    <w:rsid w:val="008F323D"/>
    <w:rsid w:val="008F398D"/>
    <w:rsid w:val="008F5DC2"/>
    <w:rsid w:val="008F5F12"/>
    <w:rsid w:val="008F6FD6"/>
    <w:rsid w:val="008F7DC3"/>
    <w:rsid w:val="009004B1"/>
    <w:rsid w:val="00901486"/>
    <w:rsid w:val="00902B6F"/>
    <w:rsid w:val="009032F7"/>
    <w:rsid w:val="0090341A"/>
    <w:rsid w:val="00905DCD"/>
    <w:rsid w:val="00907B06"/>
    <w:rsid w:val="0091125B"/>
    <w:rsid w:val="00912DE3"/>
    <w:rsid w:val="0091466F"/>
    <w:rsid w:val="00914CA7"/>
    <w:rsid w:val="00914F05"/>
    <w:rsid w:val="00916D45"/>
    <w:rsid w:val="00917049"/>
    <w:rsid w:val="009235EA"/>
    <w:rsid w:val="00923867"/>
    <w:rsid w:val="009249D1"/>
    <w:rsid w:val="009251BB"/>
    <w:rsid w:val="00927685"/>
    <w:rsid w:val="00930583"/>
    <w:rsid w:val="00934299"/>
    <w:rsid w:val="009348DB"/>
    <w:rsid w:val="0093515B"/>
    <w:rsid w:val="009356D3"/>
    <w:rsid w:val="00937253"/>
    <w:rsid w:val="0094525C"/>
    <w:rsid w:val="00946CFD"/>
    <w:rsid w:val="00950027"/>
    <w:rsid w:val="00956138"/>
    <w:rsid w:val="0095724B"/>
    <w:rsid w:val="00957FB3"/>
    <w:rsid w:val="0096080E"/>
    <w:rsid w:val="0096163B"/>
    <w:rsid w:val="00963342"/>
    <w:rsid w:val="00963686"/>
    <w:rsid w:val="00963C34"/>
    <w:rsid w:val="0096419B"/>
    <w:rsid w:val="0096438C"/>
    <w:rsid w:val="00965370"/>
    <w:rsid w:val="009653F8"/>
    <w:rsid w:val="00967C26"/>
    <w:rsid w:val="009704EE"/>
    <w:rsid w:val="009723CF"/>
    <w:rsid w:val="00973F68"/>
    <w:rsid w:val="00976659"/>
    <w:rsid w:val="00977268"/>
    <w:rsid w:val="00981F81"/>
    <w:rsid w:val="00983A23"/>
    <w:rsid w:val="0098532A"/>
    <w:rsid w:val="00993205"/>
    <w:rsid w:val="00996825"/>
    <w:rsid w:val="00996C72"/>
    <w:rsid w:val="009A1F96"/>
    <w:rsid w:val="009A265F"/>
    <w:rsid w:val="009B2015"/>
    <w:rsid w:val="009B2766"/>
    <w:rsid w:val="009B2AC2"/>
    <w:rsid w:val="009B4D69"/>
    <w:rsid w:val="009B5562"/>
    <w:rsid w:val="009B6178"/>
    <w:rsid w:val="009C08AC"/>
    <w:rsid w:val="009C29A2"/>
    <w:rsid w:val="009C450F"/>
    <w:rsid w:val="009C5CCE"/>
    <w:rsid w:val="009C7290"/>
    <w:rsid w:val="009C758E"/>
    <w:rsid w:val="009D0A6C"/>
    <w:rsid w:val="009D1634"/>
    <w:rsid w:val="009D2D63"/>
    <w:rsid w:val="009D3F33"/>
    <w:rsid w:val="009D41CF"/>
    <w:rsid w:val="009D4BC7"/>
    <w:rsid w:val="009D6FFF"/>
    <w:rsid w:val="009D71F9"/>
    <w:rsid w:val="009D7FF3"/>
    <w:rsid w:val="009E03A4"/>
    <w:rsid w:val="009E29F3"/>
    <w:rsid w:val="009E4025"/>
    <w:rsid w:val="009E5526"/>
    <w:rsid w:val="009F0180"/>
    <w:rsid w:val="009F04D8"/>
    <w:rsid w:val="009F0764"/>
    <w:rsid w:val="009F090D"/>
    <w:rsid w:val="009F3C21"/>
    <w:rsid w:val="009F55E8"/>
    <w:rsid w:val="009F6A16"/>
    <w:rsid w:val="00A014B4"/>
    <w:rsid w:val="00A04646"/>
    <w:rsid w:val="00A06311"/>
    <w:rsid w:val="00A0698C"/>
    <w:rsid w:val="00A0715B"/>
    <w:rsid w:val="00A107F1"/>
    <w:rsid w:val="00A1114B"/>
    <w:rsid w:val="00A129F2"/>
    <w:rsid w:val="00A12EB7"/>
    <w:rsid w:val="00A141FF"/>
    <w:rsid w:val="00A14419"/>
    <w:rsid w:val="00A16758"/>
    <w:rsid w:val="00A17AEF"/>
    <w:rsid w:val="00A20F18"/>
    <w:rsid w:val="00A2140B"/>
    <w:rsid w:val="00A22089"/>
    <w:rsid w:val="00A222A3"/>
    <w:rsid w:val="00A23006"/>
    <w:rsid w:val="00A24795"/>
    <w:rsid w:val="00A259CA"/>
    <w:rsid w:val="00A25B9D"/>
    <w:rsid w:val="00A269DF"/>
    <w:rsid w:val="00A277D2"/>
    <w:rsid w:val="00A31536"/>
    <w:rsid w:val="00A31E90"/>
    <w:rsid w:val="00A33B48"/>
    <w:rsid w:val="00A342AA"/>
    <w:rsid w:val="00A34632"/>
    <w:rsid w:val="00A37FBB"/>
    <w:rsid w:val="00A40667"/>
    <w:rsid w:val="00A40B1E"/>
    <w:rsid w:val="00A41191"/>
    <w:rsid w:val="00A41216"/>
    <w:rsid w:val="00A42C11"/>
    <w:rsid w:val="00A43157"/>
    <w:rsid w:val="00A43777"/>
    <w:rsid w:val="00A44A42"/>
    <w:rsid w:val="00A44B95"/>
    <w:rsid w:val="00A45027"/>
    <w:rsid w:val="00A46FE9"/>
    <w:rsid w:val="00A47CF9"/>
    <w:rsid w:val="00A47CFD"/>
    <w:rsid w:val="00A47F16"/>
    <w:rsid w:val="00A5291A"/>
    <w:rsid w:val="00A52B4F"/>
    <w:rsid w:val="00A53B6A"/>
    <w:rsid w:val="00A542B8"/>
    <w:rsid w:val="00A545BE"/>
    <w:rsid w:val="00A54F1F"/>
    <w:rsid w:val="00A6191F"/>
    <w:rsid w:val="00A62246"/>
    <w:rsid w:val="00A63469"/>
    <w:rsid w:val="00A65394"/>
    <w:rsid w:val="00A6688C"/>
    <w:rsid w:val="00A66BAF"/>
    <w:rsid w:val="00A66D21"/>
    <w:rsid w:val="00A67BDC"/>
    <w:rsid w:val="00A67DBE"/>
    <w:rsid w:val="00A70989"/>
    <w:rsid w:val="00A723CF"/>
    <w:rsid w:val="00A749F7"/>
    <w:rsid w:val="00A76C06"/>
    <w:rsid w:val="00A800FC"/>
    <w:rsid w:val="00A805E1"/>
    <w:rsid w:val="00A81EB9"/>
    <w:rsid w:val="00A8239B"/>
    <w:rsid w:val="00A84105"/>
    <w:rsid w:val="00A853B4"/>
    <w:rsid w:val="00A868D5"/>
    <w:rsid w:val="00A90877"/>
    <w:rsid w:val="00A91874"/>
    <w:rsid w:val="00A928DA"/>
    <w:rsid w:val="00A952E2"/>
    <w:rsid w:val="00A9665F"/>
    <w:rsid w:val="00A979E4"/>
    <w:rsid w:val="00AA55F4"/>
    <w:rsid w:val="00AA7FD4"/>
    <w:rsid w:val="00AB0887"/>
    <w:rsid w:val="00AB09A2"/>
    <w:rsid w:val="00AB1095"/>
    <w:rsid w:val="00AB1D1E"/>
    <w:rsid w:val="00AB208B"/>
    <w:rsid w:val="00AB21A5"/>
    <w:rsid w:val="00AB2E7B"/>
    <w:rsid w:val="00AB4367"/>
    <w:rsid w:val="00AB4B67"/>
    <w:rsid w:val="00AB6B25"/>
    <w:rsid w:val="00AB7019"/>
    <w:rsid w:val="00AB7C60"/>
    <w:rsid w:val="00AC0BDA"/>
    <w:rsid w:val="00AC15DC"/>
    <w:rsid w:val="00AC1C36"/>
    <w:rsid w:val="00AC1CF2"/>
    <w:rsid w:val="00AC30BB"/>
    <w:rsid w:val="00AC3376"/>
    <w:rsid w:val="00AC33BF"/>
    <w:rsid w:val="00AC47E5"/>
    <w:rsid w:val="00AC49B9"/>
    <w:rsid w:val="00AC6281"/>
    <w:rsid w:val="00AD1605"/>
    <w:rsid w:val="00AD230A"/>
    <w:rsid w:val="00AD4209"/>
    <w:rsid w:val="00AD48EC"/>
    <w:rsid w:val="00AD6E70"/>
    <w:rsid w:val="00AE24CE"/>
    <w:rsid w:val="00AE3E22"/>
    <w:rsid w:val="00AE59FB"/>
    <w:rsid w:val="00AE601E"/>
    <w:rsid w:val="00AE6D57"/>
    <w:rsid w:val="00AE7CA2"/>
    <w:rsid w:val="00AF209D"/>
    <w:rsid w:val="00AF2EEC"/>
    <w:rsid w:val="00AF3D29"/>
    <w:rsid w:val="00AF4D57"/>
    <w:rsid w:val="00AF6F23"/>
    <w:rsid w:val="00B00B33"/>
    <w:rsid w:val="00B029A2"/>
    <w:rsid w:val="00B042BC"/>
    <w:rsid w:val="00B0558B"/>
    <w:rsid w:val="00B05DA9"/>
    <w:rsid w:val="00B0652B"/>
    <w:rsid w:val="00B07AE7"/>
    <w:rsid w:val="00B12E79"/>
    <w:rsid w:val="00B1323D"/>
    <w:rsid w:val="00B15685"/>
    <w:rsid w:val="00B16C99"/>
    <w:rsid w:val="00B1739B"/>
    <w:rsid w:val="00B21800"/>
    <w:rsid w:val="00B226EF"/>
    <w:rsid w:val="00B24A49"/>
    <w:rsid w:val="00B24E0F"/>
    <w:rsid w:val="00B254AD"/>
    <w:rsid w:val="00B26B6C"/>
    <w:rsid w:val="00B320C8"/>
    <w:rsid w:val="00B32526"/>
    <w:rsid w:val="00B34BEB"/>
    <w:rsid w:val="00B35748"/>
    <w:rsid w:val="00B35BDF"/>
    <w:rsid w:val="00B40F8A"/>
    <w:rsid w:val="00B41630"/>
    <w:rsid w:val="00B41B2F"/>
    <w:rsid w:val="00B420AE"/>
    <w:rsid w:val="00B42221"/>
    <w:rsid w:val="00B4394B"/>
    <w:rsid w:val="00B440A8"/>
    <w:rsid w:val="00B4511B"/>
    <w:rsid w:val="00B50A2E"/>
    <w:rsid w:val="00B516C7"/>
    <w:rsid w:val="00B51863"/>
    <w:rsid w:val="00B51F4C"/>
    <w:rsid w:val="00B54286"/>
    <w:rsid w:val="00B54AAE"/>
    <w:rsid w:val="00B54E75"/>
    <w:rsid w:val="00B5545E"/>
    <w:rsid w:val="00B558A2"/>
    <w:rsid w:val="00B56227"/>
    <w:rsid w:val="00B57739"/>
    <w:rsid w:val="00B57764"/>
    <w:rsid w:val="00B57C7A"/>
    <w:rsid w:val="00B602B7"/>
    <w:rsid w:val="00B622BA"/>
    <w:rsid w:val="00B63809"/>
    <w:rsid w:val="00B63A4F"/>
    <w:rsid w:val="00B654DF"/>
    <w:rsid w:val="00B70B56"/>
    <w:rsid w:val="00B70FB7"/>
    <w:rsid w:val="00B719F3"/>
    <w:rsid w:val="00B73A05"/>
    <w:rsid w:val="00B75A8C"/>
    <w:rsid w:val="00B7634C"/>
    <w:rsid w:val="00B80D2A"/>
    <w:rsid w:val="00B82595"/>
    <w:rsid w:val="00B825F7"/>
    <w:rsid w:val="00B82E0F"/>
    <w:rsid w:val="00B83547"/>
    <w:rsid w:val="00B842F1"/>
    <w:rsid w:val="00B846DD"/>
    <w:rsid w:val="00B87D7B"/>
    <w:rsid w:val="00B90161"/>
    <w:rsid w:val="00B90B50"/>
    <w:rsid w:val="00B91B4E"/>
    <w:rsid w:val="00B922A9"/>
    <w:rsid w:val="00B932D5"/>
    <w:rsid w:val="00B968B7"/>
    <w:rsid w:val="00B972CE"/>
    <w:rsid w:val="00B97AE2"/>
    <w:rsid w:val="00BA0910"/>
    <w:rsid w:val="00BA12F0"/>
    <w:rsid w:val="00BA2E43"/>
    <w:rsid w:val="00BA312E"/>
    <w:rsid w:val="00BA4715"/>
    <w:rsid w:val="00BA4B45"/>
    <w:rsid w:val="00BB004B"/>
    <w:rsid w:val="00BB0C8C"/>
    <w:rsid w:val="00BB4181"/>
    <w:rsid w:val="00BB4FF5"/>
    <w:rsid w:val="00BB5B55"/>
    <w:rsid w:val="00BB63CF"/>
    <w:rsid w:val="00BC14E7"/>
    <w:rsid w:val="00BC2067"/>
    <w:rsid w:val="00BC4935"/>
    <w:rsid w:val="00BC507D"/>
    <w:rsid w:val="00BD07C2"/>
    <w:rsid w:val="00BD0AA9"/>
    <w:rsid w:val="00BD0F0E"/>
    <w:rsid w:val="00BD2BEC"/>
    <w:rsid w:val="00BD2FEC"/>
    <w:rsid w:val="00BD5331"/>
    <w:rsid w:val="00BD5777"/>
    <w:rsid w:val="00BD63DF"/>
    <w:rsid w:val="00BD6777"/>
    <w:rsid w:val="00BD7587"/>
    <w:rsid w:val="00BE0204"/>
    <w:rsid w:val="00BE10C3"/>
    <w:rsid w:val="00BE1CD2"/>
    <w:rsid w:val="00BE31FB"/>
    <w:rsid w:val="00BE63EA"/>
    <w:rsid w:val="00BE74AA"/>
    <w:rsid w:val="00BF1F5E"/>
    <w:rsid w:val="00BF25DB"/>
    <w:rsid w:val="00BF4202"/>
    <w:rsid w:val="00BF4781"/>
    <w:rsid w:val="00BF58C9"/>
    <w:rsid w:val="00C034DC"/>
    <w:rsid w:val="00C04048"/>
    <w:rsid w:val="00C04913"/>
    <w:rsid w:val="00C0511C"/>
    <w:rsid w:val="00C05E0D"/>
    <w:rsid w:val="00C07F25"/>
    <w:rsid w:val="00C10376"/>
    <w:rsid w:val="00C10839"/>
    <w:rsid w:val="00C11589"/>
    <w:rsid w:val="00C13000"/>
    <w:rsid w:val="00C15AE2"/>
    <w:rsid w:val="00C16873"/>
    <w:rsid w:val="00C17F4D"/>
    <w:rsid w:val="00C20133"/>
    <w:rsid w:val="00C21182"/>
    <w:rsid w:val="00C2131A"/>
    <w:rsid w:val="00C227EE"/>
    <w:rsid w:val="00C24157"/>
    <w:rsid w:val="00C25B0D"/>
    <w:rsid w:val="00C25FB1"/>
    <w:rsid w:val="00C26072"/>
    <w:rsid w:val="00C27493"/>
    <w:rsid w:val="00C30BE7"/>
    <w:rsid w:val="00C32089"/>
    <w:rsid w:val="00C32C20"/>
    <w:rsid w:val="00C35843"/>
    <w:rsid w:val="00C41035"/>
    <w:rsid w:val="00C4613B"/>
    <w:rsid w:val="00C469DC"/>
    <w:rsid w:val="00C46E7E"/>
    <w:rsid w:val="00C46FE8"/>
    <w:rsid w:val="00C5177D"/>
    <w:rsid w:val="00C52BB4"/>
    <w:rsid w:val="00C5339A"/>
    <w:rsid w:val="00C53E79"/>
    <w:rsid w:val="00C53FBF"/>
    <w:rsid w:val="00C5573B"/>
    <w:rsid w:val="00C60768"/>
    <w:rsid w:val="00C63447"/>
    <w:rsid w:val="00C63BD4"/>
    <w:rsid w:val="00C646FE"/>
    <w:rsid w:val="00C65423"/>
    <w:rsid w:val="00C65A32"/>
    <w:rsid w:val="00C65FD9"/>
    <w:rsid w:val="00C73D19"/>
    <w:rsid w:val="00C74369"/>
    <w:rsid w:val="00C75794"/>
    <w:rsid w:val="00C75A70"/>
    <w:rsid w:val="00C769A0"/>
    <w:rsid w:val="00C800D6"/>
    <w:rsid w:val="00C84178"/>
    <w:rsid w:val="00C84CC0"/>
    <w:rsid w:val="00C86BDC"/>
    <w:rsid w:val="00C9064C"/>
    <w:rsid w:val="00C91FAE"/>
    <w:rsid w:val="00C94E1F"/>
    <w:rsid w:val="00C9713A"/>
    <w:rsid w:val="00C97271"/>
    <w:rsid w:val="00C979CF"/>
    <w:rsid w:val="00CA1CCF"/>
    <w:rsid w:val="00CA25DA"/>
    <w:rsid w:val="00CA42FE"/>
    <w:rsid w:val="00CA53C5"/>
    <w:rsid w:val="00CA5D4B"/>
    <w:rsid w:val="00CA5FF9"/>
    <w:rsid w:val="00CA608B"/>
    <w:rsid w:val="00CA6578"/>
    <w:rsid w:val="00CB0202"/>
    <w:rsid w:val="00CB16EF"/>
    <w:rsid w:val="00CB19FB"/>
    <w:rsid w:val="00CB1F82"/>
    <w:rsid w:val="00CB2843"/>
    <w:rsid w:val="00CB3B53"/>
    <w:rsid w:val="00CB44CF"/>
    <w:rsid w:val="00CB768D"/>
    <w:rsid w:val="00CC014B"/>
    <w:rsid w:val="00CC262C"/>
    <w:rsid w:val="00CC2F53"/>
    <w:rsid w:val="00CC4EBF"/>
    <w:rsid w:val="00CC7015"/>
    <w:rsid w:val="00CC7033"/>
    <w:rsid w:val="00CC7339"/>
    <w:rsid w:val="00CC7906"/>
    <w:rsid w:val="00CD1646"/>
    <w:rsid w:val="00CD27B8"/>
    <w:rsid w:val="00CD2EEB"/>
    <w:rsid w:val="00CD3AD0"/>
    <w:rsid w:val="00CD418F"/>
    <w:rsid w:val="00CD667F"/>
    <w:rsid w:val="00CD72FB"/>
    <w:rsid w:val="00CE16AD"/>
    <w:rsid w:val="00CE190C"/>
    <w:rsid w:val="00CE1F4C"/>
    <w:rsid w:val="00CE2895"/>
    <w:rsid w:val="00CE2E71"/>
    <w:rsid w:val="00CE586A"/>
    <w:rsid w:val="00CE667E"/>
    <w:rsid w:val="00CE77FA"/>
    <w:rsid w:val="00CE79E0"/>
    <w:rsid w:val="00CE7D59"/>
    <w:rsid w:val="00CE7D7F"/>
    <w:rsid w:val="00CF1AFC"/>
    <w:rsid w:val="00CF301A"/>
    <w:rsid w:val="00CF3119"/>
    <w:rsid w:val="00CF4E2D"/>
    <w:rsid w:val="00D02D72"/>
    <w:rsid w:val="00D035D9"/>
    <w:rsid w:val="00D04075"/>
    <w:rsid w:val="00D0616E"/>
    <w:rsid w:val="00D070F3"/>
    <w:rsid w:val="00D105BE"/>
    <w:rsid w:val="00D1095B"/>
    <w:rsid w:val="00D10FB3"/>
    <w:rsid w:val="00D1103A"/>
    <w:rsid w:val="00D1121C"/>
    <w:rsid w:val="00D1182A"/>
    <w:rsid w:val="00D12026"/>
    <w:rsid w:val="00D1316C"/>
    <w:rsid w:val="00D1669E"/>
    <w:rsid w:val="00D16A14"/>
    <w:rsid w:val="00D179CF"/>
    <w:rsid w:val="00D17BC5"/>
    <w:rsid w:val="00D203C0"/>
    <w:rsid w:val="00D205BF"/>
    <w:rsid w:val="00D21F39"/>
    <w:rsid w:val="00D226E2"/>
    <w:rsid w:val="00D2455E"/>
    <w:rsid w:val="00D24F5F"/>
    <w:rsid w:val="00D26E97"/>
    <w:rsid w:val="00D26FD2"/>
    <w:rsid w:val="00D3012B"/>
    <w:rsid w:val="00D3160B"/>
    <w:rsid w:val="00D31CC6"/>
    <w:rsid w:val="00D31D91"/>
    <w:rsid w:val="00D31ED6"/>
    <w:rsid w:val="00D31F40"/>
    <w:rsid w:val="00D3293D"/>
    <w:rsid w:val="00D33D41"/>
    <w:rsid w:val="00D35664"/>
    <w:rsid w:val="00D35B18"/>
    <w:rsid w:val="00D365C8"/>
    <w:rsid w:val="00D36A85"/>
    <w:rsid w:val="00D3721D"/>
    <w:rsid w:val="00D42B29"/>
    <w:rsid w:val="00D52EBF"/>
    <w:rsid w:val="00D53479"/>
    <w:rsid w:val="00D542E0"/>
    <w:rsid w:val="00D54383"/>
    <w:rsid w:val="00D54E9E"/>
    <w:rsid w:val="00D551AE"/>
    <w:rsid w:val="00D5754B"/>
    <w:rsid w:val="00D57E65"/>
    <w:rsid w:val="00D60809"/>
    <w:rsid w:val="00D60A81"/>
    <w:rsid w:val="00D60CB4"/>
    <w:rsid w:val="00D61459"/>
    <w:rsid w:val="00D615C4"/>
    <w:rsid w:val="00D62AF4"/>
    <w:rsid w:val="00D62B15"/>
    <w:rsid w:val="00D62FC6"/>
    <w:rsid w:val="00D6498C"/>
    <w:rsid w:val="00D70565"/>
    <w:rsid w:val="00D70ED9"/>
    <w:rsid w:val="00D73D5F"/>
    <w:rsid w:val="00D74508"/>
    <w:rsid w:val="00D75D82"/>
    <w:rsid w:val="00D7652C"/>
    <w:rsid w:val="00D76BE8"/>
    <w:rsid w:val="00D80995"/>
    <w:rsid w:val="00D81198"/>
    <w:rsid w:val="00D8392C"/>
    <w:rsid w:val="00D83A6D"/>
    <w:rsid w:val="00D84D61"/>
    <w:rsid w:val="00D84DDB"/>
    <w:rsid w:val="00D85581"/>
    <w:rsid w:val="00D85D3A"/>
    <w:rsid w:val="00D85F5F"/>
    <w:rsid w:val="00D8616E"/>
    <w:rsid w:val="00D9038F"/>
    <w:rsid w:val="00D928DD"/>
    <w:rsid w:val="00D92AD8"/>
    <w:rsid w:val="00D9469D"/>
    <w:rsid w:val="00D95C1D"/>
    <w:rsid w:val="00D9755B"/>
    <w:rsid w:val="00D97C87"/>
    <w:rsid w:val="00DA068D"/>
    <w:rsid w:val="00DA2735"/>
    <w:rsid w:val="00DA308C"/>
    <w:rsid w:val="00DA59FC"/>
    <w:rsid w:val="00DA62C2"/>
    <w:rsid w:val="00DA6A6E"/>
    <w:rsid w:val="00DA7255"/>
    <w:rsid w:val="00DB049E"/>
    <w:rsid w:val="00DB126D"/>
    <w:rsid w:val="00DB315D"/>
    <w:rsid w:val="00DB3D49"/>
    <w:rsid w:val="00DB4324"/>
    <w:rsid w:val="00DB546C"/>
    <w:rsid w:val="00DB5639"/>
    <w:rsid w:val="00DB56FD"/>
    <w:rsid w:val="00DB6948"/>
    <w:rsid w:val="00DB790B"/>
    <w:rsid w:val="00DB7DD4"/>
    <w:rsid w:val="00DC05CC"/>
    <w:rsid w:val="00DC0E9B"/>
    <w:rsid w:val="00DC118A"/>
    <w:rsid w:val="00DC268D"/>
    <w:rsid w:val="00DC2A2C"/>
    <w:rsid w:val="00DC30CF"/>
    <w:rsid w:val="00DC5C44"/>
    <w:rsid w:val="00DC5FF5"/>
    <w:rsid w:val="00DC63D3"/>
    <w:rsid w:val="00DD0236"/>
    <w:rsid w:val="00DD0D32"/>
    <w:rsid w:val="00DD2217"/>
    <w:rsid w:val="00DD4A1A"/>
    <w:rsid w:val="00DD5EE2"/>
    <w:rsid w:val="00DD60D8"/>
    <w:rsid w:val="00DD6157"/>
    <w:rsid w:val="00DD6CAD"/>
    <w:rsid w:val="00DD7FE0"/>
    <w:rsid w:val="00DE0384"/>
    <w:rsid w:val="00DE0714"/>
    <w:rsid w:val="00DE2025"/>
    <w:rsid w:val="00DE2482"/>
    <w:rsid w:val="00DE3280"/>
    <w:rsid w:val="00DE3DAA"/>
    <w:rsid w:val="00DE4708"/>
    <w:rsid w:val="00DE52EC"/>
    <w:rsid w:val="00DE5BD3"/>
    <w:rsid w:val="00DE628A"/>
    <w:rsid w:val="00DE65BE"/>
    <w:rsid w:val="00DE7E17"/>
    <w:rsid w:val="00DE7E43"/>
    <w:rsid w:val="00DF1F59"/>
    <w:rsid w:val="00DF3324"/>
    <w:rsid w:val="00DF3358"/>
    <w:rsid w:val="00DF33A1"/>
    <w:rsid w:val="00DF33AD"/>
    <w:rsid w:val="00DF544B"/>
    <w:rsid w:val="00DF6A01"/>
    <w:rsid w:val="00E01191"/>
    <w:rsid w:val="00E01725"/>
    <w:rsid w:val="00E070E1"/>
    <w:rsid w:val="00E0789D"/>
    <w:rsid w:val="00E10162"/>
    <w:rsid w:val="00E10A1A"/>
    <w:rsid w:val="00E11FCC"/>
    <w:rsid w:val="00E124C3"/>
    <w:rsid w:val="00E1441F"/>
    <w:rsid w:val="00E14B70"/>
    <w:rsid w:val="00E152E6"/>
    <w:rsid w:val="00E16AE4"/>
    <w:rsid w:val="00E16EA7"/>
    <w:rsid w:val="00E174C8"/>
    <w:rsid w:val="00E179A1"/>
    <w:rsid w:val="00E21C2B"/>
    <w:rsid w:val="00E226E5"/>
    <w:rsid w:val="00E23773"/>
    <w:rsid w:val="00E2452B"/>
    <w:rsid w:val="00E32333"/>
    <w:rsid w:val="00E323D4"/>
    <w:rsid w:val="00E3369E"/>
    <w:rsid w:val="00E336A1"/>
    <w:rsid w:val="00E338FB"/>
    <w:rsid w:val="00E33F7E"/>
    <w:rsid w:val="00E34B76"/>
    <w:rsid w:val="00E35D04"/>
    <w:rsid w:val="00E35F5E"/>
    <w:rsid w:val="00E3684B"/>
    <w:rsid w:val="00E3754C"/>
    <w:rsid w:val="00E37580"/>
    <w:rsid w:val="00E37617"/>
    <w:rsid w:val="00E37B24"/>
    <w:rsid w:val="00E40F4C"/>
    <w:rsid w:val="00E44AE1"/>
    <w:rsid w:val="00E44C8F"/>
    <w:rsid w:val="00E466DF"/>
    <w:rsid w:val="00E46A53"/>
    <w:rsid w:val="00E47B59"/>
    <w:rsid w:val="00E50F0C"/>
    <w:rsid w:val="00E520E0"/>
    <w:rsid w:val="00E526ED"/>
    <w:rsid w:val="00E541A6"/>
    <w:rsid w:val="00E54467"/>
    <w:rsid w:val="00E55102"/>
    <w:rsid w:val="00E57240"/>
    <w:rsid w:val="00E62235"/>
    <w:rsid w:val="00E62715"/>
    <w:rsid w:val="00E62FE1"/>
    <w:rsid w:val="00E64F11"/>
    <w:rsid w:val="00E667A2"/>
    <w:rsid w:val="00E67E17"/>
    <w:rsid w:val="00E715A8"/>
    <w:rsid w:val="00E72DC5"/>
    <w:rsid w:val="00E731FC"/>
    <w:rsid w:val="00E73337"/>
    <w:rsid w:val="00E73A39"/>
    <w:rsid w:val="00E73FEE"/>
    <w:rsid w:val="00E76D0B"/>
    <w:rsid w:val="00E76FAD"/>
    <w:rsid w:val="00E771A2"/>
    <w:rsid w:val="00E82B15"/>
    <w:rsid w:val="00E831DE"/>
    <w:rsid w:val="00E841DA"/>
    <w:rsid w:val="00E8604A"/>
    <w:rsid w:val="00E86658"/>
    <w:rsid w:val="00E866B9"/>
    <w:rsid w:val="00E94012"/>
    <w:rsid w:val="00E949E2"/>
    <w:rsid w:val="00E94C70"/>
    <w:rsid w:val="00EA21E2"/>
    <w:rsid w:val="00EA440F"/>
    <w:rsid w:val="00EA7DA1"/>
    <w:rsid w:val="00EB1E28"/>
    <w:rsid w:val="00EB298F"/>
    <w:rsid w:val="00EB4C3E"/>
    <w:rsid w:val="00EB5665"/>
    <w:rsid w:val="00EC11BA"/>
    <w:rsid w:val="00EC2800"/>
    <w:rsid w:val="00EC47F8"/>
    <w:rsid w:val="00ED1E19"/>
    <w:rsid w:val="00ED4C96"/>
    <w:rsid w:val="00ED6174"/>
    <w:rsid w:val="00ED7107"/>
    <w:rsid w:val="00ED71F0"/>
    <w:rsid w:val="00EE267B"/>
    <w:rsid w:val="00EE29BE"/>
    <w:rsid w:val="00EE3A38"/>
    <w:rsid w:val="00EE6C86"/>
    <w:rsid w:val="00EE7F6C"/>
    <w:rsid w:val="00EF0339"/>
    <w:rsid w:val="00EF120F"/>
    <w:rsid w:val="00EF1D61"/>
    <w:rsid w:val="00EF307F"/>
    <w:rsid w:val="00EF59DA"/>
    <w:rsid w:val="00EF78B3"/>
    <w:rsid w:val="00F00379"/>
    <w:rsid w:val="00F03A40"/>
    <w:rsid w:val="00F0419A"/>
    <w:rsid w:val="00F04848"/>
    <w:rsid w:val="00F0633F"/>
    <w:rsid w:val="00F0737D"/>
    <w:rsid w:val="00F07657"/>
    <w:rsid w:val="00F1043F"/>
    <w:rsid w:val="00F10FA1"/>
    <w:rsid w:val="00F1156B"/>
    <w:rsid w:val="00F11811"/>
    <w:rsid w:val="00F125AD"/>
    <w:rsid w:val="00F12C49"/>
    <w:rsid w:val="00F12EDC"/>
    <w:rsid w:val="00F140F0"/>
    <w:rsid w:val="00F15039"/>
    <w:rsid w:val="00F151D1"/>
    <w:rsid w:val="00F15A90"/>
    <w:rsid w:val="00F15E73"/>
    <w:rsid w:val="00F17A8B"/>
    <w:rsid w:val="00F20C56"/>
    <w:rsid w:val="00F23A29"/>
    <w:rsid w:val="00F2436B"/>
    <w:rsid w:val="00F26F7C"/>
    <w:rsid w:val="00F275D7"/>
    <w:rsid w:val="00F31134"/>
    <w:rsid w:val="00F31C22"/>
    <w:rsid w:val="00F31F1B"/>
    <w:rsid w:val="00F335D1"/>
    <w:rsid w:val="00F342CD"/>
    <w:rsid w:val="00F36397"/>
    <w:rsid w:val="00F36531"/>
    <w:rsid w:val="00F36812"/>
    <w:rsid w:val="00F36884"/>
    <w:rsid w:val="00F42BAA"/>
    <w:rsid w:val="00F4699E"/>
    <w:rsid w:val="00F46C45"/>
    <w:rsid w:val="00F47BBB"/>
    <w:rsid w:val="00F47BCB"/>
    <w:rsid w:val="00F516FA"/>
    <w:rsid w:val="00F54172"/>
    <w:rsid w:val="00F547FD"/>
    <w:rsid w:val="00F55D76"/>
    <w:rsid w:val="00F55FA8"/>
    <w:rsid w:val="00F571F8"/>
    <w:rsid w:val="00F60234"/>
    <w:rsid w:val="00F60407"/>
    <w:rsid w:val="00F61A48"/>
    <w:rsid w:val="00F62941"/>
    <w:rsid w:val="00F648C3"/>
    <w:rsid w:val="00F64DED"/>
    <w:rsid w:val="00F65C3D"/>
    <w:rsid w:val="00F67B38"/>
    <w:rsid w:val="00F7284E"/>
    <w:rsid w:val="00F731DE"/>
    <w:rsid w:val="00F736A6"/>
    <w:rsid w:val="00F74208"/>
    <w:rsid w:val="00F7693F"/>
    <w:rsid w:val="00F809AD"/>
    <w:rsid w:val="00F83186"/>
    <w:rsid w:val="00F83A59"/>
    <w:rsid w:val="00F84D83"/>
    <w:rsid w:val="00F84E32"/>
    <w:rsid w:val="00F859CB"/>
    <w:rsid w:val="00F85E5D"/>
    <w:rsid w:val="00F87E17"/>
    <w:rsid w:val="00F90BF3"/>
    <w:rsid w:val="00F977B8"/>
    <w:rsid w:val="00FA016D"/>
    <w:rsid w:val="00FA2063"/>
    <w:rsid w:val="00FA263A"/>
    <w:rsid w:val="00FA3889"/>
    <w:rsid w:val="00FA65F2"/>
    <w:rsid w:val="00FA6807"/>
    <w:rsid w:val="00FA7E7F"/>
    <w:rsid w:val="00FB147D"/>
    <w:rsid w:val="00FB172E"/>
    <w:rsid w:val="00FB2284"/>
    <w:rsid w:val="00FB30FF"/>
    <w:rsid w:val="00FB339E"/>
    <w:rsid w:val="00FC03C3"/>
    <w:rsid w:val="00FC1501"/>
    <w:rsid w:val="00FC2FED"/>
    <w:rsid w:val="00FC4D28"/>
    <w:rsid w:val="00FC6BA9"/>
    <w:rsid w:val="00FC7E49"/>
    <w:rsid w:val="00FD38BD"/>
    <w:rsid w:val="00FD4E20"/>
    <w:rsid w:val="00FD6178"/>
    <w:rsid w:val="00FE1A56"/>
    <w:rsid w:val="00FE1C81"/>
    <w:rsid w:val="00FE34AD"/>
    <w:rsid w:val="00FE3BBC"/>
    <w:rsid w:val="00FF09D9"/>
    <w:rsid w:val="00FF3301"/>
    <w:rsid w:val="00FF7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EE6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2A9"/>
    <w:pPr>
      <w:autoSpaceDE w:val="0"/>
      <w:autoSpaceDN w:val="0"/>
      <w:adjustRightInd w:val="0"/>
      <w:spacing w:before="240" w:after="240"/>
    </w:pPr>
    <w:rPr>
      <w:rFonts w:cs="Arial"/>
      <w:color w:val="161616"/>
      <w:sz w:val="22"/>
      <w:szCs w:val="22"/>
    </w:rPr>
  </w:style>
  <w:style w:type="paragraph" w:styleId="Heading1">
    <w:name w:val="heading 1"/>
    <w:next w:val="Normal"/>
    <w:link w:val="Heading1Char"/>
    <w:uiPriority w:val="9"/>
    <w:qFormat/>
    <w:rsid w:val="009F3C21"/>
    <w:pPr>
      <w:keepNext/>
      <w:spacing w:before="480" w:after="240"/>
      <w:outlineLvl w:val="0"/>
    </w:pPr>
    <w:rPr>
      <w:rFonts w:eastAsia="Times New Roman" w:cs="Arial"/>
      <w:b/>
      <w:bCs/>
      <w:color w:val="0063A6"/>
      <w:kern w:val="32"/>
      <w:sz w:val="32"/>
      <w:szCs w:val="32"/>
    </w:rPr>
  </w:style>
  <w:style w:type="paragraph" w:styleId="Heading2">
    <w:name w:val="heading 2"/>
    <w:next w:val="Normal"/>
    <w:link w:val="Heading2Char"/>
    <w:uiPriority w:val="9"/>
    <w:unhideWhenUsed/>
    <w:qFormat/>
    <w:rsid w:val="009F3C21"/>
    <w:pPr>
      <w:keepNext/>
      <w:spacing w:before="480" w:after="240"/>
      <w:outlineLvl w:val="1"/>
    </w:pPr>
    <w:rPr>
      <w:rFonts w:eastAsia="Times New Roman" w:cs="Arial"/>
      <w:b/>
      <w:bCs/>
      <w:iCs/>
      <w:color w:val="0063A6"/>
      <w:sz w:val="28"/>
      <w:szCs w:val="28"/>
    </w:rPr>
  </w:style>
  <w:style w:type="paragraph" w:styleId="Heading3">
    <w:name w:val="heading 3"/>
    <w:basedOn w:val="Heading4"/>
    <w:next w:val="Normal"/>
    <w:link w:val="Heading3Char"/>
    <w:uiPriority w:val="9"/>
    <w:unhideWhenUsed/>
    <w:qFormat/>
    <w:rsid w:val="006713C8"/>
    <w:pPr>
      <w:outlineLvl w:val="2"/>
    </w:pPr>
    <w:rPr>
      <w:rFonts w:eastAsia="Calibri"/>
      <w:b/>
    </w:rPr>
  </w:style>
  <w:style w:type="paragraph" w:styleId="Heading4">
    <w:name w:val="heading 4"/>
    <w:next w:val="Normal"/>
    <w:link w:val="Heading4Char"/>
    <w:uiPriority w:val="9"/>
    <w:unhideWhenUsed/>
    <w:qFormat/>
    <w:rsid w:val="006713C8"/>
    <w:pPr>
      <w:keepNext/>
      <w:spacing w:before="240" w:after="240"/>
      <w:outlineLvl w:val="3"/>
    </w:pPr>
    <w:rPr>
      <w:rFonts w:eastAsia="Times New Roman" w:cs="Arial"/>
      <w:bCs/>
      <w:i/>
      <w:color w:val="0063A6"/>
      <w:sz w:val="24"/>
      <w:szCs w:val="28"/>
    </w:rPr>
  </w:style>
  <w:style w:type="paragraph" w:styleId="Heading5">
    <w:name w:val="heading 5"/>
    <w:basedOn w:val="TableHeader"/>
    <w:next w:val="Normal"/>
    <w:link w:val="Heading5Char"/>
    <w:uiPriority w:val="9"/>
    <w:unhideWhenUsed/>
    <w:qFormat/>
    <w:rsid w:val="00ED1E19"/>
    <w:pPr>
      <w:spacing w:before="0" w:after="0"/>
      <w:outlineLvl w:val="4"/>
    </w:pPr>
    <w:rPr>
      <w:color w:val="FFFFFF" w:themeColor="background1"/>
      <w:sz w:val="22"/>
    </w:rPr>
  </w:style>
  <w:style w:type="paragraph" w:styleId="Heading6">
    <w:name w:val="heading 6"/>
    <w:next w:val="Normal"/>
    <w:link w:val="Heading6Char"/>
    <w:uiPriority w:val="9"/>
    <w:semiHidden/>
    <w:unhideWhenUsed/>
    <w:qFormat/>
    <w:rsid w:val="00B825F7"/>
    <w:pPr>
      <w:numPr>
        <w:ilvl w:val="5"/>
        <w:numId w:val="3"/>
      </w:numPr>
      <w:spacing w:before="240" w:after="60"/>
      <w:outlineLvl w:val="5"/>
    </w:pPr>
    <w:rPr>
      <w:rFonts w:eastAsia="Times New Roman" w:cs="Arial"/>
      <w:b/>
      <w:bCs/>
      <w:sz w:val="22"/>
      <w:szCs w:val="22"/>
    </w:rPr>
  </w:style>
  <w:style w:type="paragraph" w:styleId="Heading7">
    <w:name w:val="heading 7"/>
    <w:next w:val="Normal"/>
    <w:link w:val="Heading7Char"/>
    <w:uiPriority w:val="9"/>
    <w:semiHidden/>
    <w:unhideWhenUsed/>
    <w:qFormat/>
    <w:rsid w:val="00B825F7"/>
    <w:pPr>
      <w:numPr>
        <w:ilvl w:val="6"/>
        <w:numId w:val="3"/>
      </w:numPr>
      <w:spacing w:before="240" w:after="60"/>
      <w:outlineLvl w:val="6"/>
    </w:pPr>
    <w:rPr>
      <w:rFonts w:eastAsia="Times New Roman" w:cs="Arial"/>
      <w:sz w:val="24"/>
      <w:szCs w:val="24"/>
    </w:rPr>
  </w:style>
  <w:style w:type="paragraph" w:styleId="Heading8">
    <w:name w:val="heading 8"/>
    <w:next w:val="Normal"/>
    <w:link w:val="Heading8Char"/>
    <w:uiPriority w:val="9"/>
    <w:semiHidden/>
    <w:unhideWhenUsed/>
    <w:qFormat/>
    <w:rsid w:val="00B825F7"/>
    <w:pPr>
      <w:numPr>
        <w:ilvl w:val="7"/>
        <w:numId w:val="3"/>
      </w:numPr>
      <w:spacing w:before="240" w:after="60"/>
      <w:outlineLvl w:val="7"/>
    </w:pPr>
    <w:rPr>
      <w:rFonts w:eastAsia="Times New Roman" w:cs="Arial"/>
      <w:i/>
      <w:iCs/>
      <w:sz w:val="24"/>
      <w:szCs w:val="24"/>
    </w:rPr>
  </w:style>
  <w:style w:type="paragraph" w:styleId="Heading9">
    <w:name w:val="heading 9"/>
    <w:next w:val="Normal"/>
    <w:link w:val="Heading9Char"/>
    <w:uiPriority w:val="9"/>
    <w:semiHidden/>
    <w:unhideWhenUsed/>
    <w:qFormat/>
    <w:rsid w:val="00B825F7"/>
    <w:pPr>
      <w:numPr>
        <w:ilvl w:val="8"/>
        <w:numId w:val="3"/>
      </w:numPr>
      <w:spacing w:before="240" w:after="60"/>
      <w:outlineLvl w:val="8"/>
    </w:pPr>
    <w:rPr>
      <w:rFonts w:eastAsia="Times New Roman"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3C21"/>
    <w:rPr>
      <w:rFonts w:eastAsia="Times New Roman" w:cs="Arial"/>
      <w:b/>
      <w:bCs/>
      <w:color w:val="0063A6"/>
      <w:kern w:val="32"/>
      <w:sz w:val="32"/>
      <w:szCs w:val="32"/>
    </w:rPr>
  </w:style>
  <w:style w:type="numbering" w:styleId="111111">
    <w:name w:val="Outline List 2"/>
    <w:uiPriority w:val="99"/>
    <w:semiHidden/>
    <w:unhideWhenUsed/>
    <w:rsid w:val="00B825F7"/>
    <w:pPr>
      <w:numPr>
        <w:numId w:val="1"/>
      </w:numPr>
    </w:pPr>
  </w:style>
  <w:style w:type="numbering" w:styleId="1ai">
    <w:name w:val="Outline List 1"/>
    <w:uiPriority w:val="99"/>
    <w:semiHidden/>
    <w:unhideWhenUsed/>
    <w:rsid w:val="00B825F7"/>
    <w:pPr>
      <w:numPr>
        <w:numId w:val="2"/>
      </w:numPr>
    </w:pPr>
  </w:style>
  <w:style w:type="character" w:customStyle="1" w:styleId="Heading2Char">
    <w:name w:val="Heading 2 Char"/>
    <w:link w:val="Heading2"/>
    <w:uiPriority w:val="9"/>
    <w:rsid w:val="009F3C21"/>
    <w:rPr>
      <w:rFonts w:eastAsia="Times New Roman" w:cs="Arial"/>
      <w:b/>
      <w:bCs/>
      <w:iCs/>
      <w:color w:val="0063A6"/>
      <w:sz w:val="28"/>
      <w:szCs w:val="28"/>
    </w:rPr>
  </w:style>
  <w:style w:type="character" w:customStyle="1" w:styleId="Heading3Char">
    <w:name w:val="Heading 3 Char"/>
    <w:link w:val="Heading3"/>
    <w:uiPriority w:val="9"/>
    <w:rsid w:val="006713C8"/>
    <w:rPr>
      <w:rFonts w:cs="Arial"/>
      <w:b/>
      <w:bCs/>
      <w:i/>
      <w:color w:val="0063A6"/>
      <w:sz w:val="24"/>
      <w:szCs w:val="28"/>
    </w:rPr>
  </w:style>
  <w:style w:type="character" w:customStyle="1" w:styleId="Heading4Char">
    <w:name w:val="Heading 4 Char"/>
    <w:link w:val="Heading4"/>
    <w:uiPriority w:val="9"/>
    <w:rsid w:val="006713C8"/>
    <w:rPr>
      <w:rFonts w:eastAsia="Times New Roman" w:cs="Arial"/>
      <w:bCs/>
      <w:i/>
      <w:color w:val="0063A6"/>
      <w:sz w:val="24"/>
      <w:szCs w:val="28"/>
    </w:rPr>
  </w:style>
  <w:style w:type="character" w:customStyle="1" w:styleId="Heading5Char">
    <w:name w:val="Heading 5 Char"/>
    <w:link w:val="Heading5"/>
    <w:uiPriority w:val="9"/>
    <w:rsid w:val="00ED1E19"/>
    <w:rPr>
      <w:rFonts w:eastAsia="Times New Roman" w:cs="Arial"/>
      <w:b/>
      <w:color w:val="FFFFFF" w:themeColor="background1"/>
      <w:sz w:val="22"/>
      <w:lang w:eastAsia="en-US"/>
    </w:rPr>
  </w:style>
  <w:style w:type="character" w:customStyle="1" w:styleId="Heading6Char">
    <w:name w:val="Heading 6 Char"/>
    <w:link w:val="Heading6"/>
    <w:uiPriority w:val="9"/>
    <w:semiHidden/>
    <w:rsid w:val="00B825F7"/>
    <w:rPr>
      <w:rFonts w:eastAsia="Times New Roman" w:cs="Arial"/>
      <w:b/>
      <w:bCs/>
      <w:sz w:val="22"/>
      <w:szCs w:val="22"/>
    </w:rPr>
  </w:style>
  <w:style w:type="character" w:customStyle="1" w:styleId="Heading7Char">
    <w:name w:val="Heading 7 Char"/>
    <w:link w:val="Heading7"/>
    <w:uiPriority w:val="9"/>
    <w:semiHidden/>
    <w:rsid w:val="00B825F7"/>
    <w:rPr>
      <w:rFonts w:eastAsia="Times New Roman" w:cs="Arial"/>
      <w:sz w:val="24"/>
      <w:szCs w:val="24"/>
    </w:rPr>
  </w:style>
  <w:style w:type="character" w:customStyle="1" w:styleId="Heading8Char">
    <w:name w:val="Heading 8 Char"/>
    <w:link w:val="Heading8"/>
    <w:uiPriority w:val="9"/>
    <w:semiHidden/>
    <w:rsid w:val="00B825F7"/>
    <w:rPr>
      <w:rFonts w:eastAsia="Times New Roman" w:cs="Arial"/>
      <w:i/>
      <w:iCs/>
      <w:sz w:val="24"/>
      <w:szCs w:val="24"/>
    </w:rPr>
  </w:style>
  <w:style w:type="character" w:customStyle="1" w:styleId="Heading9Char">
    <w:name w:val="Heading 9 Char"/>
    <w:link w:val="Heading9"/>
    <w:uiPriority w:val="9"/>
    <w:semiHidden/>
    <w:rsid w:val="00B825F7"/>
    <w:rPr>
      <w:rFonts w:eastAsia="Times New Roman" w:cs="Arial"/>
      <w:sz w:val="22"/>
      <w:szCs w:val="22"/>
    </w:rPr>
  </w:style>
  <w:style w:type="numbering" w:styleId="ArticleSection">
    <w:name w:val="Outline List 3"/>
    <w:uiPriority w:val="99"/>
    <w:semiHidden/>
    <w:unhideWhenUsed/>
    <w:rsid w:val="00B825F7"/>
    <w:pPr>
      <w:numPr>
        <w:numId w:val="3"/>
      </w:numPr>
    </w:pPr>
  </w:style>
  <w:style w:type="paragraph" w:styleId="BalloonText">
    <w:name w:val="Balloon Text"/>
    <w:link w:val="BalloonTextChar"/>
    <w:uiPriority w:val="99"/>
    <w:semiHidden/>
    <w:unhideWhenUsed/>
    <w:rsid w:val="00B825F7"/>
    <w:rPr>
      <w:rFonts w:cs="Arial"/>
      <w:sz w:val="18"/>
      <w:szCs w:val="18"/>
    </w:rPr>
  </w:style>
  <w:style w:type="character" w:customStyle="1" w:styleId="BalloonTextChar">
    <w:name w:val="Balloon Text Char"/>
    <w:link w:val="BalloonText"/>
    <w:uiPriority w:val="99"/>
    <w:semiHidden/>
    <w:rsid w:val="00B825F7"/>
    <w:rPr>
      <w:rFonts w:ascii="Arial" w:hAnsi="Arial" w:cs="Arial"/>
      <w:sz w:val="18"/>
      <w:szCs w:val="18"/>
    </w:rPr>
  </w:style>
  <w:style w:type="paragraph" w:styleId="Bibliography">
    <w:name w:val="Bibliography"/>
    <w:next w:val="Normal"/>
    <w:uiPriority w:val="37"/>
    <w:semiHidden/>
    <w:unhideWhenUsed/>
    <w:rsid w:val="00B825F7"/>
    <w:rPr>
      <w:rFonts w:cs="Arial"/>
      <w:sz w:val="22"/>
      <w:szCs w:val="22"/>
    </w:rPr>
  </w:style>
  <w:style w:type="paragraph" w:styleId="BlockText">
    <w:name w:val="Block Text"/>
    <w:uiPriority w:val="99"/>
    <w:semiHidden/>
    <w:unhideWhenUsed/>
    <w:rsid w:val="00B825F7"/>
    <w:pPr>
      <w:spacing w:after="120"/>
      <w:ind w:left="1440" w:right="1440"/>
    </w:pPr>
    <w:rPr>
      <w:rFonts w:cs="Arial"/>
      <w:sz w:val="22"/>
      <w:szCs w:val="22"/>
    </w:rPr>
  </w:style>
  <w:style w:type="paragraph" w:styleId="BodyText">
    <w:name w:val="Body Text"/>
    <w:link w:val="BodyTextChar"/>
    <w:unhideWhenUsed/>
    <w:rsid w:val="00B825F7"/>
    <w:pPr>
      <w:spacing w:after="120"/>
    </w:pPr>
    <w:rPr>
      <w:rFonts w:cs="Arial"/>
      <w:sz w:val="22"/>
      <w:szCs w:val="22"/>
    </w:rPr>
  </w:style>
  <w:style w:type="character" w:customStyle="1" w:styleId="BodyTextChar">
    <w:name w:val="Body Text Char"/>
    <w:link w:val="BodyText"/>
    <w:rsid w:val="00B825F7"/>
    <w:rPr>
      <w:rFonts w:ascii="Arial" w:hAnsi="Arial" w:cs="Arial"/>
    </w:rPr>
  </w:style>
  <w:style w:type="paragraph" w:styleId="BodyText2">
    <w:name w:val="Body Text 2"/>
    <w:link w:val="BodyText2Char"/>
    <w:uiPriority w:val="99"/>
    <w:semiHidden/>
    <w:unhideWhenUsed/>
    <w:rsid w:val="00B825F7"/>
    <w:pPr>
      <w:spacing w:after="120" w:line="480" w:lineRule="auto"/>
    </w:pPr>
    <w:rPr>
      <w:rFonts w:cs="Arial"/>
      <w:sz w:val="22"/>
      <w:szCs w:val="22"/>
    </w:rPr>
  </w:style>
  <w:style w:type="character" w:customStyle="1" w:styleId="BodyText2Char">
    <w:name w:val="Body Text 2 Char"/>
    <w:link w:val="BodyText2"/>
    <w:uiPriority w:val="99"/>
    <w:semiHidden/>
    <w:rsid w:val="00B825F7"/>
    <w:rPr>
      <w:rFonts w:ascii="Arial" w:hAnsi="Arial" w:cs="Arial"/>
    </w:rPr>
  </w:style>
  <w:style w:type="paragraph" w:styleId="BodyText3">
    <w:name w:val="Body Text 3"/>
    <w:link w:val="BodyText3Char"/>
    <w:uiPriority w:val="99"/>
    <w:semiHidden/>
    <w:unhideWhenUsed/>
    <w:rsid w:val="00B825F7"/>
    <w:pPr>
      <w:spacing w:after="120"/>
    </w:pPr>
    <w:rPr>
      <w:rFonts w:cs="Arial"/>
      <w:sz w:val="16"/>
      <w:szCs w:val="16"/>
    </w:rPr>
  </w:style>
  <w:style w:type="character" w:customStyle="1" w:styleId="BodyText3Char">
    <w:name w:val="Body Text 3 Char"/>
    <w:link w:val="BodyText3"/>
    <w:uiPriority w:val="99"/>
    <w:semiHidden/>
    <w:rsid w:val="00B825F7"/>
    <w:rPr>
      <w:rFonts w:ascii="Arial" w:hAnsi="Arial" w:cs="Arial"/>
      <w:sz w:val="16"/>
      <w:szCs w:val="16"/>
    </w:rPr>
  </w:style>
  <w:style w:type="paragraph" w:styleId="BodyTextFirstIndent">
    <w:name w:val="Body Text First Indent"/>
    <w:link w:val="BodyTextFirstIndentChar"/>
    <w:uiPriority w:val="99"/>
    <w:semiHidden/>
    <w:unhideWhenUsed/>
    <w:rsid w:val="00B825F7"/>
    <w:pPr>
      <w:ind w:firstLine="210"/>
    </w:pPr>
    <w:rPr>
      <w:rFonts w:cs="Arial"/>
      <w:sz w:val="22"/>
      <w:szCs w:val="22"/>
    </w:rPr>
  </w:style>
  <w:style w:type="character" w:customStyle="1" w:styleId="BodyTextFirstIndentChar">
    <w:name w:val="Body Text First Indent Char"/>
    <w:link w:val="BodyTextFirstIndent"/>
    <w:uiPriority w:val="99"/>
    <w:semiHidden/>
    <w:rsid w:val="00B825F7"/>
    <w:rPr>
      <w:rFonts w:ascii="Arial" w:hAnsi="Arial" w:cs="Arial"/>
    </w:rPr>
  </w:style>
  <w:style w:type="paragraph" w:styleId="BodyTextIndent">
    <w:name w:val="Body Text Indent"/>
    <w:link w:val="BodyTextIndentChar"/>
    <w:uiPriority w:val="99"/>
    <w:semiHidden/>
    <w:unhideWhenUsed/>
    <w:rsid w:val="00B825F7"/>
    <w:pPr>
      <w:spacing w:after="120"/>
      <w:ind w:left="283"/>
    </w:pPr>
    <w:rPr>
      <w:rFonts w:cs="Arial"/>
      <w:sz w:val="22"/>
      <w:szCs w:val="22"/>
    </w:rPr>
  </w:style>
  <w:style w:type="character" w:customStyle="1" w:styleId="BodyTextIndentChar">
    <w:name w:val="Body Text Indent Char"/>
    <w:link w:val="BodyTextIndent"/>
    <w:uiPriority w:val="99"/>
    <w:semiHidden/>
    <w:rsid w:val="00B825F7"/>
    <w:rPr>
      <w:rFonts w:ascii="Arial" w:hAnsi="Arial" w:cs="Arial"/>
    </w:rPr>
  </w:style>
  <w:style w:type="paragraph" w:styleId="BodyTextFirstIndent2">
    <w:name w:val="Body Text First Indent 2"/>
    <w:link w:val="BodyTextFirstIndent2Char"/>
    <w:uiPriority w:val="99"/>
    <w:semiHidden/>
    <w:unhideWhenUsed/>
    <w:rsid w:val="00B825F7"/>
    <w:pPr>
      <w:ind w:firstLine="210"/>
    </w:pPr>
    <w:rPr>
      <w:rFonts w:cs="Arial"/>
      <w:sz w:val="22"/>
      <w:szCs w:val="22"/>
    </w:rPr>
  </w:style>
  <w:style w:type="character" w:customStyle="1" w:styleId="BodyTextFirstIndent2Char">
    <w:name w:val="Body Text First Indent 2 Char"/>
    <w:link w:val="BodyTextFirstIndent2"/>
    <w:uiPriority w:val="99"/>
    <w:semiHidden/>
    <w:rsid w:val="00B825F7"/>
    <w:rPr>
      <w:rFonts w:ascii="Arial" w:hAnsi="Arial" w:cs="Arial"/>
    </w:rPr>
  </w:style>
  <w:style w:type="paragraph" w:styleId="BodyTextIndent2">
    <w:name w:val="Body Text Indent 2"/>
    <w:link w:val="BodyTextIndent2Char"/>
    <w:uiPriority w:val="99"/>
    <w:semiHidden/>
    <w:unhideWhenUsed/>
    <w:rsid w:val="00B825F7"/>
    <w:pPr>
      <w:spacing w:after="120" w:line="480" w:lineRule="auto"/>
      <w:ind w:left="283"/>
    </w:pPr>
    <w:rPr>
      <w:rFonts w:cs="Arial"/>
      <w:sz w:val="22"/>
      <w:szCs w:val="22"/>
    </w:rPr>
  </w:style>
  <w:style w:type="character" w:customStyle="1" w:styleId="BodyTextIndent2Char">
    <w:name w:val="Body Text Indent 2 Char"/>
    <w:link w:val="BodyTextIndent2"/>
    <w:uiPriority w:val="99"/>
    <w:semiHidden/>
    <w:rsid w:val="00B825F7"/>
    <w:rPr>
      <w:rFonts w:ascii="Arial" w:hAnsi="Arial" w:cs="Arial"/>
    </w:rPr>
  </w:style>
  <w:style w:type="paragraph" w:styleId="BodyTextIndent3">
    <w:name w:val="Body Text Indent 3"/>
    <w:link w:val="BodyTextIndent3Char"/>
    <w:uiPriority w:val="99"/>
    <w:semiHidden/>
    <w:unhideWhenUsed/>
    <w:rsid w:val="00B825F7"/>
    <w:pPr>
      <w:spacing w:after="120"/>
      <w:ind w:left="283"/>
    </w:pPr>
    <w:rPr>
      <w:rFonts w:cs="Arial"/>
      <w:sz w:val="16"/>
      <w:szCs w:val="16"/>
    </w:rPr>
  </w:style>
  <w:style w:type="character" w:customStyle="1" w:styleId="BodyTextIndent3Char">
    <w:name w:val="Body Text Indent 3 Char"/>
    <w:link w:val="BodyTextIndent3"/>
    <w:uiPriority w:val="99"/>
    <w:semiHidden/>
    <w:rsid w:val="00B825F7"/>
    <w:rPr>
      <w:rFonts w:ascii="Arial" w:hAnsi="Arial" w:cs="Arial"/>
      <w:sz w:val="16"/>
      <w:szCs w:val="16"/>
    </w:rPr>
  </w:style>
  <w:style w:type="character" w:styleId="BookTitle">
    <w:name w:val="Book Title"/>
    <w:uiPriority w:val="33"/>
    <w:qFormat/>
    <w:rsid w:val="00B825F7"/>
    <w:rPr>
      <w:b/>
      <w:bCs/>
      <w:i/>
      <w:iCs/>
      <w:spacing w:val="5"/>
    </w:rPr>
  </w:style>
  <w:style w:type="paragraph" w:styleId="Caption">
    <w:name w:val="caption"/>
    <w:next w:val="Normal"/>
    <w:uiPriority w:val="35"/>
    <w:semiHidden/>
    <w:unhideWhenUsed/>
    <w:qFormat/>
    <w:rsid w:val="00B825F7"/>
    <w:rPr>
      <w:rFonts w:cs="Arial"/>
      <w:b/>
      <w:bCs/>
    </w:rPr>
  </w:style>
  <w:style w:type="paragraph" w:styleId="Closing">
    <w:name w:val="Closing"/>
    <w:link w:val="ClosingChar"/>
    <w:uiPriority w:val="99"/>
    <w:semiHidden/>
    <w:unhideWhenUsed/>
    <w:rsid w:val="00B825F7"/>
    <w:pPr>
      <w:ind w:left="4252"/>
    </w:pPr>
    <w:rPr>
      <w:rFonts w:cs="Arial"/>
      <w:sz w:val="22"/>
      <w:szCs w:val="22"/>
    </w:rPr>
  </w:style>
  <w:style w:type="character" w:customStyle="1" w:styleId="ClosingChar">
    <w:name w:val="Closing Char"/>
    <w:link w:val="Closing"/>
    <w:uiPriority w:val="99"/>
    <w:semiHidden/>
    <w:rsid w:val="00B825F7"/>
    <w:rPr>
      <w:rFonts w:ascii="Arial" w:hAnsi="Arial" w:cs="Arial"/>
    </w:rPr>
  </w:style>
  <w:style w:type="table" w:styleId="ColorfulGrid">
    <w:name w:val="Colorful Grid"/>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CCCCCC"/>
    </w:tcPr>
  </w:style>
  <w:style w:type="table" w:styleId="ColorfulGrid-Accent1">
    <w:name w:val="Colorful Grid Accent 1"/>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EEAF6"/>
    </w:tcPr>
  </w:style>
  <w:style w:type="table" w:styleId="ColorfulGrid-Accent2">
    <w:name w:val="Colorful Grid Accent 2"/>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BE4D5"/>
    </w:tcPr>
  </w:style>
  <w:style w:type="table" w:styleId="ColorfulGrid-Accent3">
    <w:name w:val="Colorful Grid Accent 3"/>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DEDED"/>
    </w:tcPr>
  </w:style>
  <w:style w:type="table" w:styleId="ColorfulGrid-Accent4">
    <w:name w:val="Colorful Grid Accent 4"/>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FF2CC"/>
    </w:tcPr>
  </w:style>
  <w:style w:type="table" w:styleId="ColorfulGrid-Accent5">
    <w:name w:val="Colorful Grid Accent 5"/>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9E2F3"/>
    </w:tcPr>
  </w:style>
  <w:style w:type="table" w:styleId="ColorfulGrid-Accent6">
    <w:name w:val="Colorful Grid Accent 6"/>
    <w:uiPriority w:val="73"/>
    <w:semiHidden/>
    <w:unhideWhenUsed/>
    <w:rsid w:val="00B825F7"/>
    <w:rPr>
      <w:color w:val="000000"/>
      <w:sz w:val="22"/>
      <w:szCs w:val="22"/>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2EFD9"/>
    </w:tcPr>
  </w:style>
  <w:style w:type="table" w:styleId="ColorfulList">
    <w:name w:val="Colorful List"/>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E6E6E6"/>
    </w:tcPr>
  </w:style>
  <w:style w:type="table" w:styleId="ColorfulList-Accent1">
    <w:name w:val="Colorful List Accent 1"/>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EEF5FB"/>
    </w:tcPr>
  </w:style>
  <w:style w:type="table" w:styleId="ColorfulList-Accent2">
    <w:name w:val="Colorful List Accent 2"/>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FDF2EA"/>
    </w:tcPr>
  </w:style>
  <w:style w:type="table" w:styleId="ColorfulList-Accent3">
    <w:name w:val="Colorful List Accent 3"/>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F6F6F6"/>
    </w:tcPr>
  </w:style>
  <w:style w:type="table" w:styleId="ColorfulList-Accent4">
    <w:name w:val="Colorful List Accent 4"/>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FFF8E6"/>
    </w:tcPr>
  </w:style>
  <w:style w:type="table" w:styleId="ColorfulList-Accent5">
    <w:name w:val="Colorful List Accent 5"/>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ECF1F9"/>
    </w:tcPr>
  </w:style>
  <w:style w:type="table" w:styleId="ColorfulList-Accent6">
    <w:name w:val="Colorful List Accent 6"/>
    <w:uiPriority w:val="72"/>
    <w:semiHidden/>
    <w:unhideWhenUsed/>
    <w:rsid w:val="00B825F7"/>
    <w:rPr>
      <w:color w:val="000000"/>
      <w:sz w:val="22"/>
      <w:szCs w:val="22"/>
    </w:rPr>
    <w:tblPr>
      <w:tblStyleRowBandSize w:val="1"/>
      <w:tblStyleColBandSize w:val="1"/>
      <w:tblCellMar>
        <w:top w:w="0" w:type="dxa"/>
        <w:left w:w="0" w:type="dxa"/>
        <w:bottom w:w="0" w:type="dxa"/>
        <w:right w:w="0" w:type="dxa"/>
      </w:tblCellMar>
    </w:tblPr>
    <w:tcPr>
      <w:shd w:val="clear" w:color="auto" w:fill="F0F7EC"/>
    </w:tcPr>
  </w:style>
  <w:style w:type="table" w:styleId="ColorfulShading">
    <w:name w:val="Colorful Shading"/>
    <w:uiPriority w:val="71"/>
    <w:semiHidden/>
    <w:unhideWhenUsed/>
    <w:rsid w:val="00B825F7"/>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0" w:type="dxa"/>
        <w:bottom w:w="0" w:type="dxa"/>
        <w:right w:w="0" w:type="dxa"/>
      </w:tblCellMar>
    </w:tblPr>
    <w:tcPr>
      <w:shd w:val="clear" w:color="auto" w:fill="E6E6E6"/>
    </w:tcPr>
  </w:style>
  <w:style w:type="table" w:styleId="ColorfulShading-Accent1">
    <w:name w:val="Colorful Shading Accent 1"/>
    <w:uiPriority w:val="71"/>
    <w:semiHidden/>
    <w:unhideWhenUsed/>
    <w:rsid w:val="00B825F7"/>
    <w:rPr>
      <w:color w:val="000000"/>
      <w:sz w:val="22"/>
      <w:szCs w:val="22"/>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0" w:type="dxa"/>
        <w:bottom w:w="0" w:type="dxa"/>
        <w:right w:w="0" w:type="dxa"/>
      </w:tblCellMar>
    </w:tblPr>
    <w:tcPr>
      <w:shd w:val="clear" w:color="auto" w:fill="EEF5FB"/>
    </w:tcPr>
  </w:style>
  <w:style w:type="table" w:styleId="ColorfulShading-Accent2">
    <w:name w:val="Colorful Shading Accent 2"/>
    <w:uiPriority w:val="71"/>
    <w:semiHidden/>
    <w:unhideWhenUsed/>
    <w:rsid w:val="00B825F7"/>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0" w:type="dxa"/>
        <w:bottom w:w="0" w:type="dxa"/>
        <w:right w:w="0" w:type="dxa"/>
      </w:tblCellMar>
    </w:tblPr>
    <w:tcPr>
      <w:shd w:val="clear" w:color="auto" w:fill="FDF2EA"/>
    </w:tcPr>
  </w:style>
  <w:style w:type="table" w:styleId="ColorfulShading-Accent3">
    <w:name w:val="Colorful Shading Accent 3"/>
    <w:uiPriority w:val="71"/>
    <w:semiHidden/>
    <w:unhideWhenUsed/>
    <w:rsid w:val="00B825F7"/>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0" w:type="dxa"/>
        <w:bottom w:w="0" w:type="dxa"/>
        <w:right w:w="0" w:type="dxa"/>
      </w:tblCellMar>
    </w:tblPr>
    <w:tcPr>
      <w:shd w:val="clear" w:color="auto" w:fill="F6F6F6"/>
    </w:tcPr>
  </w:style>
  <w:style w:type="table" w:styleId="ColorfulShading-Accent4">
    <w:name w:val="Colorful Shading Accent 4"/>
    <w:uiPriority w:val="71"/>
    <w:semiHidden/>
    <w:unhideWhenUsed/>
    <w:rsid w:val="00B825F7"/>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0" w:type="dxa"/>
        <w:bottom w:w="0" w:type="dxa"/>
        <w:right w:w="0" w:type="dxa"/>
      </w:tblCellMar>
    </w:tblPr>
    <w:tcPr>
      <w:shd w:val="clear" w:color="auto" w:fill="FFF8E6"/>
    </w:tcPr>
  </w:style>
  <w:style w:type="table" w:styleId="ColorfulShading-Accent5">
    <w:name w:val="Colorful Shading Accent 5"/>
    <w:uiPriority w:val="71"/>
    <w:semiHidden/>
    <w:unhideWhenUsed/>
    <w:rsid w:val="00B825F7"/>
    <w:rPr>
      <w:color w:val="000000"/>
      <w:sz w:val="22"/>
      <w:szCs w:val="22"/>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0" w:type="dxa"/>
        <w:bottom w:w="0" w:type="dxa"/>
        <w:right w:w="0" w:type="dxa"/>
      </w:tblCellMar>
    </w:tblPr>
    <w:tcPr>
      <w:shd w:val="clear" w:color="auto" w:fill="ECF1F9"/>
    </w:tcPr>
  </w:style>
  <w:style w:type="table" w:styleId="ColorfulShading-Accent6">
    <w:name w:val="Colorful Shading Accent 6"/>
    <w:uiPriority w:val="71"/>
    <w:semiHidden/>
    <w:unhideWhenUsed/>
    <w:rsid w:val="00B825F7"/>
    <w:rPr>
      <w:color w:val="000000"/>
      <w:sz w:val="22"/>
      <w:szCs w:val="22"/>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0" w:type="dxa"/>
        <w:bottom w:w="0" w:type="dxa"/>
        <w:right w:w="0" w:type="dxa"/>
      </w:tblCellMar>
    </w:tblPr>
    <w:tcPr>
      <w:shd w:val="clear" w:color="auto" w:fill="F0F7EC"/>
    </w:tcPr>
  </w:style>
  <w:style w:type="character" w:styleId="CommentReference">
    <w:name w:val="annotation reference"/>
    <w:uiPriority w:val="99"/>
    <w:semiHidden/>
    <w:unhideWhenUsed/>
    <w:rsid w:val="00B825F7"/>
    <w:rPr>
      <w:sz w:val="16"/>
      <w:szCs w:val="16"/>
    </w:rPr>
  </w:style>
  <w:style w:type="paragraph" w:styleId="CommentText">
    <w:name w:val="annotation text"/>
    <w:link w:val="CommentTextChar"/>
    <w:uiPriority w:val="99"/>
    <w:unhideWhenUsed/>
    <w:rsid w:val="00B825F7"/>
    <w:rPr>
      <w:rFonts w:cs="Arial"/>
    </w:rPr>
  </w:style>
  <w:style w:type="character" w:customStyle="1" w:styleId="CommentTextChar">
    <w:name w:val="Comment Text Char"/>
    <w:link w:val="CommentText"/>
    <w:uiPriority w:val="99"/>
    <w:rsid w:val="00B825F7"/>
    <w:rPr>
      <w:rFonts w:ascii="Arial" w:hAnsi="Arial" w:cs="Arial"/>
      <w:sz w:val="20"/>
      <w:szCs w:val="20"/>
    </w:rPr>
  </w:style>
  <w:style w:type="paragraph" w:styleId="CommentSubject">
    <w:name w:val="annotation subject"/>
    <w:next w:val="CommentText"/>
    <w:link w:val="CommentSubjectChar"/>
    <w:uiPriority w:val="99"/>
    <w:semiHidden/>
    <w:unhideWhenUsed/>
    <w:rsid w:val="00B825F7"/>
    <w:rPr>
      <w:rFonts w:cs="Arial"/>
      <w:b/>
      <w:bCs/>
    </w:rPr>
  </w:style>
  <w:style w:type="character" w:customStyle="1" w:styleId="CommentSubjectChar">
    <w:name w:val="Comment Subject Char"/>
    <w:link w:val="CommentSubject"/>
    <w:uiPriority w:val="99"/>
    <w:semiHidden/>
    <w:rsid w:val="00B825F7"/>
    <w:rPr>
      <w:rFonts w:ascii="Arial" w:hAnsi="Arial" w:cs="Arial"/>
      <w:b/>
      <w:bCs/>
      <w:sz w:val="20"/>
      <w:szCs w:val="20"/>
    </w:rPr>
  </w:style>
  <w:style w:type="table" w:styleId="DarkList">
    <w:name w:val="Dark List"/>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000000"/>
    </w:tcPr>
  </w:style>
  <w:style w:type="table" w:styleId="DarkList-Accent1">
    <w:name w:val="Dark List Accent 1"/>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5B9BD5"/>
    </w:tcPr>
  </w:style>
  <w:style w:type="table" w:styleId="DarkList-Accent2">
    <w:name w:val="Dark List Accent 2"/>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ED7D31"/>
    </w:tcPr>
  </w:style>
  <w:style w:type="table" w:styleId="DarkList-Accent3">
    <w:name w:val="Dark List Accent 3"/>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A5A5A5"/>
    </w:tcPr>
  </w:style>
  <w:style w:type="table" w:styleId="DarkList-Accent4">
    <w:name w:val="Dark List Accent 4"/>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FFC000"/>
    </w:tcPr>
  </w:style>
  <w:style w:type="table" w:styleId="DarkList-Accent5">
    <w:name w:val="Dark List Accent 5"/>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4472C4"/>
    </w:tcPr>
  </w:style>
  <w:style w:type="table" w:styleId="DarkList-Accent6">
    <w:name w:val="Dark List Accent 6"/>
    <w:uiPriority w:val="70"/>
    <w:semiHidden/>
    <w:unhideWhenUsed/>
    <w:rsid w:val="00B825F7"/>
    <w:rPr>
      <w:color w:val="FFFFFF"/>
      <w:sz w:val="22"/>
      <w:szCs w:val="22"/>
    </w:rPr>
    <w:tblPr>
      <w:tblStyleRowBandSize w:val="1"/>
      <w:tblStyleColBandSize w:val="1"/>
      <w:tblCellMar>
        <w:top w:w="0" w:type="dxa"/>
        <w:left w:w="0" w:type="dxa"/>
        <w:bottom w:w="0" w:type="dxa"/>
        <w:right w:w="0" w:type="dxa"/>
      </w:tblCellMar>
    </w:tblPr>
    <w:tcPr>
      <w:shd w:val="clear" w:color="auto" w:fill="70AD47"/>
    </w:tcPr>
  </w:style>
  <w:style w:type="paragraph" w:styleId="Date">
    <w:name w:val="Date"/>
    <w:next w:val="Normal"/>
    <w:link w:val="DateChar"/>
    <w:uiPriority w:val="99"/>
    <w:semiHidden/>
    <w:unhideWhenUsed/>
    <w:rsid w:val="00B825F7"/>
    <w:rPr>
      <w:rFonts w:cs="Arial"/>
      <w:sz w:val="22"/>
      <w:szCs w:val="22"/>
    </w:rPr>
  </w:style>
  <w:style w:type="character" w:customStyle="1" w:styleId="DateChar">
    <w:name w:val="Date Char"/>
    <w:link w:val="Date"/>
    <w:uiPriority w:val="99"/>
    <w:semiHidden/>
    <w:rsid w:val="00B825F7"/>
    <w:rPr>
      <w:rFonts w:ascii="Arial" w:hAnsi="Arial" w:cs="Arial"/>
    </w:rPr>
  </w:style>
  <w:style w:type="paragraph" w:styleId="DocumentMap">
    <w:name w:val="Document Map"/>
    <w:link w:val="DocumentMapChar"/>
    <w:uiPriority w:val="99"/>
    <w:semiHidden/>
    <w:unhideWhenUsed/>
    <w:rsid w:val="00B825F7"/>
    <w:rPr>
      <w:rFonts w:cs="Arial"/>
      <w:sz w:val="16"/>
      <w:szCs w:val="16"/>
    </w:rPr>
  </w:style>
  <w:style w:type="character" w:customStyle="1" w:styleId="DocumentMapChar">
    <w:name w:val="Document Map Char"/>
    <w:link w:val="DocumentMap"/>
    <w:uiPriority w:val="99"/>
    <w:semiHidden/>
    <w:rsid w:val="00B825F7"/>
    <w:rPr>
      <w:rFonts w:ascii="Arial" w:hAnsi="Arial" w:cs="Arial"/>
      <w:sz w:val="16"/>
      <w:szCs w:val="16"/>
    </w:rPr>
  </w:style>
  <w:style w:type="paragraph" w:styleId="E-mailSignature">
    <w:name w:val="E-mail Signature"/>
    <w:link w:val="E-mailSignatureChar"/>
    <w:uiPriority w:val="99"/>
    <w:semiHidden/>
    <w:unhideWhenUsed/>
    <w:rsid w:val="00B825F7"/>
    <w:rPr>
      <w:rFonts w:cs="Arial"/>
      <w:sz w:val="22"/>
      <w:szCs w:val="22"/>
    </w:rPr>
  </w:style>
  <w:style w:type="character" w:customStyle="1" w:styleId="E-mailSignatureChar">
    <w:name w:val="E-mail Signature Char"/>
    <w:link w:val="E-mailSignature"/>
    <w:uiPriority w:val="99"/>
    <w:semiHidden/>
    <w:rsid w:val="00B825F7"/>
    <w:rPr>
      <w:rFonts w:ascii="Arial" w:hAnsi="Arial" w:cs="Arial"/>
    </w:rPr>
  </w:style>
  <w:style w:type="character" w:styleId="Emphasis">
    <w:name w:val="Emphasis"/>
    <w:uiPriority w:val="20"/>
    <w:qFormat/>
    <w:rsid w:val="00B825F7"/>
    <w:rPr>
      <w:i/>
      <w:iCs/>
    </w:rPr>
  </w:style>
  <w:style w:type="character" w:styleId="EndnoteReference">
    <w:name w:val="endnote reference"/>
    <w:uiPriority w:val="99"/>
    <w:semiHidden/>
    <w:unhideWhenUsed/>
    <w:rsid w:val="00B825F7"/>
    <w:rPr>
      <w:vertAlign w:val="superscript"/>
    </w:rPr>
  </w:style>
  <w:style w:type="paragraph" w:styleId="EndnoteText">
    <w:name w:val="endnote text"/>
    <w:link w:val="EndnoteTextChar"/>
    <w:uiPriority w:val="99"/>
    <w:semiHidden/>
    <w:unhideWhenUsed/>
    <w:rsid w:val="00B825F7"/>
    <w:rPr>
      <w:rFonts w:cs="Arial"/>
    </w:rPr>
  </w:style>
  <w:style w:type="character" w:customStyle="1" w:styleId="EndnoteTextChar">
    <w:name w:val="Endnote Text Char"/>
    <w:link w:val="EndnoteText"/>
    <w:uiPriority w:val="99"/>
    <w:semiHidden/>
    <w:rsid w:val="00B825F7"/>
    <w:rPr>
      <w:rFonts w:ascii="Arial" w:hAnsi="Arial" w:cs="Arial"/>
      <w:sz w:val="20"/>
      <w:szCs w:val="20"/>
    </w:rPr>
  </w:style>
  <w:style w:type="paragraph" w:styleId="EnvelopeAddress">
    <w:name w:val="envelope address"/>
    <w:uiPriority w:val="99"/>
    <w:semiHidden/>
    <w:unhideWhenUsed/>
    <w:rsid w:val="00B825F7"/>
    <w:pPr>
      <w:framePr w:w="7920" w:h="1980" w:hRule="exact" w:hSpace="180" w:wrap="auto" w:hAnchor="page" w:xAlign="center" w:yAlign="bottom"/>
      <w:ind w:left="2880"/>
    </w:pPr>
    <w:rPr>
      <w:rFonts w:eastAsia="Times New Roman" w:cs="Arial"/>
      <w:sz w:val="24"/>
      <w:szCs w:val="24"/>
    </w:rPr>
  </w:style>
  <w:style w:type="paragraph" w:styleId="EnvelopeReturn">
    <w:name w:val="envelope return"/>
    <w:uiPriority w:val="99"/>
    <w:semiHidden/>
    <w:unhideWhenUsed/>
    <w:rsid w:val="00B825F7"/>
    <w:rPr>
      <w:rFonts w:eastAsia="Times New Roman" w:cs="Arial"/>
    </w:rPr>
  </w:style>
  <w:style w:type="character" w:styleId="FollowedHyperlink">
    <w:name w:val="FollowedHyperlink"/>
    <w:uiPriority w:val="99"/>
    <w:semiHidden/>
    <w:unhideWhenUsed/>
    <w:rsid w:val="00B825F7"/>
    <w:rPr>
      <w:color w:val="954F72"/>
      <w:u w:val="single"/>
    </w:rPr>
  </w:style>
  <w:style w:type="paragraph" w:styleId="Footer">
    <w:name w:val="footer"/>
    <w:link w:val="FooterChar"/>
    <w:uiPriority w:val="99"/>
    <w:unhideWhenUsed/>
    <w:rsid w:val="00B825F7"/>
    <w:pPr>
      <w:tabs>
        <w:tab w:val="center" w:pos="4513"/>
        <w:tab w:val="right" w:pos="9026"/>
      </w:tabs>
    </w:pPr>
    <w:rPr>
      <w:rFonts w:cs="Arial"/>
      <w:sz w:val="22"/>
      <w:szCs w:val="22"/>
    </w:rPr>
  </w:style>
  <w:style w:type="character" w:customStyle="1" w:styleId="FooterChar">
    <w:name w:val="Footer Char"/>
    <w:link w:val="Footer"/>
    <w:uiPriority w:val="99"/>
    <w:rsid w:val="00B825F7"/>
    <w:rPr>
      <w:rFonts w:ascii="Arial" w:hAnsi="Arial" w:cs="Arial"/>
    </w:rPr>
  </w:style>
  <w:style w:type="character" w:styleId="FootnoteReference">
    <w:name w:val="footnote reference"/>
    <w:uiPriority w:val="99"/>
    <w:semiHidden/>
    <w:unhideWhenUsed/>
    <w:rsid w:val="00B825F7"/>
    <w:rPr>
      <w:vertAlign w:val="superscript"/>
    </w:rPr>
  </w:style>
  <w:style w:type="paragraph" w:styleId="FootnoteText">
    <w:name w:val="footnote text"/>
    <w:link w:val="FootnoteTextChar"/>
    <w:uiPriority w:val="99"/>
    <w:semiHidden/>
    <w:unhideWhenUsed/>
    <w:rsid w:val="00B825F7"/>
    <w:rPr>
      <w:rFonts w:cs="Arial"/>
    </w:rPr>
  </w:style>
  <w:style w:type="character" w:customStyle="1" w:styleId="FootnoteTextChar">
    <w:name w:val="Footnote Text Char"/>
    <w:link w:val="FootnoteText"/>
    <w:uiPriority w:val="99"/>
    <w:semiHidden/>
    <w:rsid w:val="00B825F7"/>
    <w:rPr>
      <w:rFonts w:ascii="Arial" w:hAnsi="Arial" w:cs="Arial"/>
      <w:sz w:val="20"/>
      <w:szCs w:val="20"/>
    </w:rPr>
  </w:style>
  <w:style w:type="table" w:styleId="GridTable1Light">
    <w:name w:val="Grid Table 1 Light"/>
    <w:uiPriority w:val="46"/>
    <w:rsid w:val="00B825F7"/>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style>
  <w:style w:type="table" w:styleId="GridTable1Light-Accent1">
    <w:name w:val="Grid Table 1 Light Accent 1"/>
    <w:uiPriority w:val="46"/>
    <w:rsid w:val="00B825F7"/>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0" w:type="dxa"/>
        <w:bottom w:w="0" w:type="dxa"/>
        <w:right w:w="0" w:type="dxa"/>
      </w:tblCellMar>
    </w:tblPr>
  </w:style>
  <w:style w:type="table" w:styleId="GridTable1Light-Accent2">
    <w:name w:val="Grid Table 1 Light Accent 2"/>
    <w:uiPriority w:val="46"/>
    <w:rsid w:val="00B825F7"/>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0" w:type="dxa"/>
        <w:bottom w:w="0" w:type="dxa"/>
        <w:right w:w="0" w:type="dxa"/>
      </w:tblCellMar>
    </w:tblPr>
  </w:style>
  <w:style w:type="table" w:styleId="GridTable1Light-Accent3">
    <w:name w:val="Grid Table 1 Light Accent 3"/>
    <w:uiPriority w:val="46"/>
    <w:rsid w:val="00B825F7"/>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0" w:type="dxa"/>
        <w:bottom w:w="0" w:type="dxa"/>
        <w:right w:w="0" w:type="dxa"/>
      </w:tblCellMar>
    </w:tblPr>
  </w:style>
  <w:style w:type="table" w:styleId="GridTable1Light-Accent4">
    <w:name w:val="Grid Table 1 Light Accent 4"/>
    <w:uiPriority w:val="46"/>
    <w:rsid w:val="00B825F7"/>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0" w:type="dxa"/>
        <w:bottom w:w="0" w:type="dxa"/>
        <w:right w:w="0" w:type="dxa"/>
      </w:tblCellMar>
    </w:tblPr>
  </w:style>
  <w:style w:type="table" w:styleId="GridTable1Light-Accent5">
    <w:name w:val="Grid Table 1 Light Accent 5"/>
    <w:uiPriority w:val="46"/>
    <w:rsid w:val="00B825F7"/>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0" w:type="dxa"/>
        <w:bottom w:w="0" w:type="dxa"/>
        <w:right w:w="0" w:type="dxa"/>
      </w:tblCellMar>
    </w:tblPr>
  </w:style>
  <w:style w:type="table" w:styleId="GridTable1Light-Accent6">
    <w:name w:val="Grid Table 1 Light Accent 6"/>
    <w:uiPriority w:val="46"/>
    <w:rsid w:val="00B825F7"/>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0" w:type="dxa"/>
        <w:bottom w:w="0" w:type="dxa"/>
        <w:right w:w="0" w:type="dxa"/>
      </w:tblCellMar>
    </w:tblPr>
  </w:style>
  <w:style w:type="table" w:styleId="GridTable2">
    <w:name w:val="Grid Table 2"/>
    <w:uiPriority w:val="47"/>
    <w:rsid w:val="00B825F7"/>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0" w:type="dxa"/>
        <w:bottom w:w="0" w:type="dxa"/>
        <w:right w:w="0" w:type="dxa"/>
      </w:tblCellMar>
    </w:tblPr>
  </w:style>
  <w:style w:type="table" w:styleId="GridTable2-Accent1">
    <w:name w:val="Grid Table 2 Accent 1"/>
    <w:uiPriority w:val="47"/>
    <w:rsid w:val="00B825F7"/>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0" w:type="dxa"/>
        <w:bottom w:w="0" w:type="dxa"/>
        <w:right w:w="0" w:type="dxa"/>
      </w:tblCellMar>
    </w:tblPr>
  </w:style>
  <w:style w:type="table" w:styleId="GridTable2-Accent2">
    <w:name w:val="Grid Table 2 Accent 2"/>
    <w:uiPriority w:val="47"/>
    <w:rsid w:val="00B825F7"/>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CellMar>
        <w:top w:w="0" w:type="dxa"/>
        <w:left w:w="0" w:type="dxa"/>
        <w:bottom w:w="0" w:type="dxa"/>
        <w:right w:w="0" w:type="dxa"/>
      </w:tblCellMar>
    </w:tblPr>
  </w:style>
  <w:style w:type="table" w:styleId="GridTable2-Accent3">
    <w:name w:val="Grid Table 2 Accent 3"/>
    <w:uiPriority w:val="47"/>
    <w:rsid w:val="00B825F7"/>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style>
  <w:style w:type="table" w:styleId="GridTable2-Accent4">
    <w:name w:val="Grid Table 2 Accent 4"/>
    <w:uiPriority w:val="47"/>
    <w:rsid w:val="00B825F7"/>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0" w:type="dxa"/>
        <w:bottom w:w="0" w:type="dxa"/>
        <w:right w:w="0" w:type="dxa"/>
      </w:tblCellMar>
    </w:tblPr>
  </w:style>
  <w:style w:type="table" w:styleId="GridTable2-Accent5">
    <w:name w:val="Grid Table 2 Accent 5"/>
    <w:uiPriority w:val="47"/>
    <w:rsid w:val="00B825F7"/>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0" w:type="dxa"/>
        <w:bottom w:w="0" w:type="dxa"/>
        <w:right w:w="0" w:type="dxa"/>
      </w:tblCellMar>
    </w:tblPr>
  </w:style>
  <w:style w:type="table" w:styleId="GridTable2-Accent6">
    <w:name w:val="Grid Table 2 Accent 6"/>
    <w:uiPriority w:val="47"/>
    <w:rsid w:val="00B825F7"/>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CellMar>
        <w:top w:w="0" w:type="dxa"/>
        <w:left w:w="0" w:type="dxa"/>
        <w:bottom w:w="0" w:type="dxa"/>
        <w:right w:w="0" w:type="dxa"/>
      </w:tblCellMar>
    </w:tblPr>
  </w:style>
  <w:style w:type="table" w:styleId="GridTable3">
    <w:name w:val="Grid Table 3"/>
    <w:uiPriority w:val="48"/>
    <w:rsid w:val="00B825F7"/>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3-Accent1">
    <w:name w:val="Grid Table 3 Accent 1"/>
    <w:uiPriority w:val="48"/>
    <w:rsid w:val="00B825F7"/>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3-Accent2">
    <w:name w:val="Grid Table 3 Accent 2"/>
    <w:uiPriority w:val="48"/>
    <w:rsid w:val="00B825F7"/>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3-Accent3">
    <w:name w:val="Grid Table 3 Accent 3"/>
    <w:uiPriority w:val="48"/>
    <w:rsid w:val="00B825F7"/>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3-Accent4">
    <w:name w:val="Grid Table 3 Accent 4"/>
    <w:uiPriority w:val="48"/>
    <w:rsid w:val="00B825F7"/>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3-Accent5">
    <w:name w:val="Grid Table 3 Accent 5"/>
    <w:uiPriority w:val="48"/>
    <w:rsid w:val="00B825F7"/>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3-Accent6">
    <w:name w:val="Grid Table 3 Accent 6"/>
    <w:uiPriority w:val="48"/>
    <w:rsid w:val="00B825F7"/>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4">
    <w:name w:val="Grid Table 4"/>
    <w:uiPriority w:val="49"/>
    <w:rsid w:val="00B825F7"/>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4-Accent1">
    <w:name w:val="Grid Table 4 Accent 1"/>
    <w:uiPriority w:val="49"/>
    <w:rsid w:val="00B825F7"/>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4-Accent2">
    <w:name w:val="Grid Table 4 Accent 2"/>
    <w:uiPriority w:val="49"/>
    <w:rsid w:val="00B825F7"/>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4-Accent3">
    <w:name w:val="Grid Table 4 Accent 3"/>
    <w:uiPriority w:val="49"/>
    <w:rsid w:val="00B825F7"/>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4-Accent4">
    <w:name w:val="Grid Table 4 Accent 4"/>
    <w:uiPriority w:val="49"/>
    <w:rsid w:val="00B825F7"/>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4-Accent5">
    <w:name w:val="Grid Table 4 Accent 5"/>
    <w:uiPriority w:val="49"/>
    <w:rsid w:val="00B825F7"/>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4-Accent6">
    <w:name w:val="Grid Table 4 Accent 6"/>
    <w:uiPriority w:val="49"/>
    <w:rsid w:val="00B825F7"/>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5Dark">
    <w:name w:val="Grid Table 5 Dark"/>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CCCCCC"/>
    </w:tcPr>
  </w:style>
  <w:style w:type="table" w:styleId="GridTable5Dark-Accent1">
    <w:name w:val="Grid Table 5 Dark Accent 1"/>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EEAF6"/>
    </w:tcPr>
  </w:style>
  <w:style w:type="table" w:styleId="GridTable5Dark-Accent2">
    <w:name w:val="Grid Table 5 Dark Accent 2"/>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BE4D5"/>
    </w:tcPr>
  </w:style>
  <w:style w:type="table" w:styleId="GridTable5Dark-Accent3">
    <w:name w:val="Grid Table 5 Dark Accent 3"/>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table" w:styleId="GridTable5Dark-Accent4">
    <w:name w:val="Grid Table 5 Dark Accent 4"/>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FF2CC"/>
    </w:tcPr>
  </w:style>
  <w:style w:type="table" w:styleId="GridTable5Dark-Accent5">
    <w:name w:val="Grid Table 5 Dark Accent 5"/>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9E2F3"/>
    </w:tcPr>
  </w:style>
  <w:style w:type="table" w:styleId="GridTable5Dark-Accent6">
    <w:name w:val="Grid Table 5 Dark Accent 6"/>
    <w:uiPriority w:val="50"/>
    <w:rsid w:val="00B825F7"/>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2EFD9"/>
    </w:tcPr>
  </w:style>
  <w:style w:type="table" w:styleId="GridTable6Colorful">
    <w:name w:val="Grid Table 6 Colorful"/>
    <w:uiPriority w:val="51"/>
    <w:rsid w:val="00B825F7"/>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6Colorful-Accent1">
    <w:name w:val="Grid Table 6 Colorful Accent 1"/>
    <w:uiPriority w:val="51"/>
    <w:rsid w:val="00B825F7"/>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6Colorful-Accent2">
    <w:name w:val="Grid Table 6 Colorful Accent 2"/>
    <w:uiPriority w:val="51"/>
    <w:rsid w:val="00B825F7"/>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6Colorful-Accent3">
    <w:name w:val="Grid Table 6 Colorful Accent 3"/>
    <w:uiPriority w:val="51"/>
    <w:rsid w:val="00B825F7"/>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6Colorful-Accent4">
    <w:name w:val="Grid Table 6 Colorful Accent 4"/>
    <w:uiPriority w:val="51"/>
    <w:rsid w:val="00B825F7"/>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6Colorful-Accent5">
    <w:name w:val="Grid Table 6 Colorful Accent 5"/>
    <w:uiPriority w:val="51"/>
    <w:rsid w:val="00B825F7"/>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6Colorful-Accent6">
    <w:name w:val="Grid Table 6 Colorful Accent 6"/>
    <w:uiPriority w:val="51"/>
    <w:rsid w:val="00B825F7"/>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7Colorful">
    <w:name w:val="Grid Table 7 Colorful"/>
    <w:uiPriority w:val="52"/>
    <w:rsid w:val="00B825F7"/>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7Colorful-Accent1">
    <w:name w:val="Grid Table 7 Colorful Accent 1"/>
    <w:uiPriority w:val="52"/>
    <w:rsid w:val="00B825F7"/>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7Colorful-Accent2">
    <w:name w:val="Grid Table 7 Colorful Accent 2"/>
    <w:uiPriority w:val="52"/>
    <w:rsid w:val="00B825F7"/>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7Colorful-Accent3">
    <w:name w:val="Grid Table 7 Colorful Accent 3"/>
    <w:uiPriority w:val="52"/>
    <w:rsid w:val="00B825F7"/>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7Colorful-Accent4">
    <w:name w:val="Grid Table 7 Colorful Accent 4"/>
    <w:uiPriority w:val="52"/>
    <w:rsid w:val="00B825F7"/>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7Colorful-Accent5">
    <w:name w:val="Grid Table 7 Colorful Accent 5"/>
    <w:uiPriority w:val="52"/>
    <w:rsid w:val="00B825F7"/>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7Colorful-Accent6">
    <w:name w:val="Grid Table 7 Colorful Accent 6"/>
    <w:uiPriority w:val="52"/>
    <w:rsid w:val="00B825F7"/>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paragraph" w:styleId="Header">
    <w:name w:val="header"/>
    <w:link w:val="HeaderChar"/>
    <w:uiPriority w:val="99"/>
    <w:unhideWhenUsed/>
    <w:rsid w:val="00B825F7"/>
    <w:pPr>
      <w:tabs>
        <w:tab w:val="center" w:pos="4513"/>
        <w:tab w:val="right" w:pos="9026"/>
      </w:tabs>
    </w:pPr>
    <w:rPr>
      <w:rFonts w:cs="Arial"/>
      <w:sz w:val="22"/>
      <w:szCs w:val="22"/>
    </w:rPr>
  </w:style>
  <w:style w:type="character" w:customStyle="1" w:styleId="HeaderChar">
    <w:name w:val="Header Char"/>
    <w:link w:val="Header"/>
    <w:uiPriority w:val="99"/>
    <w:rsid w:val="00B825F7"/>
    <w:rPr>
      <w:rFonts w:ascii="Arial" w:hAnsi="Arial" w:cs="Arial"/>
    </w:rPr>
  </w:style>
  <w:style w:type="character" w:styleId="HTMLAcronym">
    <w:name w:val="HTML Acronym"/>
    <w:uiPriority w:val="99"/>
    <w:semiHidden/>
    <w:unhideWhenUsed/>
    <w:rsid w:val="00B825F7"/>
  </w:style>
  <w:style w:type="paragraph" w:styleId="HTMLAddress">
    <w:name w:val="HTML Address"/>
    <w:link w:val="HTMLAddressChar"/>
    <w:uiPriority w:val="99"/>
    <w:semiHidden/>
    <w:unhideWhenUsed/>
    <w:rsid w:val="00B825F7"/>
    <w:rPr>
      <w:rFonts w:cs="Arial"/>
      <w:i/>
      <w:iCs/>
      <w:sz w:val="22"/>
      <w:szCs w:val="22"/>
    </w:rPr>
  </w:style>
  <w:style w:type="character" w:customStyle="1" w:styleId="HTMLAddressChar">
    <w:name w:val="HTML Address Char"/>
    <w:link w:val="HTMLAddress"/>
    <w:uiPriority w:val="99"/>
    <w:semiHidden/>
    <w:rsid w:val="00B825F7"/>
    <w:rPr>
      <w:rFonts w:ascii="Arial" w:hAnsi="Arial" w:cs="Arial"/>
      <w:i/>
      <w:iCs/>
    </w:rPr>
  </w:style>
  <w:style w:type="character" w:styleId="HTMLCite">
    <w:name w:val="HTML Cite"/>
    <w:uiPriority w:val="99"/>
    <w:semiHidden/>
    <w:unhideWhenUsed/>
    <w:rsid w:val="00B825F7"/>
    <w:rPr>
      <w:i/>
      <w:iCs/>
    </w:rPr>
  </w:style>
  <w:style w:type="character" w:styleId="HTMLCode">
    <w:name w:val="HTML Code"/>
    <w:uiPriority w:val="99"/>
    <w:semiHidden/>
    <w:unhideWhenUsed/>
    <w:rsid w:val="00B825F7"/>
    <w:rPr>
      <w:sz w:val="20"/>
      <w:szCs w:val="20"/>
    </w:rPr>
  </w:style>
  <w:style w:type="character" w:styleId="HTMLDefinition">
    <w:name w:val="HTML Definition"/>
    <w:uiPriority w:val="99"/>
    <w:semiHidden/>
    <w:unhideWhenUsed/>
    <w:rsid w:val="00B825F7"/>
    <w:rPr>
      <w:i/>
      <w:iCs/>
    </w:rPr>
  </w:style>
  <w:style w:type="character" w:styleId="HTMLKeyboard">
    <w:name w:val="HTML Keyboard"/>
    <w:uiPriority w:val="99"/>
    <w:semiHidden/>
    <w:unhideWhenUsed/>
    <w:rsid w:val="00B825F7"/>
    <w:rPr>
      <w:sz w:val="20"/>
      <w:szCs w:val="20"/>
    </w:rPr>
  </w:style>
  <w:style w:type="paragraph" w:styleId="HTMLPreformatted">
    <w:name w:val="HTML Preformatted"/>
    <w:link w:val="HTMLPreformattedChar"/>
    <w:uiPriority w:val="99"/>
    <w:semiHidden/>
    <w:unhideWhenUsed/>
    <w:rsid w:val="00B825F7"/>
    <w:rPr>
      <w:rFonts w:cs="Arial"/>
    </w:rPr>
  </w:style>
  <w:style w:type="character" w:customStyle="1" w:styleId="HTMLPreformattedChar">
    <w:name w:val="HTML Preformatted Char"/>
    <w:link w:val="HTMLPreformatted"/>
    <w:uiPriority w:val="99"/>
    <w:semiHidden/>
    <w:rsid w:val="00B825F7"/>
    <w:rPr>
      <w:rFonts w:ascii="Arial" w:hAnsi="Arial" w:cs="Arial"/>
      <w:sz w:val="20"/>
      <w:szCs w:val="20"/>
    </w:rPr>
  </w:style>
  <w:style w:type="character" w:styleId="HTMLSample">
    <w:name w:val="HTML Sample"/>
    <w:uiPriority w:val="99"/>
    <w:semiHidden/>
    <w:unhideWhenUsed/>
    <w:rsid w:val="00B825F7"/>
  </w:style>
  <w:style w:type="character" w:styleId="HTMLTypewriter">
    <w:name w:val="HTML Typewriter"/>
    <w:uiPriority w:val="99"/>
    <w:semiHidden/>
    <w:unhideWhenUsed/>
    <w:rsid w:val="00B825F7"/>
    <w:rPr>
      <w:sz w:val="20"/>
      <w:szCs w:val="20"/>
    </w:rPr>
  </w:style>
  <w:style w:type="character" w:styleId="HTMLVariable">
    <w:name w:val="HTML Variable"/>
    <w:uiPriority w:val="99"/>
    <w:semiHidden/>
    <w:unhideWhenUsed/>
    <w:rsid w:val="00B825F7"/>
    <w:rPr>
      <w:i/>
      <w:iCs/>
    </w:rPr>
  </w:style>
  <w:style w:type="character" w:styleId="Hyperlink">
    <w:name w:val="Hyperlink"/>
    <w:uiPriority w:val="99"/>
    <w:unhideWhenUsed/>
    <w:rsid w:val="00B825F7"/>
    <w:rPr>
      <w:color w:val="0563C1"/>
      <w:u w:val="single"/>
    </w:rPr>
  </w:style>
  <w:style w:type="paragraph" w:styleId="Index1">
    <w:name w:val="index 1"/>
    <w:next w:val="Normal"/>
    <w:autoRedefine/>
    <w:uiPriority w:val="99"/>
    <w:semiHidden/>
    <w:unhideWhenUsed/>
    <w:rsid w:val="00B825F7"/>
    <w:pPr>
      <w:ind w:left="220" w:hanging="220"/>
    </w:pPr>
    <w:rPr>
      <w:rFonts w:cs="Arial"/>
      <w:sz w:val="22"/>
      <w:szCs w:val="22"/>
    </w:rPr>
  </w:style>
  <w:style w:type="paragraph" w:styleId="Index2">
    <w:name w:val="index 2"/>
    <w:next w:val="Normal"/>
    <w:autoRedefine/>
    <w:uiPriority w:val="99"/>
    <w:semiHidden/>
    <w:unhideWhenUsed/>
    <w:rsid w:val="00B825F7"/>
    <w:pPr>
      <w:ind w:left="440" w:hanging="220"/>
    </w:pPr>
    <w:rPr>
      <w:rFonts w:cs="Arial"/>
      <w:sz w:val="22"/>
      <w:szCs w:val="22"/>
    </w:rPr>
  </w:style>
  <w:style w:type="paragraph" w:styleId="Index3">
    <w:name w:val="index 3"/>
    <w:next w:val="Normal"/>
    <w:autoRedefine/>
    <w:uiPriority w:val="99"/>
    <w:semiHidden/>
    <w:unhideWhenUsed/>
    <w:rsid w:val="00B825F7"/>
    <w:pPr>
      <w:ind w:left="660" w:hanging="220"/>
    </w:pPr>
    <w:rPr>
      <w:rFonts w:cs="Arial"/>
      <w:sz w:val="22"/>
      <w:szCs w:val="22"/>
    </w:rPr>
  </w:style>
  <w:style w:type="paragraph" w:styleId="Index4">
    <w:name w:val="index 4"/>
    <w:next w:val="Normal"/>
    <w:autoRedefine/>
    <w:uiPriority w:val="99"/>
    <w:semiHidden/>
    <w:unhideWhenUsed/>
    <w:rsid w:val="00B825F7"/>
    <w:pPr>
      <w:ind w:left="880" w:hanging="220"/>
    </w:pPr>
    <w:rPr>
      <w:rFonts w:cs="Arial"/>
      <w:sz w:val="22"/>
      <w:szCs w:val="22"/>
    </w:rPr>
  </w:style>
  <w:style w:type="paragraph" w:styleId="Index5">
    <w:name w:val="index 5"/>
    <w:next w:val="Normal"/>
    <w:autoRedefine/>
    <w:uiPriority w:val="99"/>
    <w:semiHidden/>
    <w:unhideWhenUsed/>
    <w:rsid w:val="00B825F7"/>
    <w:pPr>
      <w:ind w:left="1100" w:hanging="220"/>
    </w:pPr>
    <w:rPr>
      <w:rFonts w:cs="Arial"/>
      <w:sz w:val="22"/>
      <w:szCs w:val="22"/>
    </w:rPr>
  </w:style>
  <w:style w:type="paragraph" w:styleId="Index6">
    <w:name w:val="index 6"/>
    <w:next w:val="Normal"/>
    <w:autoRedefine/>
    <w:uiPriority w:val="99"/>
    <w:semiHidden/>
    <w:unhideWhenUsed/>
    <w:rsid w:val="00B825F7"/>
    <w:pPr>
      <w:ind w:left="1320" w:hanging="220"/>
    </w:pPr>
    <w:rPr>
      <w:rFonts w:cs="Arial"/>
      <w:sz w:val="22"/>
      <w:szCs w:val="22"/>
    </w:rPr>
  </w:style>
  <w:style w:type="paragraph" w:styleId="Index7">
    <w:name w:val="index 7"/>
    <w:next w:val="Normal"/>
    <w:autoRedefine/>
    <w:uiPriority w:val="99"/>
    <w:semiHidden/>
    <w:unhideWhenUsed/>
    <w:rsid w:val="00B825F7"/>
    <w:pPr>
      <w:ind w:left="1540" w:hanging="220"/>
    </w:pPr>
    <w:rPr>
      <w:rFonts w:cs="Arial"/>
      <w:sz w:val="22"/>
      <w:szCs w:val="22"/>
    </w:rPr>
  </w:style>
  <w:style w:type="paragraph" w:styleId="Index8">
    <w:name w:val="index 8"/>
    <w:next w:val="Normal"/>
    <w:autoRedefine/>
    <w:uiPriority w:val="99"/>
    <w:semiHidden/>
    <w:unhideWhenUsed/>
    <w:rsid w:val="00B825F7"/>
    <w:pPr>
      <w:ind w:left="1760" w:hanging="220"/>
    </w:pPr>
    <w:rPr>
      <w:rFonts w:cs="Arial"/>
      <w:sz w:val="22"/>
      <w:szCs w:val="22"/>
    </w:rPr>
  </w:style>
  <w:style w:type="paragraph" w:styleId="Index9">
    <w:name w:val="index 9"/>
    <w:next w:val="Normal"/>
    <w:autoRedefine/>
    <w:uiPriority w:val="99"/>
    <w:semiHidden/>
    <w:unhideWhenUsed/>
    <w:rsid w:val="00B825F7"/>
    <w:pPr>
      <w:ind w:left="1980" w:hanging="220"/>
    </w:pPr>
    <w:rPr>
      <w:rFonts w:cs="Arial"/>
      <w:sz w:val="22"/>
      <w:szCs w:val="22"/>
    </w:rPr>
  </w:style>
  <w:style w:type="paragraph" w:styleId="IndexHeading">
    <w:name w:val="index heading"/>
    <w:next w:val="Index1"/>
    <w:uiPriority w:val="99"/>
    <w:semiHidden/>
    <w:unhideWhenUsed/>
    <w:rsid w:val="00B825F7"/>
    <w:rPr>
      <w:rFonts w:eastAsia="Times New Roman" w:cs="Arial"/>
      <w:b/>
      <w:bCs/>
      <w:sz w:val="22"/>
      <w:szCs w:val="22"/>
    </w:rPr>
  </w:style>
  <w:style w:type="character" w:styleId="IntenseEmphasis">
    <w:name w:val="Intense Emphasis"/>
    <w:uiPriority w:val="21"/>
    <w:qFormat/>
    <w:rsid w:val="00B825F7"/>
    <w:rPr>
      <w:i/>
      <w:iCs/>
      <w:color w:val="5B9BD5"/>
    </w:rPr>
  </w:style>
  <w:style w:type="paragraph" w:styleId="IntenseQuote">
    <w:name w:val="Intense Quote"/>
    <w:next w:val="Normal"/>
    <w:link w:val="IntenseQuoteChar"/>
    <w:uiPriority w:val="30"/>
    <w:qFormat/>
    <w:rsid w:val="00451CC4"/>
    <w:pPr>
      <w:pBdr>
        <w:top w:val="single" w:sz="4" w:space="10" w:color="5B9BD5"/>
        <w:bottom w:val="single" w:sz="4" w:space="10" w:color="5B9BD5"/>
      </w:pBdr>
      <w:spacing w:before="360" w:after="360"/>
      <w:ind w:left="864" w:right="864"/>
      <w:jc w:val="center"/>
    </w:pPr>
    <w:rPr>
      <w:rFonts w:cs="Arial"/>
      <w:i/>
      <w:iCs/>
      <w:color w:val="006DA5"/>
      <w:sz w:val="22"/>
      <w:szCs w:val="22"/>
    </w:rPr>
  </w:style>
  <w:style w:type="character" w:customStyle="1" w:styleId="IntenseQuoteChar">
    <w:name w:val="Intense Quote Char"/>
    <w:link w:val="IntenseQuote"/>
    <w:uiPriority w:val="30"/>
    <w:rsid w:val="00451CC4"/>
    <w:rPr>
      <w:rFonts w:ascii="Arial" w:hAnsi="Arial" w:cs="Arial"/>
      <w:i/>
      <w:iCs/>
      <w:color w:val="006DA5"/>
    </w:rPr>
  </w:style>
  <w:style w:type="character" w:styleId="IntenseReference">
    <w:name w:val="Intense Reference"/>
    <w:uiPriority w:val="32"/>
    <w:qFormat/>
    <w:rsid w:val="00B825F7"/>
    <w:rPr>
      <w:b/>
      <w:bCs/>
      <w:smallCaps/>
      <w:color w:val="5B9BD5"/>
      <w:spacing w:val="5"/>
    </w:rPr>
  </w:style>
  <w:style w:type="table" w:styleId="LightGrid">
    <w:name w:val="Light Grid"/>
    <w:uiPriority w:val="62"/>
    <w:semiHidden/>
    <w:unhideWhenUsed/>
    <w:rsid w:val="00B825F7"/>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styleId="LightGrid-Accent1">
    <w:name w:val="Light Grid Accent 1"/>
    <w:uiPriority w:val="62"/>
    <w:semiHidden/>
    <w:unhideWhenUsed/>
    <w:rsid w:val="00B825F7"/>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style>
  <w:style w:type="table" w:styleId="LightGrid-Accent2">
    <w:name w:val="Light Grid Accent 2"/>
    <w:uiPriority w:val="62"/>
    <w:semiHidden/>
    <w:unhideWhenUsed/>
    <w:rsid w:val="00B825F7"/>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style>
  <w:style w:type="table" w:styleId="LightGrid-Accent3">
    <w:name w:val="Light Grid Accent 3"/>
    <w:uiPriority w:val="62"/>
    <w:semiHidden/>
    <w:unhideWhenUsed/>
    <w:rsid w:val="00B825F7"/>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style>
  <w:style w:type="table" w:styleId="LightGrid-Accent4">
    <w:name w:val="Light Grid Accent 4"/>
    <w:uiPriority w:val="62"/>
    <w:semiHidden/>
    <w:unhideWhenUsed/>
    <w:rsid w:val="00B825F7"/>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style>
  <w:style w:type="table" w:styleId="LightGrid-Accent5">
    <w:name w:val="Light Grid Accent 5"/>
    <w:uiPriority w:val="62"/>
    <w:semiHidden/>
    <w:unhideWhenUsed/>
    <w:rsid w:val="00B825F7"/>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style>
  <w:style w:type="table" w:styleId="LightGrid-Accent6">
    <w:name w:val="Light Grid Accent 6"/>
    <w:uiPriority w:val="62"/>
    <w:semiHidden/>
    <w:unhideWhenUsed/>
    <w:rsid w:val="00B825F7"/>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style>
  <w:style w:type="table" w:styleId="LightList">
    <w:name w:val="Light List"/>
    <w:uiPriority w:val="61"/>
    <w:semiHidden/>
    <w:unhideWhenUsed/>
    <w:rsid w:val="00B825F7"/>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LightList-Accent1">
    <w:name w:val="Light List Accent 1"/>
    <w:uiPriority w:val="61"/>
    <w:semiHidden/>
    <w:unhideWhenUsed/>
    <w:rsid w:val="00B825F7"/>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LightList-Accent2">
    <w:name w:val="Light List Accent 2"/>
    <w:uiPriority w:val="61"/>
    <w:semiHidden/>
    <w:unhideWhenUsed/>
    <w:rsid w:val="00B825F7"/>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LightList-Accent3">
    <w:name w:val="Light List Accent 3"/>
    <w:uiPriority w:val="61"/>
    <w:semiHidden/>
    <w:unhideWhenUsed/>
    <w:rsid w:val="00B825F7"/>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LightList-Accent4">
    <w:name w:val="Light List Accent 4"/>
    <w:uiPriority w:val="61"/>
    <w:semiHidden/>
    <w:unhideWhenUsed/>
    <w:rsid w:val="00B825F7"/>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LightList-Accent5">
    <w:name w:val="Light List Accent 5"/>
    <w:uiPriority w:val="61"/>
    <w:semiHidden/>
    <w:unhideWhenUsed/>
    <w:rsid w:val="00B825F7"/>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styleId="LightList-Accent6">
    <w:name w:val="Light List Accent 6"/>
    <w:uiPriority w:val="61"/>
    <w:semiHidden/>
    <w:unhideWhenUsed/>
    <w:rsid w:val="00B825F7"/>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LightShading">
    <w:name w:val="Light Shading"/>
    <w:uiPriority w:val="60"/>
    <w:semiHidden/>
    <w:unhideWhenUsed/>
    <w:rsid w:val="00B825F7"/>
    <w:rPr>
      <w:color w:val="000000"/>
      <w:sz w:val="22"/>
      <w:szCs w:val="22"/>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styleId="LightShading-Accent1">
    <w:name w:val="Light Shading Accent 1"/>
    <w:uiPriority w:val="60"/>
    <w:semiHidden/>
    <w:unhideWhenUsed/>
    <w:rsid w:val="00B825F7"/>
    <w:rPr>
      <w:color w:val="2E74B5"/>
      <w:sz w:val="22"/>
      <w:szCs w:val="22"/>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LightShading-Accent2">
    <w:name w:val="Light Shading Accent 2"/>
    <w:uiPriority w:val="60"/>
    <w:semiHidden/>
    <w:unhideWhenUsed/>
    <w:rsid w:val="00B825F7"/>
    <w:rPr>
      <w:color w:val="C45911"/>
      <w:sz w:val="22"/>
      <w:szCs w:val="22"/>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LightShading-Accent3">
    <w:name w:val="Light Shading Accent 3"/>
    <w:uiPriority w:val="60"/>
    <w:semiHidden/>
    <w:unhideWhenUsed/>
    <w:rsid w:val="00B825F7"/>
    <w:rPr>
      <w:color w:val="7B7B7B"/>
      <w:sz w:val="22"/>
      <w:szCs w:val="22"/>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LightShading-Accent4">
    <w:name w:val="Light Shading Accent 4"/>
    <w:uiPriority w:val="60"/>
    <w:semiHidden/>
    <w:unhideWhenUsed/>
    <w:rsid w:val="00B825F7"/>
    <w:rPr>
      <w:color w:val="BF8F00"/>
      <w:sz w:val="22"/>
      <w:szCs w:val="22"/>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LightShading-Accent5">
    <w:name w:val="Light Shading Accent 5"/>
    <w:uiPriority w:val="60"/>
    <w:semiHidden/>
    <w:unhideWhenUsed/>
    <w:rsid w:val="00B825F7"/>
    <w:rPr>
      <w:color w:val="2F5496"/>
      <w:sz w:val="22"/>
      <w:szCs w:val="22"/>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styleId="LightShading-Accent6">
    <w:name w:val="Light Shading Accent 6"/>
    <w:uiPriority w:val="60"/>
    <w:semiHidden/>
    <w:unhideWhenUsed/>
    <w:rsid w:val="00B825F7"/>
    <w:rPr>
      <w:color w:val="538135"/>
      <w:sz w:val="22"/>
      <w:szCs w:val="22"/>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character" w:styleId="LineNumber">
    <w:name w:val="line number"/>
    <w:uiPriority w:val="99"/>
    <w:semiHidden/>
    <w:unhideWhenUsed/>
    <w:rsid w:val="00B825F7"/>
  </w:style>
  <w:style w:type="paragraph" w:styleId="List">
    <w:name w:val="List"/>
    <w:uiPriority w:val="99"/>
    <w:semiHidden/>
    <w:unhideWhenUsed/>
    <w:rsid w:val="00B825F7"/>
    <w:pPr>
      <w:ind w:left="283" w:hanging="283"/>
      <w:contextualSpacing/>
    </w:pPr>
    <w:rPr>
      <w:rFonts w:cs="Arial"/>
      <w:sz w:val="22"/>
      <w:szCs w:val="22"/>
    </w:rPr>
  </w:style>
  <w:style w:type="paragraph" w:styleId="List2">
    <w:name w:val="List 2"/>
    <w:uiPriority w:val="99"/>
    <w:semiHidden/>
    <w:unhideWhenUsed/>
    <w:rsid w:val="00B825F7"/>
    <w:pPr>
      <w:ind w:left="566" w:hanging="283"/>
      <w:contextualSpacing/>
    </w:pPr>
    <w:rPr>
      <w:rFonts w:cs="Arial"/>
      <w:sz w:val="22"/>
      <w:szCs w:val="22"/>
    </w:rPr>
  </w:style>
  <w:style w:type="paragraph" w:styleId="List3">
    <w:name w:val="List 3"/>
    <w:uiPriority w:val="99"/>
    <w:semiHidden/>
    <w:unhideWhenUsed/>
    <w:rsid w:val="00B825F7"/>
    <w:pPr>
      <w:ind w:left="849" w:hanging="283"/>
      <w:contextualSpacing/>
    </w:pPr>
    <w:rPr>
      <w:rFonts w:cs="Arial"/>
      <w:sz w:val="22"/>
      <w:szCs w:val="22"/>
    </w:rPr>
  </w:style>
  <w:style w:type="paragraph" w:styleId="List4">
    <w:name w:val="List 4"/>
    <w:uiPriority w:val="99"/>
    <w:semiHidden/>
    <w:unhideWhenUsed/>
    <w:rsid w:val="00B825F7"/>
    <w:pPr>
      <w:ind w:left="1132" w:hanging="283"/>
      <w:contextualSpacing/>
    </w:pPr>
    <w:rPr>
      <w:rFonts w:cs="Arial"/>
      <w:sz w:val="22"/>
      <w:szCs w:val="22"/>
    </w:rPr>
  </w:style>
  <w:style w:type="paragraph" w:styleId="List5">
    <w:name w:val="List 5"/>
    <w:uiPriority w:val="99"/>
    <w:semiHidden/>
    <w:unhideWhenUsed/>
    <w:rsid w:val="00B825F7"/>
    <w:pPr>
      <w:ind w:left="1415" w:hanging="283"/>
      <w:contextualSpacing/>
    </w:pPr>
    <w:rPr>
      <w:rFonts w:cs="Arial"/>
      <w:sz w:val="22"/>
      <w:szCs w:val="22"/>
    </w:rPr>
  </w:style>
  <w:style w:type="paragraph" w:styleId="ListBullet">
    <w:name w:val="List Bullet"/>
    <w:uiPriority w:val="99"/>
    <w:semiHidden/>
    <w:unhideWhenUsed/>
    <w:rsid w:val="00B825F7"/>
    <w:pPr>
      <w:numPr>
        <w:numId w:val="4"/>
      </w:numPr>
      <w:contextualSpacing/>
    </w:pPr>
    <w:rPr>
      <w:rFonts w:cs="Arial"/>
      <w:sz w:val="22"/>
      <w:szCs w:val="22"/>
    </w:rPr>
  </w:style>
  <w:style w:type="paragraph" w:styleId="ListBullet2">
    <w:name w:val="List Bullet 2"/>
    <w:uiPriority w:val="99"/>
    <w:semiHidden/>
    <w:unhideWhenUsed/>
    <w:rsid w:val="00B825F7"/>
    <w:pPr>
      <w:numPr>
        <w:numId w:val="5"/>
      </w:numPr>
      <w:contextualSpacing/>
    </w:pPr>
    <w:rPr>
      <w:rFonts w:cs="Arial"/>
      <w:sz w:val="22"/>
      <w:szCs w:val="22"/>
    </w:rPr>
  </w:style>
  <w:style w:type="paragraph" w:styleId="ListBullet3">
    <w:name w:val="List Bullet 3"/>
    <w:uiPriority w:val="99"/>
    <w:semiHidden/>
    <w:unhideWhenUsed/>
    <w:rsid w:val="00B825F7"/>
    <w:pPr>
      <w:numPr>
        <w:numId w:val="6"/>
      </w:numPr>
      <w:contextualSpacing/>
    </w:pPr>
    <w:rPr>
      <w:rFonts w:cs="Arial"/>
      <w:sz w:val="22"/>
      <w:szCs w:val="22"/>
    </w:rPr>
  </w:style>
  <w:style w:type="paragraph" w:styleId="ListBullet4">
    <w:name w:val="List Bullet 4"/>
    <w:uiPriority w:val="99"/>
    <w:semiHidden/>
    <w:unhideWhenUsed/>
    <w:rsid w:val="00B825F7"/>
    <w:pPr>
      <w:numPr>
        <w:numId w:val="7"/>
      </w:numPr>
      <w:contextualSpacing/>
    </w:pPr>
    <w:rPr>
      <w:rFonts w:cs="Arial"/>
      <w:sz w:val="22"/>
      <w:szCs w:val="22"/>
    </w:rPr>
  </w:style>
  <w:style w:type="paragraph" w:styleId="ListBullet5">
    <w:name w:val="List Bullet 5"/>
    <w:uiPriority w:val="99"/>
    <w:semiHidden/>
    <w:unhideWhenUsed/>
    <w:rsid w:val="00B825F7"/>
    <w:pPr>
      <w:numPr>
        <w:numId w:val="8"/>
      </w:numPr>
      <w:contextualSpacing/>
    </w:pPr>
    <w:rPr>
      <w:rFonts w:cs="Arial"/>
      <w:sz w:val="22"/>
      <w:szCs w:val="22"/>
    </w:rPr>
  </w:style>
  <w:style w:type="paragraph" w:styleId="ListContinue">
    <w:name w:val="List Continue"/>
    <w:uiPriority w:val="99"/>
    <w:semiHidden/>
    <w:unhideWhenUsed/>
    <w:rsid w:val="00B825F7"/>
    <w:pPr>
      <w:spacing w:after="120"/>
      <w:ind w:left="283"/>
      <w:contextualSpacing/>
    </w:pPr>
    <w:rPr>
      <w:rFonts w:cs="Arial"/>
      <w:sz w:val="22"/>
      <w:szCs w:val="22"/>
    </w:rPr>
  </w:style>
  <w:style w:type="paragraph" w:styleId="ListContinue2">
    <w:name w:val="List Continue 2"/>
    <w:uiPriority w:val="99"/>
    <w:semiHidden/>
    <w:unhideWhenUsed/>
    <w:rsid w:val="00B825F7"/>
    <w:pPr>
      <w:spacing w:after="120"/>
      <w:ind w:left="566"/>
      <w:contextualSpacing/>
    </w:pPr>
    <w:rPr>
      <w:rFonts w:cs="Arial"/>
      <w:sz w:val="22"/>
      <w:szCs w:val="22"/>
    </w:rPr>
  </w:style>
  <w:style w:type="paragraph" w:styleId="ListContinue3">
    <w:name w:val="List Continue 3"/>
    <w:uiPriority w:val="99"/>
    <w:semiHidden/>
    <w:unhideWhenUsed/>
    <w:rsid w:val="00B825F7"/>
    <w:pPr>
      <w:spacing w:after="120"/>
      <w:ind w:left="849"/>
      <w:contextualSpacing/>
    </w:pPr>
    <w:rPr>
      <w:rFonts w:cs="Arial"/>
      <w:sz w:val="22"/>
      <w:szCs w:val="22"/>
    </w:rPr>
  </w:style>
  <w:style w:type="paragraph" w:styleId="ListContinue4">
    <w:name w:val="List Continue 4"/>
    <w:uiPriority w:val="99"/>
    <w:semiHidden/>
    <w:unhideWhenUsed/>
    <w:rsid w:val="00B825F7"/>
    <w:pPr>
      <w:spacing w:after="120"/>
      <w:ind w:left="1132"/>
      <w:contextualSpacing/>
    </w:pPr>
    <w:rPr>
      <w:rFonts w:cs="Arial"/>
      <w:sz w:val="22"/>
      <w:szCs w:val="22"/>
    </w:rPr>
  </w:style>
  <w:style w:type="paragraph" w:styleId="ListContinue5">
    <w:name w:val="List Continue 5"/>
    <w:uiPriority w:val="99"/>
    <w:semiHidden/>
    <w:unhideWhenUsed/>
    <w:rsid w:val="00B825F7"/>
    <w:pPr>
      <w:spacing w:after="120"/>
      <w:ind w:left="1415"/>
      <w:contextualSpacing/>
    </w:pPr>
    <w:rPr>
      <w:rFonts w:cs="Arial"/>
      <w:sz w:val="22"/>
      <w:szCs w:val="22"/>
    </w:rPr>
  </w:style>
  <w:style w:type="paragraph" w:styleId="ListNumber">
    <w:name w:val="List Number"/>
    <w:uiPriority w:val="99"/>
    <w:semiHidden/>
    <w:unhideWhenUsed/>
    <w:rsid w:val="00B825F7"/>
    <w:pPr>
      <w:numPr>
        <w:numId w:val="9"/>
      </w:numPr>
      <w:contextualSpacing/>
    </w:pPr>
    <w:rPr>
      <w:rFonts w:cs="Arial"/>
      <w:sz w:val="22"/>
      <w:szCs w:val="22"/>
    </w:rPr>
  </w:style>
  <w:style w:type="paragraph" w:styleId="ListNumber2">
    <w:name w:val="List Number 2"/>
    <w:uiPriority w:val="99"/>
    <w:semiHidden/>
    <w:unhideWhenUsed/>
    <w:rsid w:val="00B825F7"/>
    <w:pPr>
      <w:numPr>
        <w:numId w:val="10"/>
      </w:numPr>
      <w:contextualSpacing/>
    </w:pPr>
    <w:rPr>
      <w:rFonts w:cs="Arial"/>
      <w:sz w:val="22"/>
      <w:szCs w:val="22"/>
    </w:rPr>
  </w:style>
  <w:style w:type="paragraph" w:styleId="ListNumber3">
    <w:name w:val="List Number 3"/>
    <w:uiPriority w:val="99"/>
    <w:semiHidden/>
    <w:unhideWhenUsed/>
    <w:rsid w:val="00B825F7"/>
    <w:pPr>
      <w:numPr>
        <w:numId w:val="11"/>
      </w:numPr>
      <w:contextualSpacing/>
    </w:pPr>
    <w:rPr>
      <w:rFonts w:cs="Arial"/>
      <w:sz w:val="22"/>
      <w:szCs w:val="22"/>
    </w:rPr>
  </w:style>
  <w:style w:type="paragraph" w:styleId="ListNumber4">
    <w:name w:val="List Number 4"/>
    <w:uiPriority w:val="99"/>
    <w:semiHidden/>
    <w:unhideWhenUsed/>
    <w:rsid w:val="00B825F7"/>
    <w:pPr>
      <w:numPr>
        <w:numId w:val="12"/>
      </w:numPr>
      <w:contextualSpacing/>
    </w:pPr>
    <w:rPr>
      <w:rFonts w:cs="Arial"/>
      <w:sz w:val="22"/>
      <w:szCs w:val="22"/>
    </w:rPr>
  </w:style>
  <w:style w:type="paragraph" w:styleId="ListNumber5">
    <w:name w:val="List Number 5"/>
    <w:uiPriority w:val="99"/>
    <w:semiHidden/>
    <w:unhideWhenUsed/>
    <w:rsid w:val="00B825F7"/>
    <w:pPr>
      <w:numPr>
        <w:numId w:val="13"/>
      </w:numPr>
      <w:contextualSpacing/>
    </w:pPr>
    <w:rPr>
      <w:rFonts w:cs="Arial"/>
      <w:sz w:val="22"/>
      <w:szCs w:val="22"/>
    </w:rPr>
  </w:style>
  <w:style w:type="paragraph" w:styleId="ListParagraph">
    <w:name w:val="List Paragraph"/>
    <w:uiPriority w:val="34"/>
    <w:qFormat/>
    <w:rsid w:val="00451CC4"/>
    <w:pPr>
      <w:ind w:left="720"/>
    </w:pPr>
    <w:rPr>
      <w:rFonts w:cs="Arial"/>
      <w:sz w:val="22"/>
      <w:szCs w:val="22"/>
    </w:rPr>
  </w:style>
  <w:style w:type="table" w:styleId="ListTable1Light">
    <w:name w:val="List Table 1 Light"/>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1">
    <w:name w:val="List Table 1 Light Accent 1"/>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2">
    <w:name w:val="List Table 1 Light Accent 2"/>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3">
    <w:name w:val="List Table 1 Light Accent 3"/>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4">
    <w:name w:val="List Table 1 Light Accent 4"/>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5">
    <w:name w:val="List Table 1 Light Accent 5"/>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1Light-Accent6">
    <w:name w:val="List Table 1 Light Accent 6"/>
    <w:uiPriority w:val="46"/>
    <w:rsid w:val="00B825F7"/>
    <w:rPr>
      <w:sz w:val="22"/>
      <w:szCs w:val="22"/>
    </w:rPr>
    <w:tblPr>
      <w:tblStyleRowBandSize w:val="1"/>
      <w:tblStyleColBandSize w:val="1"/>
      <w:tblCellMar>
        <w:top w:w="0" w:type="dxa"/>
        <w:left w:w="0" w:type="dxa"/>
        <w:bottom w:w="0" w:type="dxa"/>
        <w:right w:w="0" w:type="dxa"/>
      </w:tblCellMar>
    </w:tblPr>
  </w:style>
  <w:style w:type="table" w:styleId="ListTable2">
    <w:name w:val="List Table 2"/>
    <w:uiPriority w:val="47"/>
    <w:rsid w:val="00B825F7"/>
    <w:rPr>
      <w:sz w:val="22"/>
      <w:szCs w:val="22"/>
    </w:rPr>
    <w:tblPr>
      <w:tblStyleRowBandSize w:val="1"/>
      <w:tblStyleColBandSize w:val="1"/>
      <w:tblBorders>
        <w:top w:val="single" w:sz="4" w:space="0" w:color="666666"/>
        <w:bottom w:val="single" w:sz="4" w:space="0" w:color="666666"/>
        <w:insideH w:val="single" w:sz="4" w:space="0" w:color="666666"/>
      </w:tblBorders>
      <w:tblCellMar>
        <w:top w:w="0" w:type="dxa"/>
        <w:left w:w="0" w:type="dxa"/>
        <w:bottom w:w="0" w:type="dxa"/>
        <w:right w:w="0" w:type="dxa"/>
      </w:tblCellMar>
    </w:tblPr>
  </w:style>
  <w:style w:type="table" w:styleId="ListTable2-Accent1">
    <w:name w:val="List Table 2 Accent 1"/>
    <w:uiPriority w:val="47"/>
    <w:rsid w:val="00B825F7"/>
    <w:rPr>
      <w:sz w:val="22"/>
      <w:szCs w:val="22"/>
    </w:rPr>
    <w:tblPr>
      <w:tblStyleRowBandSize w:val="1"/>
      <w:tblStyleColBandSize w:val="1"/>
      <w:tblBorders>
        <w:top w:val="single" w:sz="4" w:space="0" w:color="9CC2E5"/>
        <w:bottom w:val="single" w:sz="4" w:space="0" w:color="9CC2E5"/>
        <w:insideH w:val="single" w:sz="4" w:space="0" w:color="9CC2E5"/>
      </w:tblBorders>
      <w:tblCellMar>
        <w:top w:w="0" w:type="dxa"/>
        <w:left w:w="0" w:type="dxa"/>
        <w:bottom w:w="0" w:type="dxa"/>
        <w:right w:w="0" w:type="dxa"/>
      </w:tblCellMar>
    </w:tblPr>
  </w:style>
  <w:style w:type="table" w:styleId="ListTable2-Accent2">
    <w:name w:val="List Table 2 Accent 2"/>
    <w:uiPriority w:val="47"/>
    <w:rsid w:val="00B825F7"/>
    <w:rPr>
      <w:sz w:val="22"/>
      <w:szCs w:val="22"/>
    </w:rPr>
    <w:tblPr>
      <w:tblStyleRowBandSize w:val="1"/>
      <w:tblStyleColBandSize w:val="1"/>
      <w:tblBorders>
        <w:top w:val="single" w:sz="4" w:space="0" w:color="F4B083"/>
        <w:bottom w:val="single" w:sz="4" w:space="0" w:color="F4B083"/>
        <w:insideH w:val="single" w:sz="4" w:space="0" w:color="F4B083"/>
      </w:tblBorders>
      <w:tblCellMar>
        <w:top w:w="0" w:type="dxa"/>
        <w:left w:w="0" w:type="dxa"/>
        <w:bottom w:w="0" w:type="dxa"/>
        <w:right w:w="0" w:type="dxa"/>
      </w:tblCellMar>
    </w:tblPr>
  </w:style>
  <w:style w:type="table" w:styleId="ListTable2-Accent3">
    <w:name w:val="List Table 2 Accent 3"/>
    <w:uiPriority w:val="47"/>
    <w:rsid w:val="00B825F7"/>
    <w:rPr>
      <w:sz w:val="22"/>
      <w:szCs w:val="22"/>
    </w:rPr>
    <w:tblPr>
      <w:tblStyleRowBandSize w:val="1"/>
      <w:tblStyleColBandSize w:val="1"/>
      <w:tblBorders>
        <w:top w:val="single" w:sz="4" w:space="0" w:color="C9C9C9"/>
        <w:bottom w:val="single" w:sz="4" w:space="0" w:color="C9C9C9"/>
        <w:insideH w:val="single" w:sz="4" w:space="0" w:color="C9C9C9"/>
      </w:tblBorders>
      <w:tblCellMar>
        <w:top w:w="0" w:type="dxa"/>
        <w:left w:w="0" w:type="dxa"/>
        <w:bottom w:w="0" w:type="dxa"/>
        <w:right w:w="0" w:type="dxa"/>
      </w:tblCellMar>
    </w:tblPr>
  </w:style>
  <w:style w:type="table" w:styleId="ListTable2-Accent4">
    <w:name w:val="List Table 2 Accent 4"/>
    <w:uiPriority w:val="47"/>
    <w:rsid w:val="00B825F7"/>
    <w:rPr>
      <w:sz w:val="22"/>
      <w:szCs w:val="22"/>
    </w:rPr>
    <w:tblPr>
      <w:tblStyleRowBandSize w:val="1"/>
      <w:tblStyleColBandSize w:val="1"/>
      <w:tblBorders>
        <w:top w:val="single" w:sz="4" w:space="0" w:color="FFD966"/>
        <w:bottom w:val="single" w:sz="4" w:space="0" w:color="FFD966"/>
        <w:insideH w:val="single" w:sz="4" w:space="0" w:color="FFD966"/>
      </w:tblBorders>
      <w:tblCellMar>
        <w:top w:w="0" w:type="dxa"/>
        <w:left w:w="0" w:type="dxa"/>
        <w:bottom w:w="0" w:type="dxa"/>
        <w:right w:w="0" w:type="dxa"/>
      </w:tblCellMar>
    </w:tblPr>
  </w:style>
  <w:style w:type="table" w:styleId="ListTable2-Accent5">
    <w:name w:val="List Table 2 Accent 5"/>
    <w:uiPriority w:val="47"/>
    <w:rsid w:val="00B825F7"/>
    <w:rPr>
      <w:sz w:val="22"/>
      <w:szCs w:val="22"/>
    </w:rPr>
    <w:tblPr>
      <w:tblStyleRowBandSize w:val="1"/>
      <w:tblStyleColBandSize w:val="1"/>
      <w:tblBorders>
        <w:top w:val="single" w:sz="4" w:space="0" w:color="8EAADB"/>
        <w:bottom w:val="single" w:sz="4" w:space="0" w:color="8EAADB"/>
        <w:insideH w:val="single" w:sz="4" w:space="0" w:color="8EAADB"/>
      </w:tblBorders>
      <w:tblCellMar>
        <w:top w:w="0" w:type="dxa"/>
        <w:left w:w="0" w:type="dxa"/>
        <w:bottom w:w="0" w:type="dxa"/>
        <w:right w:w="0" w:type="dxa"/>
      </w:tblCellMar>
    </w:tblPr>
  </w:style>
  <w:style w:type="table" w:styleId="ListTable2-Accent6">
    <w:name w:val="List Table 2 Accent 6"/>
    <w:uiPriority w:val="47"/>
    <w:rsid w:val="00B825F7"/>
    <w:rPr>
      <w:sz w:val="22"/>
      <w:szCs w:val="22"/>
    </w:rPr>
    <w:tblPr>
      <w:tblStyleRowBandSize w:val="1"/>
      <w:tblStyleColBandSize w:val="1"/>
      <w:tblBorders>
        <w:top w:val="single" w:sz="4" w:space="0" w:color="A8D08D"/>
        <w:bottom w:val="single" w:sz="4" w:space="0" w:color="A8D08D"/>
        <w:insideH w:val="single" w:sz="4" w:space="0" w:color="A8D08D"/>
      </w:tblBorders>
      <w:tblCellMar>
        <w:top w:w="0" w:type="dxa"/>
        <w:left w:w="0" w:type="dxa"/>
        <w:bottom w:w="0" w:type="dxa"/>
        <w:right w:w="0" w:type="dxa"/>
      </w:tblCellMar>
    </w:tblPr>
  </w:style>
  <w:style w:type="table" w:styleId="ListTable3">
    <w:name w:val="List Table 3"/>
    <w:uiPriority w:val="48"/>
    <w:rsid w:val="00B825F7"/>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styleId="ListTable3-Accent1">
    <w:name w:val="List Table 3 Accent 1"/>
    <w:uiPriority w:val="48"/>
    <w:rsid w:val="00B825F7"/>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CellMar>
        <w:top w:w="0" w:type="dxa"/>
        <w:left w:w="0" w:type="dxa"/>
        <w:bottom w:w="0" w:type="dxa"/>
        <w:right w:w="0" w:type="dxa"/>
      </w:tblCellMar>
    </w:tblPr>
  </w:style>
  <w:style w:type="table" w:styleId="ListTable3-Accent2">
    <w:name w:val="List Table 3 Accent 2"/>
    <w:uiPriority w:val="48"/>
    <w:rsid w:val="00B825F7"/>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CellMar>
        <w:top w:w="0" w:type="dxa"/>
        <w:left w:w="0" w:type="dxa"/>
        <w:bottom w:w="0" w:type="dxa"/>
        <w:right w:w="0" w:type="dxa"/>
      </w:tblCellMar>
    </w:tblPr>
  </w:style>
  <w:style w:type="table" w:styleId="ListTable3-Accent3">
    <w:name w:val="List Table 3 Accent 3"/>
    <w:uiPriority w:val="48"/>
    <w:rsid w:val="00B825F7"/>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0" w:type="dxa"/>
        <w:bottom w:w="0" w:type="dxa"/>
        <w:right w:w="0" w:type="dxa"/>
      </w:tblCellMar>
    </w:tblPr>
  </w:style>
  <w:style w:type="table" w:styleId="ListTable3-Accent4">
    <w:name w:val="List Table 3 Accent 4"/>
    <w:uiPriority w:val="48"/>
    <w:rsid w:val="00B825F7"/>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CellMar>
        <w:top w:w="0" w:type="dxa"/>
        <w:left w:w="0" w:type="dxa"/>
        <w:bottom w:w="0" w:type="dxa"/>
        <w:right w:w="0" w:type="dxa"/>
      </w:tblCellMar>
    </w:tblPr>
  </w:style>
  <w:style w:type="table" w:styleId="ListTable3-Accent5">
    <w:name w:val="List Table 3 Accent 5"/>
    <w:uiPriority w:val="48"/>
    <w:rsid w:val="00B825F7"/>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style>
  <w:style w:type="table" w:styleId="ListTable3-Accent6">
    <w:name w:val="List Table 3 Accent 6"/>
    <w:uiPriority w:val="48"/>
    <w:rsid w:val="00B825F7"/>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0" w:type="dxa"/>
        <w:bottom w:w="0" w:type="dxa"/>
        <w:right w:w="0" w:type="dxa"/>
      </w:tblCellMar>
    </w:tblPr>
  </w:style>
  <w:style w:type="table" w:styleId="ListTable4">
    <w:name w:val="List Table 4"/>
    <w:uiPriority w:val="49"/>
    <w:rsid w:val="00B825F7"/>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0" w:type="dxa"/>
        <w:bottom w:w="0" w:type="dxa"/>
        <w:right w:w="0" w:type="dxa"/>
      </w:tblCellMar>
    </w:tblPr>
  </w:style>
  <w:style w:type="table" w:styleId="ListTable4-Accent1">
    <w:name w:val="List Table 4 Accent 1"/>
    <w:uiPriority w:val="49"/>
    <w:rsid w:val="00B825F7"/>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0" w:type="dxa"/>
        <w:bottom w:w="0" w:type="dxa"/>
        <w:right w:w="0" w:type="dxa"/>
      </w:tblCellMar>
    </w:tblPr>
  </w:style>
  <w:style w:type="table" w:styleId="ListTable4-Accent2">
    <w:name w:val="List Table 4 Accent 2"/>
    <w:uiPriority w:val="49"/>
    <w:rsid w:val="00B825F7"/>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0" w:type="dxa"/>
        <w:bottom w:w="0" w:type="dxa"/>
        <w:right w:w="0" w:type="dxa"/>
      </w:tblCellMar>
    </w:tblPr>
  </w:style>
  <w:style w:type="table" w:styleId="ListTable4-Accent3">
    <w:name w:val="List Table 4 Accent 3"/>
    <w:uiPriority w:val="49"/>
    <w:rsid w:val="00B825F7"/>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0" w:type="dxa"/>
        <w:bottom w:w="0" w:type="dxa"/>
        <w:right w:w="0" w:type="dxa"/>
      </w:tblCellMar>
    </w:tblPr>
  </w:style>
  <w:style w:type="table" w:styleId="ListTable4-Accent4">
    <w:name w:val="List Table 4 Accent 4"/>
    <w:uiPriority w:val="49"/>
    <w:rsid w:val="00B825F7"/>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0" w:type="dxa"/>
        <w:bottom w:w="0" w:type="dxa"/>
        <w:right w:w="0" w:type="dxa"/>
      </w:tblCellMar>
    </w:tblPr>
  </w:style>
  <w:style w:type="table" w:styleId="ListTable4-Accent5">
    <w:name w:val="List Table 4 Accent 5"/>
    <w:uiPriority w:val="49"/>
    <w:rsid w:val="00B825F7"/>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0" w:type="dxa"/>
        <w:bottom w:w="0" w:type="dxa"/>
        <w:right w:w="0" w:type="dxa"/>
      </w:tblCellMar>
    </w:tblPr>
  </w:style>
  <w:style w:type="table" w:styleId="ListTable4-Accent6">
    <w:name w:val="List Table 4 Accent 6"/>
    <w:uiPriority w:val="49"/>
    <w:rsid w:val="00B825F7"/>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0" w:type="dxa"/>
        <w:bottom w:w="0" w:type="dxa"/>
        <w:right w:w="0" w:type="dxa"/>
      </w:tblCellMar>
    </w:tblPr>
  </w:style>
  <w:style w:type="table" w:styleId="ListTable5Dark">
    <w:name w:val="List Table 5 Dark"/>
    <w:uiPriority w:val="50"/>
    <w:rsid w:val="00B825F7"/>
    <w:rPr>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CellMar>
        <w:top w:w="0" w:type="dxa"/>
        <w:left w:w="0" w:type="dxa"/>
        <w:bottom w:w="0" w:type="dxa"/>
        <w:right w:w="0" w:type="dxa"/>
      </w:tblCellMar>
    </w:tblPr>
    <w:tcPr>
      <w:shd w:val="clear" w:color="auto" w:fill="000000"/>
    </w:tcPr>
  </w:style>
  <w:style w:type="table" w:styleId="ListTable5Dark-Accent1">
    <w:name w:val="List Table 5 Dark Accent 1"/>
    <w:uiPriority w:val="50"/>
    <w:rsid w:val="00B825F7"/>
    <w:rPr>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CellMar>
        <w:top w:w="0" w:type="dxa"/>
        <w:left w:w="0" w:type="dxa"/>
        <w:bottom w:w="0" w:type="dxa"/>
        <w:right w:w="0" w:type="dxa"/>
      </w:tblCellMar>
    </w:tblPr>
    <w:tcPr>
      <w:shd w:val="clear" w:color="auto" w:fill="5B9BD5"/>
    </w:tcPr>
  </w:style>
  <w:style w:type="table" w:styleId="ListTable5Dark-Accent2">
    <w:name w:val="List Table 5 Dark Accent 2"/>
    <w:uiPriority w:val="50"/>
    <w:rsid w:val="00B825F7"/>
    <w:rPr>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CellMar>
        <w:top w:w="0" w:type="dxa"/>
        <w:left w:w="0" w:type="dxa"/>
        <w:bottom w:w="0" w:type="dxa"/>
        <w:right w:w="0" w:type="dxa"/>
      </w:tblCellMar>
    </w:tblPr>
    <w:tcPr>
      <w:shd w:val="clear" w:color="auto" w:fill="ED7D31"/>
    </w:tcPr>
  </w:style>
  <w:style w:type="table" w:styleId="ListTable5Dark-Accent3">
    <w:name w:val="List Table 5 Dark Accent 3"/>
    <w:uiPriority w:val="50"/>
    <w:rsid w:val="00B825F7"/>
    <w:rPr>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0" w:type="dxa"/>
        <w:bottom w:w="0" w:type="dxa"/>
        <w:right w:w="0" w:type="dxa"/>
      </w:tblCellMar>
    </w:tblPr>
    <w:tcPr>
      <w:shd w:val="clear" w:color="auto" w:fill="A5A5A5"/>
    </w:tcPr>
  </w:style>
  <w:style w:type="table" w:styleId="ListTable5Dark-Accent4">
    <w:name w:val="List Table 5 Dark Accent 4"/>
    <w:uiPriority w:val="50"/>
    <w:rsid w:val="00B825F7"/>
    <w:rPr>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CellMar>
        <w:top w:w="0" w:type="dxa"/>
        <w:left w:w="0" w:type="dxa"/>
        <w:bottom w:w="0" w:type="dxa"/>
        <w:right w:w="0" w:type="dxa"/>
      </w:tblCellMar>
    </w:tblPr>
    <w:tcPr>
      <w:shd w:val="clear" w:color="auto" w:fill="FFC000"/>
    </w:tcPr>
  </w:style>
  <w:style w:type="table" w:styleId="ListTable5Dark-Accent5">
    <w:name w:val="List Table 5 Dark Accent 5"/>
    <w:uiPriority w:val="50"/>
    <w:rsid w:val="00B825F7"/>
    <w:rPr>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CellMar>
        <w:top w:w="0" w:type="dxa"/>
        <w:left w:w="0" w:type="dxa"/>
        <w:bottom w:w="0" w:type="dxa"/>
        <w:right w:w="0" w:type="dxa"/>
      </w:tblCellMar>
    </w:tblPr>
    <w:tcPr>
      <w:shd w:val="clear" w:color="auto" w:fill="4472C4"/>
    </w:tcPr>
  </w:style>
  <w:style w:type="table" w:styleId="ListTable5Dark-Accent6">
    <w:name w:val="List Table 5 Dark Accent 6"/>
    <w:uiPriority w:val="50"/>
    <w:rsid w:val="00B825F7"/>
    <w:rPr>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CellMar>
        <w:top w:w="0" w:type="dxa"/>
        <w:left w:w="0" w:type="dxa"/>
        <w:bottom w:w="0" w:type="dxa"/>
        <w:right w:w="0" w:type="dxa"/>
      </w:tblCellMar>
    </w:tblPr>
    <w:tcPr>
      <w:shd w:val="clear" w:color="auto" w:fill="70AD47"/>
    </w:tcPr>
  </w:style>
  <w:style w:type="table" w:styleId="ListTable6Colorful">
    <w:name w:val="List Table 6 Colorful"/>
    <w:uiPriority w:val="51"/>
    <w:rsid w:val="00B825F7"/>
    <w:rPr>
      <w:color w:val="000000"/>
      <w:sz w:val="22"/>
      <w:szCs w:val="22"/>
    </w:rPr>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style>
  <w:style w:type="table" w:styleId="ListTable6Colorful-Accent1">
    <w:name w:val="List Table 6 Colorful Accent 1"/>
    <w:uiPriority w:val="51"/>
    <w:rsid w:val="00B825F7"/>
    <w:rPr>
      <w:color w:val="2E74B5"/>
      <w:sz w:val="22"/>
      <w:szCs w:val="22"/>
    </w:rPr>
    <w:tblPr>
      <w:tblStyleRowBandSize w:val="1"/>
      <w:tblStyleColBandSize w:val="1"/>
      <w:tblBorders>
        <w:top w:val="single" w:sz="4" w:space="0" w:color="5B9BD5"/>
        <w:bottom w:val="single" w:sz="4" w:space="0" w:color="5B9BD5"/>
      </w:tblBorders>
      <w:tblCellMar>
        <w:top w:w="0" w:type="dxa"/>
        <w:left w:w="0" w:type="dxa"/>
        <w:bottom w:w="0" w:type="dxa"/>
        <w:right w:w="0" w:type="dxa"/>
      </w:tblCellMar>
    </w:tblPr>
  </w:style>
  <w:style w:type="table" w:styleId="ListTable6Colorful-Accent2">
    <w:name w:val="List Table 6 Colorful Accent 2"/>
    <w:uiPriority w:val="51"/>
    <w:rsid w:val="00B825F7"/>
    <w:rPr>
      <w:color w:val="C45911"/>
      <w:sz w:val="22"/>
      <w:szCs w:val="22"/>
    </w:rPr>
    <w:tblPr>
      <w:tblStyleRowBandSize w:val="1"/>
      <w:tblStyleColBandSize w:val="1"/>
      <w:tblBorders>
        <w:top w:val="single" w:sz="4" w:space="0" w:color="ED7D31"/>
        <w:bottom w:val="single" w:sz="4" w:space="0" w:color="ED7D31"/>
      </w:tblBorders>
      <w:tblCellMar>
        <w:top w:w="0" w:type="dxa"/>
        <w:left w:w="0" w:type="dxa"/>
        <w:bottom w:w="0" w:type="dxa"/>
        <w:right w:w="0" w:type="dxa"/>
      </w:tblCellMar>
    </w:tblPr>
  </w:style>
  <w:style w:type="table" w:styleId="ListTable6Colorful-Accent3">
    <w:name w:val="List Table 6 Colorful Accent 3"/>
    <w:uiPriority w:val="51"/>
    <w:rsid w:val="00B825F7"/>
    <w:rPr>
      <w:color w:val="7B7B7B"/>
      <w:sz w:val="22"/>
      <w:szCs w:val="22"/>
    </w:rPr>
    <w:tblPr>
      <w:tblStyleRowBandSize w:val="1"/>
      <w:tblStyleColBandSize w:val="1"/>
      <w:tblBorders>
        <w:top w:val="single" w:sz="4" w:space="0" w:color="A5A5A5"/>
        <w:bottom w:val="single" w:sz="4" w:space="0" w:color="A5A5A5"/>
      </w:tblBorders>
      <w:tblCellMar>
        <w:top w:w="0" w:type="dxa"/>
        <w:left w:w="0" w:type="dxa"/>
        <w:bottom w:w="0" w:type="dxa"/>
        <w:right w:w="0" w:type="dxa"/>
      </w:tblCellMar>
    </w:tblPr>
  </w:style>
  <w:style w:type="table" w:styleId="ListTable6Colorful-Accent4">
    <w:name w:val="List Table 6 Colorful Accent 4"/>
    <w:uiPriority w:val="51"/>
    <w:rsid w:val="00B825F7"/>
    <w:rPr>
      <w:color w:val="BF8F00"/>
      <w:sz w:val="22"/>
      <w:szCs w:val="22"/>
    </w:rPr>
    <w:tblPr>
      <w:tblStyleRowBandSize w:val="1"/>
      <w:tblStyleColBandSize w:val="1"/>
      <w:tblBorders>
        <w:top w:val="single" w:sz="4" w:space="0" w:color="FFC000"/>
        <w:bottom w:val="single" w:sz="4" w:space="0" w:color="FFC000"/>
      </w:tblBorders>
      <w:tblCellMar>
        <w:top w:w="0" w:type="dxa"/>
        <w:left w:w="0" w:type="dxa"/>
        <w:bottom w:w="0" w:type="dxa"/>
        <w:right w:w="0" w:type="dxa"/>
      </w:tblCellMar>
    </w:tblPr>
  </w:style>
  <w:style w:type="table" w:styleId="ListTable6Colorful-Accent5">
    <w:name w:val="List Table 6 Colorful Accent 5"/>
    <w:uiPriority w:val="51"/>
    <w:rsid w:val="00B825F7"/>
    <w:rPr>
      <w:color w:val="2F5496"/>
      <w:sz w:val="22"/>
      <w:szCs w:val="22"/>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style>
  <w:style w:type="table" w:styleId="ListTable6Colorful-Accent6">
    <w:name w:val="List Table 6 Colorful Accent 6"/>
    <w:uiPriority w:val="51"/>
    <w:rsid w:val="00B825F7"/>
    <w:rPr>
      <w:color w:val="538135"/>
      <w:sz w:val="22"/>
      <w:szCs w:val="22"/>
    </w:rPr>
    <w:tblPr>
      <w:tblStyleRowBandSize w:val="1"/>
      <w:tblStyleColBandSize w:val="1"/>
      <w:tblBorders>
        <w:top w:val="single" w:sz="4" w:space="0" w:color="70AD47"/>
        <w:bottom w:val="single" w:sz="4" w:space="0" w:color="70AD47"/>
      </w:tblBorders>
      <w:tblCellMar>
        <w:top w:w="0" w:type="dxa"/>
        <w:left w:w="0" w:type="dxa"/>
        <w:bottom w:w="0" w:type="dxa"/>
        <w:right w:w="0" w:type="dxa"/>
      </w:tblCellMar>
    </w:tblPr>
  </w:style>
  <w:style w:type="table" w:styleId="ListTable7Colorful">
    <w:name w:val="List Table 7 Colorful"/>
    <w:uiPriority w:val="52"/>
    <w:rsid w:val="00B825F7"/>
    <w:rPr>
      <w:color w:val="000000"/>
      <w:sz w:val="22"/>
      <w:szCs w:val="22"/>
    </w:rPr>
    <w:tblPr>
      <w:tblStyleRowBandSize w:val="1"/>
      <w:tblStyleColBandSize w:val="1"/>
      <w:tblCellMar>
        <w:top w:w="0" w:type="dxa"/>
        <w:left w:w="0" w:type="dxa"/>
        <w:bottom w:w="0" w:type="dxa"/>
        <w:right w:w="0" w:type="dxa"/>
      </w:tblCellMar>
    </w:tblPr>
  </w:style>
  <w:style w:type="table" w:styleId="ListTable7Colorful-Accent1">
    <w:name w:val="List Table 7 Colorful Accent 1"/>
    <w:uiPriority w:val="52"/>
    <w:rsid w:val="00B825F7"/>
    <w:rPr>
      <w:color w:val="2E74B5"/>
      <w:sz w:val="22"/>
      <w:szCs w:val="22"/>
    </w:rPr>
    <w:tblPr>
      <w:tblStyleRowBandSize w:val="1"/>
      <w:tblStyleColBandSize w:val="1"/>
      <w:tblCellMar>
        <w:top w:w="0" w:type="dxa"/>
        <w:left w:w="0" w:type="dxa"/>
        <w:bottom w:w="0" w:type="dxa"/>
        <w:right w:w="0" w:type="dxa"/>
      </w:tblCellMar>
    </w:tblPr>
  </w:style>
  <w:style w:type="table" w:styleId="ListTable7Colorful-Accent2">
    <w:name w:val="List Table 7 Colorful Accent 2"/>
    <w:uiPriority w:val="52"/>
    <w:rsid w:val="00B825F7"/>
    <w:rPr>
      <w:color w:val="C45911"/>
      <w:sz w:val="22"/>
      <w:szCs w:val="22"/>
    </w:rPr>
    <w:tblPr>
      <w:tblStyleRowBandSize w:val="1"/>
      <w:tblStyleColBandSize w:val="1"/>
      <w:tblCellMar>
        <w:top w:w="0" w:type="dxa"/>
        <w:left w:w="0" w:type="dxa"/>
        <w:bottom w:w="0" w:type="dxa"/>
        <w:right w:w="0" w:type="dxa"/>
      </w:tblCellMar>
    </w:tblPr>
  </w:style>
  <w:style w:type="table" w:styleId="ListTable7Colorful-Accent3">
    <w:name w:val="List Table 7 Colorful Accent 3"/>
    <w:uiPriority w:val="52"/>
    <w:rsid w:val="00B825F7"/>
    <w:rPr>
      <w:color w:val="7B7B7B"/>
      <w:sz w:val="22"/>
      <w:szCs w:val="22"/>
    </w:rPr>
    <w:tblPr>
      <w:tblStyleRowBandSize w:val="1"/>
      <w:tblStyleColBandSize w:val="1"/>
      <w:tblCellMar>
        <w:top w:w="0" w:type="dxa"/>
        <w:left w:w="0" w:type="dxa"/>
        <w:bottom w:w="0" w:type="dxa"/>
        <w:right w:w="0" w:type="dxa"/>
      </w:tblCellMar>
    </w:tblPr>
  </w:style>
  <w:style w:type="table" w:styleId="ListTable7Colorful-Accent4">
    <w:name w:val="List Table 7 Colorful Accent 4"/>
    <w:uiPriority w:val="52"/>
    <w:rsid w:val="00B825F7"/>
    <w:rPr>
      <w:color w:val="BF8F00"/>
      <w:sz w:val="22"/>
      <w:szCs w:val="22"/>
    </w:rPr>
    <w:tblPr>
      <w:tblStyleRowBandSize w:val="1"/>
      <w:tblStyleColBandSize w:val="1"/>
      <w:tblCellMar>
        <w:top w:w="0" w:type="dxa"/>
        <w:left w:w="0" w:type="dxa"/>
        <w:bottom w:w="0" w:type="dxa"/>
        <w:right w:w="0" w:type="dxa"/>
      </w:tblCellMar>
    </w:tblPr>
  </w:style>
  <w:style w:type="table" w:styleId="ListTable7Colorful-Accent5">
    <w:name w:val="List Table 7 Colorful Accent 5"/>
    <w:uiPriority w:val="52"/>
    <w:rsid w:val="00B825F7"/>
    <w:rPr>
      <w:color w:val="2F5496"/>
      <w:sz w:val="22"/>
      <w:szCs w:val="22"/>
    </w:rPr>
    <w:tblPr>
      <w:tblStyleRowBandSize w:val="1"/>
      <w:tblStyleColBandSize w:val="1"/>
      <w:tblCellMar>
        <w:top w:w="0" w:type="dxa"/>
        <w:left w:w="0" w:type="dxa"/>
        <w:bottom w:w="0" w:type="dxa"/>
        <w:right w:w="0" w:type="dxa"/>
      </w:tblCellMar>
    </w:tblPr>
  </w:style>
  <w:style w:type="table" w:styleId="ListTable7Colorful-Accent6">
    <w:name w:val="List Table 7 Colorful Accent 6"/>
    <w:uiPriority w:val="52"/>
    <w:rsid w:val="00B825F7"/>
    <w:rPr>
      <w:color w:val="538135"/>
      <w:sz w:val="22"/>
      <w:szCs w:val="22"/>
    </w:rPr>
    <w:tblPr>
      <w:tblStyleRowBandSize w:val="1"/>
      <w:tblStyleColBandSize w:val="1"/>
      <w:tblCellMar>
        <w:top w:w="0" w:type="dxa"/>
        <w:left w:w="0" w:type="dxa"/>
        <w:bottom w:w="0" w:type="dxa"/>
        <w:right w:w="0" w:type="dxa"/>
      </w:tblCellMar>
    </w:tblPr>
  </w:style>
  <w:style w:type="paragraph" w:styleId="MacroText">
    <w:name w:val="macro"/>
    <w:link w:val="MacroTextChar"/>
    <w:uiPriority w:val="99"/>
    <w:semiHidden/>
    <w:unhideWhenUsed/>
    <w:rsid w:val="00B825F7"/>
    <w:pPr>
      <w:tabs>
        <w:tab w:val="left" w:pos="480"/>
        <w:tab w:val="left" w:pos="960"/>
        <w:tab w:val="left" w:pos="1440"/>
        <w:tab w:val="left" w:pos="1920"/>
        <w:tab w:val="left" w:pos="2400"/>
        <w:tab w:val="left" w:pos="2880"/>
        <w:tab w:val="left" w:pos="3360"/>
        <w:tab w:val="left" w:pos="3840"/>
        <w:tab w:val="left" w:pos="4320"/>
      </w:tabs>
      <w:spacing w:after="160" w:line="259" w:lineRule="auto"/>
    </w:pPr>
    <w:rPr>
      <w:rFonts w:cs="Arial"/>
    </w:rPr>
  </w:style>
  <w:style w:type="character" w:customStyle="1" w:styleId="MacroTextChar">
    <w:name w:val="Macro Text Char"/>
    <w:link w:val="MacroText"/>
    <w:uiPriority w:val="99"/>
    <w:semiHidden/>
    <w:rsid w:val="00B825F7"/>
    <w:rPr>
      <w:rFonts w:ascii="Arial" w:hAnsi="Arial" w:cs="Arial"/>
      <w:sz w:val="20"/>
      <w:szCs w:val="20"/>
    </w:rPr>
  </w:style>
  <w:style w:type="table" w:styleId="MediumGrid1">
    <w:name w:val="Medium Grid 1"/>
    <w:uiPriority w:val="67"/>
    <w:semiHidden/>
    <w:unhideWhenUsed/>
    <w:rsid w:val="00B825F7"/>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tcPr>
      <w:shd w:val="clear" w:color="auto" w:fill="C0C0C0"/>
    </w:tcPr>
  </w:style>
  <w:style w:type="table" w:styleId="MediumGrid1-Accent1">
    <w:name w:val="Medium Grid 1 Accent 1"/>
    <w:uiPriority w:val="67"/>
    <w:semiHidden/>
    <w:unhideWhenUsed/>
    <w:rsid w:val="00B825F7"/>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0" w:type="dxa"/>
        <w:bottom w:w="0" w:type="dxa"/>
        <w:right w:w="0" w:type="dxa"/>
      </w:tblCellMar>
    </w:tblPr>
    <w:tcPr>
      <w:shd w:val="clear" w:color="auto" w:fill="D6E6F4"/>
    </w:tcPr>
  </w:style>
  <w:style w:type="table" w:styleId="MediumGrid1-Accent2">
    <w:name w:val="Medium Grid 1 Accent 2"/>
    <w:uiPriority w:val="67"/>
    <w:semiHidden/>
    <w:unhideWhenUsed/>
    <w:rsid w:val="00B825F7"/>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0" w:type="dxa"/>
        <w:bottom w:w="0" w:type="dxa"/>
        <w:right w:w="0" w:type="dxa"/>
      </w:tblCellMar>
    </w:tblPr>
    <w:tcPr>
      <w:shd w:val="clear" w:color="auto" w:fill="FADECB"/>
    </w:tcPr>
  </w:style>
  <w:style w:type="table" w:styleId="MediumGrid1-Accent3">
    <w:name w:val="Medium Grid 1 Accent 3"/>
    <w:uiPriority w:val="67"/>
    <w:semiHidden/>
    <w:unhideWhenUsed/>
    <w:rsid w:val="00B825F7"/>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0" w:type="dxa"/>
        <w:bottom w:w="0" w:type="dxa"/>
        <w:right w:w="0" w:type="dxa"/>
      </w:tblCellMar>
    </w:tblPr>
    <w:tcPr>
      <w:shd w:val="clear" w:color="auto" w:fill="E8E8E8"/>
    </w:tcPr>
  </w:style>
  <w:style w:type="table" w:styleId="MediumGrid1-Accent4">
    <w:name w:val="Medium Grid 1 Accent 4"/>
    <w:uiPriority w:val="67"/>
    <w:semiHidden/>
    <w:unhideWhenUsed/>
    <w:rsid w:val="00B825F7"/>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0" w:type="dxa"/>
        <w:bottom w:w="0" w:type="dxa"/>
        <w:right w:w="0" w:type="dxa"/>
      </w:tblCellMar>
    </w:tblPr>
    <w:tcPr>
      <w:shd w:val="clear" w:color="auto" w:fill="FFEFC0"/>
    </w:tcPr>
  </w:style>
  <w:style w:type="table" w:styleId="MediumGrid1-Accent5">
    <w:name w:val="Medium Grid 1 Accent 5"/>
    <w:uiPriority w:val="67"/>
    <w:semiHidden/>
    <w:unhideWhenUsed/>
    <w:rsid w:val="00B825F7"/>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0" w:type="dxa"/>
        <w:bottom w:w="0" w:type="dxa"/>
        <w:right w:w="0" w:type="dxa"/>
      </w:tblCellMar>
    </w:tblPr>
    <w:tcPr>
      <w:shd w:val="clear" w:color="auto" w:fill="D0DBF0"/>
    </w:tcPr>
  </w:style>
  <w:style w:type="table" w:styleId="MediumGrid1-Accent6">
    <w:name w:val="Medium Grid 1 Accent 6"/>
    <w:uiPriority w:val="67"/>
    <w:semiHidden/>
    <w:unhideWhenUsed/>
    <w:rsid w:val="00B825F7"/>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0" w:type="dxa"/>
        <w:bottom w:w="0" w:type="dxa"/>
        <w:right w:w="0" w:type="dxa"/>
      </w:tblCellMar>
    </w:tblPr>
    <w:tcPr>
      <w:shd w:val="clear" w:color="auto" w:fill="DBEBD0"/>
    </w:tcPr>
  </w:style>
  <w:style w:type="table" w:styleId="MediumGrid2">
    <w:name w:val="Medium Grid 2"/>
    <w:uiPriority w:val="68"/>
    <w:semiHidden/>
    <w:unhideWhenUsed/>
    <w:rsid w:val="00B825F7"/>
    <w:rPr>
      <w:rFonts w:eastAsia="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C0C0C0"/>
    </w:tcPr>
  </w:style>
  <w:style w:type="table" w:styleId="MediumGrid2-Accent1">
    <w:name w:val="Medium Grid 2 Accent 1"/>
    <w:uiPriority w:val="68"/>
    <w:semiHidden/>
    <w:unhideWhenUsed/>
    <w:rsid w:val="00B825F7"/>
    <w:rPr>
      <w:rFonts w:eastAsia="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tcPr>
      <w:shd w:val="clear" w:color="auto" w:fill="D6E6F4"/>
    </w:tcPr>
  </w:style>
  <w:style w:type="table" w:styleId="MediumGrid2-Accent2">
    <w:name w:val="Medium Grid 2 Accent 2"/>
    <w:uiPriority w:val="68"/>
    <w:semiHidden/>
    <w:unhideWhenUsed/>
    <w:rsid w:val="00B825F7"/>
    <w:rPr>
      <w:rFonts w:eastAsia="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tcPr>
      <w:shd w:val="clear" w:color="auto" w:fill="FADECB"/>
    </w:tcPr>
  </w:style>
  <w:style w:type="table" w:styleId="MediumGrid2-Accent3">
    <w:name w:val="Medium Grid 2 Accent 3"/>
    <w:uiPriority w:val="68"/>
    <w:semiHidden/>
    <w:unhideWhenUsed/>
    <w:rsid w:val="00B825F7"/>
    <w:rPr>
      <w:rFonts w:eastAsia="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tcPr>
      <w:shd w:val="clear" w:color="auto" w:fill="E8E8E8"/>
    </w:tcPr>
  </w:style>
  <w:style w:type="table" w:styleId="MediumGrid2-Accent4">
    <w:name w:val="Medium Grid 2 Accent 4"/>
    <w:uiPriority w:val="68"/>
    <w:semiHidden/>
    <w:unhideWhenUsed/>
    <w:rsid w:val="00B825F7"/>
    <w:rPr>
      <w:rFonts w:eastAsia="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tcPr>
      <w:shd w:val="clear" w:color="auto" w:fill="FFEFC0"/>
    </w:tcPr>
  </w:style>
  <w:style w:type="table" w:styleId="MediumGrid2-Accent5">
    <w:name w:val="Medium Grid 2 Accent 5"/>
    <w:uiPriority w:val="68"/>
    <w:semiHidden/>
    <w:unhideWhenUsed/>
    <w:rsid w:val="00B825F7"/>
    <w:rPr>
      <w:rFonts w:eastAsia="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tcPr>
      <w:shd w:val="clear" w:color="auto" w:fill="D0DBF0"/>
    </w:tcPr>
  </w:style>
  <w:style w:type="table" w:styleId="MediumGrid2-Accent6">
    <w:name w:val="Medium Grid 2 Accent 6"/>
    <w:uiPriority w:val="68"/>
    <w:semiHidden/>
    <w:unhideWhenUsed/>
    <w:rsid w:val="00B825F7"/>
    <w:rPr>
      <w:rFonts w:eastAsia="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tcPr>
      <w:shd w:val="clear" w:color="auto" w:fill="DBEBD0"/>
    </w:tcPr>
  </w:style>
  <w:style w:type="table" w:styleId="MediumGrid3">
    <w:name w:val="Medium Grid 3"/>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C0C0C0"/>
    </w:tcPr>
  </w:style>
  <w:style w:type="table" w:styleId="MediumGrid3-Accent1">
    <w:name w:val="Medium Grid 3 Accent 1"/>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6E6F4"/>
    </w:tcPr>
  </w:style>
  <w:style w:type="table" w:styleId="MediumGrid3-Accent2">
    <w:name w:val="Medium Grid 3 Accent 2"/>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ADECB"/>
    </w:tcPr>
  </w:style>
  <w:style w:type="table" w:styleId="MediumGrid3-Accent3">
    <w:name w:val="Medium Grid 3 Accent 3"/>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E8E8E8"/>
    </w:tcPr>
  </w:style>
  <w:style w:type="table" w:styleId="MediumGrid3-Accent4">
    <w:name w:val="Medium Grid 3 Accent 4"/>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FEFC0"/>
    </w:tcPr>
  </w:style>
  <w:style w:type="table" w:styleId="MediumGrid3-Accent5">
    <w:name w:val="Medium Grid 3 Accent 5"/>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0DBF0"/>
    </w:tcPr>
  </w:style>
  <w:style w:type="table" w:styleId="MediumGrid3-Accent6">
    <w:name w:val="Medium Grid 3 Accent 6"/>
    <w:uiPriority w:val="69"/>
    <w:semiHidden/>
    <w:unhideWhenUsed/>
    <w:rsid w:val="00B825F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BEBD0"/>
    </w:tcPr>
  </w:style>
  <w:style w:type="table" w:styleId="MediumList1">
    <w:name w:val="Medium List 1"/>
    <w:uiPriority w:val="65"/>
    <w:semiHidden/>
    <w:unhideWhenUsed/>
    <w:rsid w:val="00B825F7"/>
    <w:rPr>
      <w:color w:val="000000"/>
      <w:sz w:val="22"/>
      <w:szCs w:val="22"/>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styleId="MediumList1-Accent1">
    <w:name w:val="Medium List 1 Accent 1"/>
    <w:uiPriority w:val="65"/>
    <w:semiHidden/>
    <w:unhideWhenUsed/>
    <w:rsid w:val="00B825F7"/>
    <w:rPr>
      <w:color w:val="000000"/>
      <w:sz w:val="22"/>
      <w:szCs w:val="22"/>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MediumList1-Accent2">
    <w:name w:val="Medium List 1 Accent 2"/>
    <w:uiPriority w:val="65"/>
    <w:semiHidden/>
    <w:unhideWhenUsed/>
    <w:rsid w:val="00B825F7"/>
    <w:rPr>
      <w:color w:val="000000"/>
      <w:sz w:val="22"/>
      <w:szCs w:val="22"/>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MediumList1-Accent3">
    <w:name w:val="Medium List 1 Accent 3"/>
    <w:uiPriority w:val="65"/>
    <w:semiHidden/>
    <w:unhideWhenUsed/>
    <w:rsid w:val="00B825F7"/>
    <w:rPr>
      <w:color w:val="000000"/>
      <w:sz w:val="22"/>
      <w:szCs w:val="22"/>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MediumList1-Accent4">
    <w:name w:val="Medium List 1 Accent 4"/>
    <w:uiPriority w:val="65"/>
    <w:semiHidden/>
    <w:unhideWhenUsed/>
    <w:rsid w:val="00B825F7"/>
    <w:rPr>
      <w:color w:val="000000"/>
      <w:sz w:val="22"/>
      <w:szCs w:val="22"/>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MediumList1-Accent5">
    <w:name w:val="Medium List 1 Accent 5"/>
    <w:uiPriority w:val="65"/>
    <w:semiHidden/>
    <w:unhideWhenUsed/>
    <w:rsid w:val="00B825F7"/>
    <w:rPr>
      <w:color w:val="000000"/>
      <w:sz w:val="22"/>
      <w:szCs w:val="22"/>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styleId="MediumList1-Accent6">
    <w:name w:val="Medium List 1 Accent 6"/>
    <w:uiPriority w:val="65"/>
    <w:semiHidden/>
    <w:unhideWhenUsed/>
    <w:rsid w:val="00B825F7"/>
    <w:rPr>
      <w:color w:val="000000"/>
      <w:sz w:val="22"/>
      <w:szCs w:val="22"/>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styleId="MediumList2">
    <w:name w:val="Medium List 2"/>
    <w:uiPriority w:val="66"/>
    <w:semiHidden/>
    <w:unhideWhenUsed/>
    <w:rsid w:val="00B825F7"/>
    <w:rPr>
      <w:rFonts w:eastAsia="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MediumList2-Accent1">
    <w:name w:val="Medium List 2 Accent 1"/>
    <w:uiPriority w:val="66"/>
    <w:semiHidden/>
    <w:unhideWhenUsed/>
    <w:rsid w:val="00B825F7"/>
    <w:rPr>
      <w:rFonts w:eastAsia="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MediumList2-Accent2">
    <w:name w:val="Medium List 2 Accent 2"/>
    <w:uiPriority w:val="66"/>
    <w:semiHidden/>
    <w:unhideWhenUsed/>
    <w:rsid w:val="00B825F7"/>
    <w:rPr>
      <w:rFonts w:eastAsia="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MediumList2-Accent3">
    <w:name w:val="Medium List 2 Accent 3"/>
    <w:uiPriority w:val="66"/>
    <w:semiHidden/>
    <w:unhideWhenUsed/>
    <w:rsid w:val="00B825F7"/>
    <w:rPr>
      <w:rFonts w:eastAsia="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MediumList2-Accent4">
    <w:name w:val="Medium List 2 Accent 4"/>
    <w:uiPriority w:val="66"/>
    <w:semiHidden/>
    <w:unhideWhenUsed/>
    <w:rsid w:val="00B825F7"/>
    <w:rPr>
      <w:rFonts w:eastAsia="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MediumList2-Accent5">
    <w:name w:val="Medium List 2 Accent 5"/>
    <w:uiPriority w:val="66"/>
    <w:semiHidden/>
    <w:unhideWhenUsed/>
    <w:rsid w:val="00B825F7"/>
    <w:rPr>
      <w:rFonts w:eastAsia="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styleId="MediumList2-Accent6">
    <w:name w:val="Medium List 2 Accent 6"/>
    <w:uiPriority w:val="66"/>
    <w:semiHidden/>
    <w:unhideWhenUsed/>
    <w:rsid w:val="00B825F7"/>
    <w:rPr>
      <w:rFonts w:eastAsia="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MediumShading1">
    <w:name w:val="Medium Shading 1"/>
    <w:uiPriority w:val="63"/>
    <w:semiHidden/>
    <w:unhideWhenUsed/>
    <w:rsid w:val="00B825F7"/>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0" w:type="dxa"/>
        <w:bottom w:w="0" w:type="dxa"/>
        <w:right w:w="0" w:type="dxa"/>
      </w:tblCellMar>
    </w:tblPr>
  </w:style>
  <w:style w:type="table" w:styleId="MediumShading1-Accent1">
    <w:name w:val="Medium Shading 1 Accent 1"/>
    <w:uiPriority w:val="63"/>
    <w:semiHidden/>
    <w:unhideWhenUsed/>
    <w:rsid w:val="00B825F7"/>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0" w:type="dxa"/>
        <w:bottom w:w="0" w:type="dxa"/>
        <w:right w:w="0" w:type="dxa"/>
      </w:tblCellMar>
    </w:tblPr>
  </w:style>
  <w:style w:type="table" w:styleId="MediumShading1-Accent2">
    <w:name w:val="Medium Shading 1 Accent 2"/>
    <w:uiPriority w:val="63"/>
    <w:semiHidden/>
    <w:unhideWhenUsed/>
    <w:rsid w:val="00B825F7"/>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0" w:type="dxa"/>
        <w:bottom w:w="0" w:type="dxa"/>
        <w:right w:w="0" w:type="dxa"/>
      </w:tblCellMar>
    </w:tblPr>
  </w:style>
  <w:style w:type="table" w:styleId="MediumShading1-Accent3">
    <w:name w:val="Medium Shading 1 Accent 3"/>
    <w:uiPriority w:val="63"/>
    <w:semiHidden/>
    <w:unhideWhenUsed/>
    <w:rsid w:val="00B825F7"/>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0" w:type="dxa"/>
        <w:bottom w:w="0" w:type="dxa"/>
        <w:right w:w="0" w:type="dxa"/>
      </w:tblCellMar>
    </w:tblPr>
  </w:style>
  <w:style w:type="table" w:styleId="MediumShading1-Accent4">
    <w:name w:val="Medium Shading 1 Accent 4"/>
    <w:uiPriority w:val="63"/>
    <w:semiHidden/>
    <w:unhideWhenUsed/>
    <w:rsid w:val="00B825F7"/>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0" w:type="dxa"/>
        <w:bottom w:w="0" w:type="dxa"/>
        <w:right w:w="0" w:type="dxa"/>
      </w:tblCellMar>
    </w:tblPr>
  </w:style>
  <w:style w:type="table" w:styleId="MediumShading1-Accent5">
    <w:name w:val="Medium Shading 1 Accent 5"/>
    <w:uiPriority w:val="63"/>
    <w:semiHidden/>
    <w:unhideWhenUsed/>
    <w:rsid w:val="00B825F7"/>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0" w:type="dxa"/>
        <w:bottom w:w="0" w:type="dxa"/>
        <w:right w:w="0" w:type="dxa"/>
      </w:tblCellMar>
    </w:tblPr>
  </w:style>
  <w:style w:type="table" w:styleId="MediumShading1-Accent6">
    <w:name w:val="Medium Shading 1 Accent 6"/>
    <w:uiPriority w:val="63"/>
    <w:semiHidden/>
    <w:unhideWhenUsed/>
    <w:rsid w:val="00B825F7"/>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0" w:type="dxa"/>
        <w:bottom w:w="0" w:type="dxa"/>
        <w:right w:w="0" w:type="dxa"/>
      </w:tblCellMar>
    </w:tblPr>
  </w:style>
  <w:style w:type="table" w:styleId="MediumShading2">
    <w:name w:val="Medium Shading 2"/>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1">
    <w:name w:val="Medium Shading 2 Accent 1"/>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2">
    <w:name w:val="Medium Shading 2 Accent 2"/>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3">
    <w:name w:val="Medium Shading 2 Accent 3"/>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4">
    <w:name w:val="Medium Shading 2 Accent 4"/>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5">
    <w:name w:val="Medium Shading 2 Accent 5"/>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Shading2-Accent6">
    <w:name w:val="Medium Shading 2 Accent 6"/>
    <w:uiPriority w:val="64"/>
    <w:semiHidden/>
    <w:unhideWhenUsed/>
    <w:rsid w:val="00B825F7"/>
    <w:rPr>
      <w:sz w:val="22"/>
      <w:szCs w:val="22"/>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paragraph" w:styleId="MessageHeader">
    <w:name w:val="Message Header"/>
    <w:link w:val="MessageHeaderChar"/>
    <w:uiPriority w:val="99"/>
    <w:semiHidden/>
    <w:unhideWhenUsed/>
    <w:rsid w:val="00B825F7"/>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rPr>
  </w:style>
  <w:style w:type="character" w:customStyle="1" w:styleId="MessageHeaderChar">
    <w:name w:val="Message Header Char"/>
    <w:link w:val="MessageHeader"/>
    <w:uiPriority w:val="99"/>
    <w:semiHidden/>
    <w:rsid w:val="00B825F7"/>
    <w:rPr>
      <w:rFonts w:ascii="Arial" w:eastAsia="Times New Roman" w:hAnsi="Arial" w:cs="Arial"/>
      <w:sz w:val="24"/>
      <w:szCs w:val="24"/>
      <w:shd w:val="pct20" w:color="auto" w:fill="auto"/>
    </w:rPr>
  </w:style>
  <w:style w:type="paragraph" w:styleId="NoSpacing">
    <w:name w:val="No Spacing"/>
    <w:uiPriority w:val="1"/>
    <w:qFormat/>
    <w:rsid w:val="00451CC4"/>
    <w:rPr>
      <w:rFonts w:cs="Arial"/>
      <w:sz w:val="22"/>
      <w:szCs w:val="22"/>
    </w:rPr>
  </w:style>
  <w:style w:type="paragraph" w:styleId="NormalWeb">
    <w:name w:val="Normal (Web)"/>
    <w:uiPriority w:val="99"/>
    <w:semiHidden/>
    <w:unhideWhenUsed/>
    <w:rsid w:val="00B825F7"/>
    <w:rPr>
      <w:rFonts w:cs="Arial"/>
      <w:sz w:val="24"/>
      <w:szCs w:val="24"/>
    </w:rPr>
  </w:style>
  <w:style w:type="paragraph" w:styleId="NormalIndent">
    <w:name w:val="Normal Indent"/>
    <w:uiPriority w:val="99"/>
    <w:semiHidden/>
    <w:unhideWhenUsed/>
    <w:rsid w:val="00B825F7"/>
    <w:pPr>
      <w:ind w:left="720"/>
    </w:pPr>
    <w:rPr>
      <w:rFonts w:cs="Arial"/>
      <w:sz w:val="22"/>
      <w:szCs w:val="22"/>
    </w:rPr>
  </w:style>
  <w:style w:type="paragraph" w:styleId="NoteHeading">
    <w:name w:val="Note Heading"/>
    <w:next w:val="Normal"/>
    <w:link w:val="NoteHeadingChar"/>
    <w:uiPriority w:val="99"/>
    <w:semiHidden/>
    <w:unhideWhenUsed/>
    <w:rsid w:val="00B825F7"/>
    <w:rPr>
      <w:rFonts w:cs="Arial"/>
      <w:sz w:val="22"/>
      <w:szCs w:val="22"/>
    </w:rPr>
  </w:style>
  <w:style w:type="character" w:customStyle="1" w:styleId="NoteHeadingChar">
    <w:name w:val="Note Heading Char"/>
    <w:link w:val="NoteHeading"/>
    <w:uiPriority w:val="99"/>
    <w:semiHidden/>
    <w:rsid w:val="00B825F7"/>
    <w:rPr>
      <w:rFonts w:ascii="Arial" w:hAnsi="Arial" w:cs="Arial"/>
    </w:rPr>
  </w:style>
  <w:style w:type="character" w:styleId="PageNumber">
    <w:name w:val="page number"/>
    <w:uiPriority w:val="99"/>
    <w:semiHidden/>
    <w:unhideWhenUsed/>
    <w:rsid w:val="00B825F7"/>
  </w:style>
  <w:style w:type="character" w:styleId="PlaceholderText">
    <w:name w:val="Placeholder Text"/>
    <w:uiPriority w:val="99"/>
    <w:semiHidden/>
    <w:rsid w:val="00B825F7"/>
    <w:rPr>
      <w:color w:val="808080"/>
    </w:rPr>
  </w:style>
  <w:style w:type="table" w:styleId="PlainTable1">
    <w:name w:val="Plain Table 1"/>
    <w:uiPriority w:val="41"/>
    <w:rsid w:val="00B825F7"/>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styleId="PlainTable2">
    <w:name w:val="Plain Table 2"/>
    <w:uiPriority w:val="42"/>
    <w:rsid w:val="00B825F7"/>
    <w:rPr>
      <w:sz w:val="22"/>
      <w:szCs w:val="22"/>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styleId="PlainTable3">
    <w:name w:val="Plain Table 3"/>
    <w:uiPriority w:val="43"/>
    <w:rsid w:val="00B825F7"/>
    <w:rPr>
      <w:sz w:val="22"/>
      <w:szCs w:val="22"/>
    </w:rPr>
    <w:tblPr>
      <w:tblStyleRowBandSize w:val="1"/>
      <w:tblStyleColBandSize w:val="1"/>
      <w:tblCellMar>
        <w:top w:w="0" w:type="dxa"/>
        <w:left w:w="0" w:type="dxa"/>
        <w:bottom w:w="0" w:type="dxa"/>
        <w:right w:w="0" w:type="dxa"/>
      </w:tblCellMar>
    </w:tblPr>
  </w:style>
  <w:style w:type="table" w:styleId="PlainTable4">
    <w:name w:val="Plain Table 4"/>
    <w:uiPriority w:val="44"/>
    <w:rsid w:val="00B825F7"/>
    <w:rPr>
      <w:sz w:val="22"/>
      <w:szCs w:val="22"/>
    </w:rPr>
    <w:tblPr>
      <w:tblStyleRowBandSize w:val="1"/>
      <w:tblStyleColBandSize w:val="1"/>
      <w:tblCellMar>
        <w:top w:w="0" w:type="dxa"/>
        <w:left w:w="0" w:type="dxa"/>
        <w:bottom w:w="0" w:type="dxa"/>
        <w:right w:w="0" w:type="dxa"/>
      </w:tblCellMar>
    </w:tblPr>
  </w:style>
  <w:style w:type="table" w:styleId="PlainTable5">
    <w:name w:val="Plain Table 5"/>
    <w:uiPriority w:val="45"/>
    <w:rsid w:val="00B825F7"/>
    <w:rPr>
      <w:sz w:val="22"/>
      <w:szCs w:val="22"/>
    </w:rPr>
    <w:tblPr>
      <w:tblStyleRowBandSize w:val="1"/>
      <w:tblStyleColBandSize w:val="1"/>
      <w:tblCellMar>
        <w:top w:w="0" w:type="dxa"/>
        <w:left w:w="0" w:type="dxa"/>
        <w:bottom w:w="0" w:type="dxa"/>
        <w:right w:w="0" w:type="dxa"/>
      </w:tblCellMar>
    </w:tblPr>
  </w:style>
  <w:style w:type="paragraph" w:styleId="PlainText">
    <w:name w:val="Plain Text"/>
    <w:link w:val="PlainTextChar"/>
    <w:uiPriority w:val="99"/>
    <w:semiHidden/>
    <w:unhideWhenUsed/>
    <w:rsid w:val="00B825F7"/>
    <w:rPr>
      <w:rFonts w:cs="Arial"/>
    </w:rPr>
  </w:style>
  <w:style w:type="character" w:customStyle="1" w:styleId="PlainTextChar">
    <w:name w:val="Plain Text Char"/>
    <w:link w:val="PlainText"/>
    <w:uiPriority w:val="99"/>
    <w:semiHidden/>
    <w:rsid w:val="00B825F7"/>
    <w:rPr>
      <w:rFonts w:ascii="Arial" w:hAnsi="Arial" w:cs="Arial"/>
      <w:sz w:val="20"/>
      <w:szCs w:val="20"/>
    </w:rPr>
  </w:style>
  <w:style w:type="paragraph" w:styleId="Quote">
    <w:name w:val="Quote"/>
    <w:next w:val="Normal"/>
    <w:link w:val="QuoteChar"/>
    <w:uiPriority w:val="29"/>
    <w:qFormat/>
    <w:rsid w:val="00B825F7"/>
    <w:pPr>
      <w:spacing w:before="200"/>
      <w:ind w:left="864" w:right="864"/>
      <w:jc w:val="center"/>
    </w:pPr>
    <w:rPr>
      <w:rFonts w:cs="Arial"/>
      <w:i/>
      <w:iCs/>
      <w:color w:val="404040"/>
      <w:sz w:val="22"/>
      <w:szCs w:val="22"/>
    </w:rPr>
  </w:style>
  <w:style w:type="character" w:customStyle="1" w:styleId="QuoteChar">
    <w:name w:val="Quote Char"/>
    <w:link w:val="Quote"/>
    <w:uiPriority w:val="29"/>
    <w:rsid w:val="00B825F7"/>
    <w:rPr>
      <w:rFonts w:ascii="Arial" w:hAnsi="Arial" w:cs="Arial"/>
      <w:i/>
      <w:iCs/>
      <w:color w:val="404040"/>
    </w:rPr>
  </w:style>
  <w:style w:type="paragraph" w:styleId="Salutation">
    <w:name w:val="Salutation"/>
    <w:next w:val="Normal"/>
    <w:link w:val="SalutationChar"/>
    <w:uiPriority w:val="99"/>
    <w:semiHidden/>
    <w:unhideWhenUsed/>
    <w:rsid w:val="00B825F7"/>
    <w:rPr>
      <w:rFonts w:cs="Arial"/>
      <w:sz w:val="22"/>
      <w:szCs w:val="22"/>
    </w:rPr>
  </w:style>
  <w:style w:type="character" w:customStyle="1" w:styleId="SalutationChar">
    <w:name w:val="Salutation Char"/>
    <w:link w:val="Salutation"/>
    <w:uiPriority w:val="99"/>
    <w:semiHidden/>
    <w:rsid w:val="00B825F7"/>
    <w:rPr>
      <w:rFonts w:ascii="Arial" w:hAnsi="Arial" w:cs="Arial"/>
    </w:rPr>
  </w:style>
  <w:style w:type="paragraph" w:styleId="Signature">
    <w:name w:val="Signature"/>
    <w:link w:val="SignatureChar"/>
    <w:uiPriority w:val="99"/>
    <w:semiHidden/>
    <w:unhideWhenUsed/>
    <w:rsid w:val="00B825F7"/>
    <w:pPr>
      <w:ind w:left="4252"/>
    </w:pPr>
    <w:rPr>
      <w:rFonts w:cs="Arial"/>
      <w:sz w:val="22"/>
      <w:szCs w:val="22"/>
    </w:rPr>
  </w:style>
  <w:style w:type="character" w:customStyle="1" w:styleId="SignatureChar">
    <w:name w:val="Signature Char"/>
    <w:link w:val="Signature"/>
    <w:uiPriority w:val="99"/>
    <w:semiHidden/>
    <w:rsid w:val="00B825F7"/>
    <w:rPr>
      <w:rFonts w:ascii="Arial" w:hAnsi="Arial" w:cs="Arial"/>
    </w:rPr>
  </w:style>
  <w:style w:type="character" w:styleId="Strong">
    <w:name w:val="Strong"/>
    <w:uiPriority w:val="22"/>
    <w:qFormat/>
    <w:rsid w:val="00B825F7"/>
    <w:rPr>
      <w:b/>
      <w:bCs/>
    </w:rPr>
  </w:style>
  <w:style w:type="paragraph" w:styleId="Subtitle">
    <w:name w:val="Subtitle"/>
    <w:next w:val="Normal"/>
    <w:link w:val="SubtitleChar"/>
    <w:uiPriority w:val="11"/>
    <w:qFormat/>
    <w:rsid w:val="00B825F7"/>
    <w:pPr>
      <w:spacing w:after="60"/>
      <w:jc w:val="center"/>
      <w:outlineLvl w:val="1"/>
    </w:pPr>
    <w:rPr>
      <w:rFonts w:eastAsia="Times New Roman" w:cs="Arial"/>
      <w:sz w:val="24"/>
      <w:szCs w:val="24"/>
    </w:rPr>
  </w:style>
  <w:style w:type="character" w:customStyle="1" w:styleId="SubtitleChar">
    <w:name w:val="Subtitle Char"/>
    <w:link w:val="Subtitle"/>
    <w:uiPriority w:val="11"/>
    <w:rsid w:val="00B825F7"/>
    <w:rPr>
      <w:rFonts w:ascii="Arial" w:eastAsia="Times New Roman" w:hAnsi="Arial" w:cs="Arial"/>
      <w:sz w:val="24"/>
      <w:szCs w:val="24"/>
    </w:rPr>
  </w:style>
  <w:style w:type="character" w:styleId="SubtleEmphasis">
    <w:name w:val="Subtle Emphasis"/>
    <w:uiPriority w:val="19"/>
    <w:qFormat/>
    <w:rsid w:val="00B825F7"/>
    <w:rPr>
      <w:i/>
      <w:iCs/>
      <w:color w:val="404040"/>
    </w:rPr>
  </w:style>
  <w:style w:type="character" w:styleId="SubtleReference">
    <w:name w:val="Subtle Reference"/>
    <w:uiPriority w:val="31"/>
    <w:qFormat/>
    <w:rsid w:val="00B825F7"/>
    <w:rPr>
      <w:smallCaps/>
      <w:color w:val="5A5A5A"/>
    </w:rPr>
  </w:style>
  <w:style w:type="table" w:styleId="Table3Deffects1">
    <w:name w:val="Table 3D effects 1"/>
    <w:uiPriority w:val="99"/>
    <w:semiHidden/>
    <w:unhideWhenUsed/>
    <w:rsid w:val="00B825F7"/>
    <w:pPr>
      <w:spacing w:after="160" w:line="259" w:lineRule="auto"/>
    </w:pPr>
    <w:rPr>
      <w:sz w:val="22"/>
      <w:szCs w:val="22"/>
    </w:rPr>
    <w:tblPr>
      <w:tblCellMar>
        <w:top w:w="0" w:type="dxa"/>
        <w:left w:w="0" w:type="dxa"/>
        <w:bottom w:w="0" w:type="dxa"/>
        <w:right w:w="0" w:type="dxa"/>
      </w:tblCellMar>
    </w:tblPr>
    <w:tcPr>
      <w:shd w:val="solid" w:color="C0C0C0" w:fill="FFFFFF"/>
    </w:tcPr>
  </w:style>
  <w:style w:type="table" w:styleId="Table3Deffects2">
    <w:name w:val="Table 3D effects 2"/>
    <w:uiPriority w:val="99"/>
    <w:semiHidden/>
    <w:unhideWhenUsed/>
    <w:rsid w:val="00B825F7"/>
    <w:pPr>
      <w:spacing w:after="160" w:line="259" w:lineRule="auto"/>
    </w:pPr>
    <w:rPr>
      <w:sz w:val="22"/>
      <w:szCs w:val="22"/>
    </w:rPr>
    <w:tblPr>
      <w:tblStyleRowBandSize w:val="1"/>
      <w:tblCellMar>
        <w:top w:w="0" w:type="dxa"/>
        <w:left w:w="0" w:type="dxa"/>
        <w:bottom w:w="0" w:type="dxa"/>
        <w:right w:w="0" w:type="dxa"/>
      </w:tblCellMar>
    </w:tblPr>
    <w:tcPr>
      <w:shd w:val="solid" w:color="C0C0C0" w:fill="FFFFFF"/>
    </w:tcPr>
  </w:style>
  <w:style w:type="table" w:styleId="Table3Deffects3">
    <w:name w:val="Table 3D effects 3"/>
    <w:uiPriority w:val="99"/>
    <w:semiHidden/>
    <w:unhideWhenUsed/>
    <w:rsid w:val="00B825F7"/>
    <w:pPr>
      <w:spacing w:after="160" w:line="259" w:lineRule="auto"/>
    </w:pPr>
    <w:rPr>
      <w:sz w:val="22"/>
      <w:szCs w:val="22"/>
    </w:rPr>
    <w:tblPr>
      <w:tblStyleRowBandSize w:val="1"/>
      <w:tblStyleColBandSize w:val="1"/>
      <w:tblCellMar>
        <w:top w:w="0" w:type="dxa"/>
        <w:left w:w="0" w:type="dxa"/>
        <w:bottom w:w="0" w:type="dxa"/>
        <w:right w:w="0" w:type="dxa"/>
      </w:tblCellMar>
    </w:tblPr>
  </w:style>
  <w:style w:type="table" w:styleId="TableClassic1">
    <w:name w:val="Table Classic 1"/>
    <w:uiPriority w:val="99"/>
    <w:semiHidden/>
    <w:unhideWhenUsed/>
    <w:rsid w:val="00B825F7"/>
    <w:pPr>
      <w:spacing w:after="160" w:line="259" w:lineRule="auto"/>
    </w:pPr>
    <w:rPr>
      <w:sz w:val="22"/>
      <w:szCs w:val="22"/>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2">
    <w:name w:val="Table Classic 2"/>
    <w:uiPriority w:val="99"/>
    <w:semiHidden/>
    <w:unhideWhenUsed/>
    <w:rsid w:val="00B825F7"/>
    <w:pPr>
      <w:spacing w:after="160" w:line="259" w:lineRule="auto"/>
    </w:pPr>
    <w:rPr>
      <w:sz w:val="22"/>
      <w:szCs w:val="22"/>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uiPriority w:val="99"/>
    <w:semiHidden/>
    <w:unhideWhenUsed/>
    <w:rsid w:val="00B825F7"/>
    <w:pPr>
      <w:spacing w:after="160" w:line="259" w:lineRule="auto"/>
    </w:pPr>
    <w:rPr>
      <w:color w:val="000080"/>
      <w:sz w:val="22"/>
      <w:szCs w:val="22"/>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uiPriority w:val="99"/>
    <w:semiHidden/>
    <w:unhideWhenUsed/>
    <w:rsid w:val="00B825F7"/>
    <w:pPr>
      <w:spacing w:after="160" w:line="259" w:lineRule="auto"/>
    </w:pPr>
    <w:rPr>
      <w:sz w:val="22"/>
      <w:szCs w:val="22"/>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uiPriority w:val="99"/>
    <w:semiHidden/>
    <w:unhideWhenUsed/>
    <w:rsid w:val="00B825F7"/>
    <w:pPr>
      <w:spacing w:after="160" w:line="259" w:lineRule="auto"/>
    </w:pPr>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uiPriority w:val="99"/>
    <w:semiHidden/>
    <w:unhideWhenUsed/>
    <w:rsid w:val="00B825F7"/>
    <w:pPr>
      <w:spacing w:after="160" w:line="259" w:lineRule="auto"/>
    </w:pPr>
    <w:rPr>
      <w:sz w:val="22"/>
      <w:szCs w:val="22"/>
    </w:r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uiPriority w:val="99"/>
    <w:semiHidden/>
    <w:unhideWhenUsed/>
    <w:rsid w:val="00B825F7"/>
    <w:pPr>
      <w:spacing w:after="160" w:line="259" w:lineRule="auto"/>
    </w:pPr>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uiPriority w:val="99"/>
    <w:semiHidden/>
    <w:unhideWhenUsed/>
    <w:rsid w:val="00B825F7"/>
    <w:pPr>
      <w:spacing w:after="160" w:line="259" w:lineRule="auto"/>
    </w:pPr>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uiPriority w:val="99"/>
    <w:semiHidden/>
    <w:unhideWhenUsed/>
    <w:rsid w:val="00B825F7"/>
    <w:pPr>
      <w:spacing w:after="160" w:line="259" w:lineRule="auto"/>
    </w:pPr>
    <w:rPr>
      <w:b/>
      <w:bCs/>
      <w:sz w:val="22"/>
      <w:szCs w:val="22"/>
    </w:rPr>
    <w:tblPr>
      <w:tblStyleColBandSize w:val="1"/>
      <w:tblCellMar>
        <w:top w:w="0" w:type="dxa"/>
        <w:left w:w="0" w:type="dxa"/>
        <w:bottom w:w="0" w:type="dxa"/>
        <w:right w:w="0" w:type="dxa"/>
      </w:tblCellMar>
    </w:tblPr>
  </w:style>
  <w:style w:type="table" w:styleId="TableColumns3">
    <w:name w:val="Table Columns 3"/>
    <w:uiPriority w:val="99"/>
    <w:semiHidden/>
    <w:unhideWhenUsed/>
    <w:rsid w:val="00B825F7"/>
    <w:pPr>
      <w:spacing w:after="160" w:line="259" w:lineRule="auto"/>
    </w:pPr>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uiPriority w:val="99"/>
    <w:semiHidden/>
    <w:unhideWhenUsed/>
    <w:rsid w:val="00B825F7"/>
    <w:pPr>
      <w:spacing w:after="160" w:line="259" w:lineRule="auto"/>
    </w:pPr>
    <w:rPr>
      <w:sz w:val="22"/>
      <w:szCs w:val="22"/>
    </w:rPr>
    <w:tblPr>
      <w:tblStyleColBandSize w:val="1"/>
      <w:tblCellMar>
        <w:top w:w="0" w:type="dxa"/>
        <w:left w:w="0" w:type="dxa"/>
        <w:bottom w:w="0" w:type="dxa"/>
        <w:right w:w="0" w:type="dxa"/>
      </w:tblCellMar>
    </w:tblPr>
  </w:style>
  <w:style w:type="table" w:styleId="TableColumns5">
    <w:name w:val="Table Columns 5"/>
    <w:uiPriority w:val="99"/>
    <w:semiHidden/>
    <w:unhideWhenUsed/>
    <w:rsid w:val="00B825F7"/>
    <w:pPr>
      <w:spacing w:after="160" w:line="259"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uiPriority w:val="99"/>
    <w:semiHidden/>
    <w:unhideWhenUsed/>
    <w:rsid w:val="00B825F7"/>
    <w:pPr>
      <w:spacing w:after="160" w:line="259" w:lineRule="auto"/>
    </w:pPr>
    <w:rPr>
      <w:sz w:val="22"/>
      <w:szCs w:val="22"/>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uiPriority w:val="99"/>
    <w:semiHidden/>
    <w:unhideWhenUsed/>
    <w:rsid w:val="00B825F7"/>
    <w:pPr>
      <w:spacing w:after="160" w:line="259"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
    <w:name w:val="Table Grid"/>
    <w:uiPriority w:val="39"/>
    <w:rsid w:val="00B825F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uiPriority w:val="99"/>
    <w:semiHidden/>
    <w:unhideWhenUsed/>
    <w:rsid w:val="00B825F7"/>
    <w:pPr>
      <w:spacing w:after="160"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uiPriority w:val="99"/>
    <w:semiHidden/>
    <w:unhideWhenUsed/>
    <w:rsid w:val="00B825F7"/>
    <w:pPr>
      <w:spacing w:after="160" w:line="259" w:lineRule="auto"/>
    </w:pPr>
    <w:rPr>
      <w:sz w:val="22"/>
      <w:szCs w:val="22"/>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uiPriority w:val="99"/>
    <w:semiHidden/>
    <w:unhideWhenUsed/>
    <w:rsid w:val="00B825F7"/>
    <w:pPr>
      <w:spacing w:after="160" w:line="259"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uiPriority w:val="99"/>
    <w:semiHidden/>
    <w:unhideWhenUsed/>
    <w:rsid w:val="00B825F7"/>
    <w:pPr>
      <w:spacing w:after="160" w:line="259" w:lineRule="auto"/>
    </w:pPr>
    <w:rPr>
      <w:sz w:val="22"/>
      <w:szCs w:val="22"/>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uiPriority w:val="99"/>
    <w:semiHidden/>
    <w:unhideWhenUsed/>
    <w:rsid w:val="00B825F7"/>
    <w:pPr>
      <w:spacing w:after="160" w:line="259"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uiPriority w:val="99"/>
    <w:semiHidden/>
    <w:unhideWhenUsed/>
    <w:rsid w:val="00B825F7"/>
    <w:pPr>
      <w:spacing w:after="160" w:line="259" w:lineRule="auto"/>
    </w:pPr>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uiPriority w:val="99"/>
    <w:semiHidden/>
    <w:unhideWhenUsed/>
    <w:rsid w:val="00B825F7"/>
    <w:pPr>
      <w:spacing w:after="160" w:line="259"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uiPriority w:val="99"/>
    <w:semiHidden/>
    <w:unhideWhenUsed/>
    <w:rsid w:val="00B825F7"/>
    <w:pPr>
      <w:spacing w:after="160" w:line="259"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GridLight">
    <w:name w:val="Grid Table Light"/>
    <w:uiPriority w:val="40"/>
    <w:rsid w:val="00B825F7"/>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styleId="TableList1">
    <w:name w:val="Table List 1"/>
    <w:uiPriority w:val="99"/>
    <w:semiHidden/>
    <w:unhideWhenUsed/>
    <w:rsid w:val="00B825F7"/>
    <w:pPr>
      <w:spacing w:after="160" w:line="259" w:lineRule="auto"/>
    </w:pPr>
    <w:rPr>
      <w:sz w:val="22"/>
      <w:szCs w:val="22"/>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uiPriority w:val="99"/>
    <w:semiHidden/>
    <w:unhideWhenUsed/>
    <w:rsid w:val="00B825F7"/>
    <w:pPr>
      <w:spacing w:after="160" w:line="259" w:lineRule="auto"/>
    </w:pPr>
    <w:rPr>
      <w:sz w:val="22"/>
      <w:szCs w:val="22"/>
    </w:r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uiPriority w:val="99"/>
    <w:semiHidden/>
    <w:unhideWhenUsed/>
    <w:rsid w:val="00B825F7"/>
    <w:pPr>
      <w:spacing w:after="160" w:line="259" w:lineRule="auto"/>
    </w:pPr>
    <w:rPr>
      <w:sz w:val="22"/>
      <w:szCs w:val="22"/>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uiPriority w:val="99"/>
    <w:semiHidden/>
    <w:unhideWhenUsed/>
    <w:rsid w:val="00B825F7"/>
    <w:pPr>
      <w:spacing w:after="160" w:line="259"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uiPriority w:val="99"/>
    <w:semiHidden/>
    <w:unhideWhenUsed/>
    <w:rsid w:val="00B825F7"/>
    <w:pPr>
      <w:spacing w:after="160"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uiPriority w:val="99"/>
    <w:semiHidden/>
    <w:unhideWhenUsed/>
    <w:rsid w:val="00B825F7"/>
    <w:pPr>
      <w:spacing w:after="160" w:line="259" w:lineRule="auto"/>
    </w:pPr>
    <w:rPr>
      <w:sz w:val="22"/>
      <w:szCs w:val="22"/>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uiPriority w:val="99"/>
    <w:semiHidden/>
    <w:unhideWhenUsed/>
    <w:rsid w:val="00B825F7"/>
    <w:pPr>
      <w:spacing w:after="160" w:line="259"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uiPriority w:val="99"/>
    <w:semiHidden/>
    <w:unhideWhenUsed/>
    <w:rsid w:val="00B825F7"/>
    <w:pPr>
      <w:spacing w:after="160" w:line="259" w:lineRule="auto"/>
    </w:pPr>
    <w:rPr>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uiPriority w:val="99"/>
    <w:semiHidden/>
    <w:unhideWhenUsed/>
    <w:rsid w:val="00B825F7"/>
    <w:pPr>
      <w:ind w:left="220" w:hanging="220"/>
    </w:pPr>
    <w:rPr>
      <w:rFonts w:cs="Arial"/>
      <w:sz w:val="22"/>
      <w:szCs w:val="22"/>
    </w:rPr>
  </w:style>
  <w:style w:type="paragraph" w:styleId="TableofFigures">
    <w:name w:val="table of figures"/>
    <w:next w:val="Normal"/>
    <w:uiPriority w:val="99"/>
    <w:semiHidden/>
    <w:unhideWhenUsed/>
    <w:rsid w:val="00B825F7"/>
    <w:rPr>
      <w:rFonts w:cs="Arial"/>
      <w:sz w:val="22"/>
      <w:szCs w:val="22"/>
    </w:rPr>
  </w:style>
  <w:style w:type="table" w:styleId="TableProfessional">
    <w:name w:val="Table Professional"/>
    <w:uiPriority w:val="99"/>
    <w:semiHidden/>
    <w:unhideWhenUsed/>
    <w:rsid w:val="00B825F7"/>
    <w:pPr>
      <w:spacing w:after="160"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uiPriority w:val="99"/>
    <w:semiHidden/>
    <w:unhideWhenUsed/>
    <w:rsid w:val="00B825F7"/>
    <w:pPr>
      <w:spacing w:after="160" w:line="259" w:lineRule="auto"/>
    </w:pPr>
    <w:rPr>
      <w:sz w:val="22"/>
      <w:szCs w:val="22"/>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uiPriority w:val="99"/>
    <w:semiHidden/>
    <w:unhideWhenUsed/>
    <w:rsid w:val="00B825F7"/>
    <w:pPr>
      <w:spacing w:after="160" w:line="259" w:lineRule="auto"/>
    </w:pPr>
    <w:rPr>
      <w:sz w:val="22"/>
      <w:szCs w:val="22"/>
    </w:rPr>
    <w:tblPr>
      <w:tblCellMar>
        <w:top w:w="0" w:type="dxa"/>
        <w:left w:w="0" w:type="dxa"/>
        <w:bottom w:w="0" w:type="dxa"/>
        <w:right w:w="0" w:type="dxa"/>
      </w:tblCellMar>
    </w:tblPr>
  </w:style>
  <w:style w:type="table" w:styleId="TableSimple3">
    <w:name w:val="Table Simple 3"/>
    <w:uiPriority w:val="99"/>
    <w:semiHidden/>
    <w:unhideWhenUsed/>
    <w:rsid w:val="00B825F7"/>
    <w:pPr>
      <w:spacing w:after="160" w:line="259" w:lineRule="auto"/>
    </w:pPr>
    <w:rPr>
      <w:sz w:val="22"/>
      <w:szCs w:val="22"/>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uiPriority w:val="99"/>
    <w:semiHidden/>
    <w:unhideWhenUsed/>
    <w:rsid w:val="00B825F7"/>
    <w:pPr>
      <w:spacing w:after="160" w:line="259" w:lineRule="auto"/>
    </w:pPr>
    <w:rPr>
      <w:sz w:val="22"/>
      <w:szCs w:val="22"/>
    </w:rPr>
    <w:tblPr>
      <w:tblStyleRowBandSize w:val="1"/>
      <w:tblCellMar>
        <w:top w:w="0" w:type="dxa"/>
        <w:left w:w="0" w:type="dxa"/>
        <w:bottom w:w="0" w:type="dxa"/>
        <w:right w:w="0" w:type="dxa"/>
      </w:tblCellMar>
    </w:tblPr>
  </w:style>
  <w:style w:type="table" w:styleId="TableSubtle2">
    <w:name w:val="Table Subtle 2"/>
    <w:uiPriority w:val="99"/>
    <w:semiHidden/>
    <w:unhideWhenUsed/>
    <w:rsid w:val="00B825F7"/>
    <w:pPr>
      <w:spacing w:after="160" w:line="259" w:lineRule="auto"/>
    </w:pPr>
    <w:rPr>
      <w:sz w:val="22"/>
      <w:szCs w:val="22"/>
    </w:r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uiPriority w:val="99"/>
    <w:semiHidden/>
    <w:unhideWhenUsed/>
    <w:rsid w:val="00B825F7"/>
    <w:pPr>
      <w:spacing w:after="160"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uiPriority w:val="99"/>
    <w:semiHidden/>
    <w:unhideWhenUsed/>
    <w:rsid w:val="00B825F7"/>
    <w:pPr>
      <w:spacing w:after="160" w:line="259"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uiPriority w:val="99"/>
    <w:semiHidden/>
    <w:unhideWhenUsed/>
    <w:rsid w:val="00B825F7"/>
    <w:pPr>
      <w:spacing w:after="160" w:line="259"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uiPriority w:val="99"/>
    <w:semiHidden/>
    <w:unhideWhenUsed/>
    <w:rsid w:val="00B825F7"/>
    <w:pPr>
      <w:spacing w:after="160" w:line="259"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itle">
    <w:name w:val="Title"/>
    <w:next w:val="Normal"/>
    <w:link w:val="TitleChar"/>
    <w:uiPriority w:val="10"/>
    <w:qFormat/>
    <w:rsid w:val="00B825F7"/>
    <w:pPr>
      <w:spacing w:before="240" w:after="60"/>
      <w:jc w:val="center"/>
      <w:outlineLvl w:val="0"/>
    </w:pPr>
    <w:rPr>
      <w:rFonts w:eastAsia="Times New Roman" w:cs="Arial"/>
      <w:b/>
      <w:bCs/>
      <w:kern w:val="28"/>
      <w:sz w:val="32"/>
      <w:szCs w:val="32"/>
    </w:rPr>
  </w:style>
  <w:style w:type="character" w:customStyle="1" w:styleId="TitleChar">
    <w:name w:val="Title Char"/>
    <w:link w:val="Title"/>
    <w:uiPriority w:val="10"/>
    <w:rsid w:val="00B825F7"/>
    <w:rPr>
      <w:rFonts w:ascii="Arial" w:eastAsia="Times New Roman" w:hAnsi="Arial" w:cs="Arial"/>
      <w:b/>
      <w:bCs/>
      <w:kern w:val="28"/>
      <w:sz w:val="32"/>
      <w:szCs w:val="32"/>
    </w:rPr>
  </w:style>
  <w:style w:type="paragraph" w:styleId="TOAHeading">
    <w:name w:val="toa heading"/>
    <w:next w:val="Normal"/>
    <w:uiPriority w:val="99"/>
    <w:semiHidden/>
    <w:unhideWhenUsed/>
    <w:rsid w:val="00B825F7"/>
    <w:pPr>
      <w:spacing w:before="120"/>
    </w:pPr>
    <w:rPr>
      <w:rFonts w:eastAsia="Times New Roman" w:cs="Arial"/>
      <w:b/>
      <w:bCs/>
      <w:sz w:val="24"/>
      <w:szCs w:val="24"/>
    </w:rPr>
  </w:style>
  <w:style w:type="paragraph" w:styleId="TOC1">
    <w:name w:val="toc 1"/>
    <w:next w:val="Normal"/>
    <w:autoRedefine/>
    <w:uiPriority w:val="39"/>
    <w:unhideWhenUsed/>
    <w:rsid w:val="00B825F7"/>
    <w:pPr>
      <w:autoSpaceDE w:val="0"/>
      <w:autoSpaceDN w:val="0"/>
      <w:adjustRightInd w:val="0"/>
      <w:spacing w:before="120"/>
    </w:pPr>
    <w:rPr>
      <w:rFonts w:asciiTheme="minorHAnsi" w:hAnsiTheme="minorHAnsi" w:cs="Arial"/>
      <w:b/>
      <w:bCs/>
      <w:i/>
      <w:iCs/>
      <w:color w:val="161616"/>
      <w:sz w:val="24"/>
      <w:szCs w:val="24"/>
    </w:rPr>
  </w:style>
  <w:style w:type="paragraph" w:styleId="TOC2">
    <w:name w:val="toc 2"/>
    <w:next w:val="Normal"/>
    <w:autoRedefine/>
    <w:uiPriority w:val="39"/>
    <w:unhideWhenUsed/>
    <w:rsid w:val="00B825F7"/>
    <w:pPr>
      <w:autoSpaceDE w:val="0"/>
      <w:autoSpaceDN w:val="0"/>
      <w:adjustRightInd w:val="0"/>
      <w:spacing w:before="120"/>
      <w:ind w:left="220"/>
    </w:pPr>
    <w:rPr>
      <w:rFonts w:asciiTheme="minorHAnsi" w:hAnsiTheme="minorHAnsi" w:cs="Arial"/>
      <w:b/>
      <w:bCs/>
      <w:color w:val="161616"/>
      <w:sz w:val="22"/>
      <w:szCs w:val="22"/>
    </w:rPr>
  </w:style>
  <w:style w:type="paragraph" w:styleId="TOC3">
    <w:name w:val="toc 3"/>
    <w:next w:val="Normal"/>
    <w:autoRedefine/>
    <w:uiPriority w:val="39"/>
    <w:unhideWhenUsed/>
    <w:rsid w:val="00B825F7"/>
    <w:pPr>
      <w:autoSpaceDE w:val="0"/>
      <w:autoSpaceDN w:val="0"/>
      <w:adjustRightInd w:val="0"/>
      <w:ind w:left="440"/>
    </w:pPr>
    <w:rPr>
      <w:rFonts w:asciiTheme="minorHAnsi" w:hAnsiTheme="minorHAnsi" w:cs="Arial"/>
      <w:color w:val="161616"/>
    </w:rPr>
  </w:style>
  <w:style w:type="paragraph" w:styleId="TOC4">
    <w:name w:val="toc 4"/>
    <w:next w:val="Normal"/>
    <w:autoRedefine/>
    <w:uiPriority w:val="39"/>
    <w:unhideWhenUsed/>
    <w:rsid w:val="00B825F7"/>
    <w:pPr>
      <w:autoSpaceDE w:val="0"/>
      <w:autoSpaceDN w:val="0"/>
      <w:adjustRightInd w:val="0"/>
      <w:ind w:left="660"/>
    </w:pPr>
    <w:rPr>
      <w:rFonts w:asciiTheme="minorHAnsi" w:hAnsiTheme="minorHAnsi" w:cs="Arial"/>
      <w:color w:val="161616"/>
    </w:rPr>
  </w:style>
  <w:style w:type="paragraph" w:styleId="TOC5">
    <w:name w:val="toc 5"/>
    <w:next w:val="Normal"/>
    <w:autoRedefine/>
    <w:uiPriority w:val="39"/>
    <w:unhideWhenUsed/>
    <w:rsid w:val="00B825F7"/>
    <w:pPr>
      <w:autoSpaceDE w:val="0"/>
      <w:autoSpaceDN w:val="0"/>
      <w:adjustRightInd w:val="0"/>
      <w:ind w:left="880"/>
    </w:pPr>
    <w:rPr>
      <w:rFonts w:asciiTheme="minorHAnsi" w:hAnsiTheme="minorHAnsi" w:cs="Arial"/>
      <w:color w:val="161616"/>
    </w:rPr>
  </w:style>
  <w:style w:type="paragraph" w:styleId="TOC6">
    <w:name w:val="toc 6"/>
    <w:next w:val="Normal"/>
    <w:autoRedefine/>
    <w:uiPriority w:val="39"/>
    <w:unhideWhenUsed/>
    <w:rsid w:val="00B825F7"/>
    <w:pPr>
      <w:autoSpaceDE w:val="0"/>
      <w:autoSpaceDN w:val="0"/>
      <w:adjustRightInd w:val="0"/>
      <w:ind w:left="1100"/>
    </w:pPr>
    <w:rPr>
      <w:rFonts w:asciiTheme="minorHAnsi" w:hAnsiTheme="minorHAnsi" w:cs="Arial"/>
      <w:color w:val="161616"/>
    </w:rPr>
  </w:style>
  <w:style w:type="paragraph" w:styleId="TOC7">
    <w:name w:val="toc 7"/>
    <w:next w:val="Normal"/>
    <w:autoRedefine/>
    <w:uiPriority w:val="39"/>
    <w:unhideWhenUsed/>
    <w:rsid w:val="00B825F7"/>
    <w:pPr>
      <w:autoSpaceDE w:val="0"/>
      <w:autoSpaceDN w:val="0"/>
      <w:adjustRightInd w:val="0"/>
      <w:ind w:left="1320"/>
    </w:pPr>
    <w:rPr>
      <w:rFonts w:asciiTheme="minorHAnsi" w:hAnsiTheme="minorHAnsi" w:cs="Arial"/>
      <w:color w:val="161616"/>
    </w:rPr>
  </w:style>
  <w:style w:type="paragraph" w:styleId="TOC8">
    <w:name w:val="toc 8"/>
    <w:next w:val="Normal"/>
    <w:autoRedefine/>
    <w:uiPriority w:val="39"/>
    <w:unhideWhenUsed/>
    <w:rsid w:val="00B825F7"/>
    <w:pPr>
      <w:autoSpaceDE w:val="0"/>
      <w:autoSpaceDN w:val="0"/>
      <w:adjustRightInd w:val="0"/>
      <w:ind w:left="1540"/>
    </w:pPr>
    <w:rPr>
      <w:rFonts w:asciiTheme="minorHAnsi" w:hAnsiTheme="minorHAnsi" w:cs="Arial"/>
      <w:color w:val="161616"/>
    </w:rPr>
  </w:style>
  <w:style w:type="paragraph" w:styleId="TOC9">
    <w:name w:val="toc 9"/>
    <w:next w:val="Normal"/>
    <w:autoRedefine/>
    <w:uiPriority w:val="39"/>
    <w:unhideWhenUsed/>
    <w:rsid w:val="00B825F7"/>
    <w:pPr>
      <w:autoSpaceDE w:val="0"/>
      <w:autoSpaceDN w:val="0"/>
      <w:adjustRightInd w:val="0"/>
      <w:ind w:left="1760"/>
    </w:pPr>
    <w:rPr>
      <w:rFonts w:asciiTheme="minorHAnsi" w:hAnsiTheme="minorHAnsi" w:cs="Arial"/>
      <w:color w:val="161616"/>
    </w:rPr>
  </w:style>
  <w:style w:type="paragraph" w:styleId="TOCHeading">
    <w:name w:val="TOC Heading"/>
    <w:next w:val="Normal"/>
    <w:uiPriority w:val="39"/>
    <w:unhideWhenUsed/>
    <w:qFormat/>
    <w:rsid w:val="00B825F7"/>
    <w:rPr>
      <w:rFonts w:eastAsia="Times New Roman" w:cs="Arial"/>
      <w:b/>
      <w:bCs/>
      <w:kern w:val="32"/>
      <w:sz w:val="32"/>
      <w:szCs w:val="32"/>
    </w:rPr>
  </w:style>
  <w:style w:type="paragraph" w:styleId="Revision">
    <w:name w:val="Revision"/>
    <w:hidden/>
    <w:uiPriority w:val="99"/>
    <w:semiHidden/>
    <w:rsid w:val="0042471A"/>
    <w:rPr>
      <w:rFonts w:ascii="Times New Roman" w:eastAsia="MS Mincho" w:hAnsi="Times New Roman"/>
      <w:sz w:val="24"/>
      <w:szCs w:val="24"/>
      <w:lang w:eastAsia="en-US"/>
    </w:rPr>
  </w:style>
  <w:style w:type="paragraph" w:customStyle="1" w:styleId="Default">
    <w:name w:val="Default"/>
    <w:rsid w:val="00E94C70"/>
    <w:pPr>
      <w:autoSpaceDE w:val="0"/>
      <w:autoSpaceDN w:val="0"/>
      <w:adjustRightInd w:val="0"/>
    </w:pPr>
    <w:rPr>
      <w:rFonts w:ascii="Book Antiqua" w:hAnsi="Book Antiqua" w:cs="Book Antiqua"/>
      <w:color w:val="000000"/>
      <w:sz w:val="24"/>
      <w:szCs w:val="24"/>
    </w:rPr>
  </w:style>
  <w:style w:type="paragraph" w:customStyle="1" w:styleId="NumberList1">
    <w:name w:val="Number List 1"/>
    <w:rsid w:val="00F2436B"/>
    <w:pPr>
      <w:numPr>
        <w:numId w:val="20"/>
      </w:numPr>
      <w:spacing w:after="120"/>
    </w:pPr>
    <w:rPr>
      <w:rFonts w:eastAsia="Times New Roman"/>
      <w:sz w:val="22"/>
    </w:rPr>
  </w:style>
  <w:style w:type="paragraph" w:customStyle="1" w:styleId="TableText">
    <w:name w:val="Table Text"/>
    <w:rsid w:val="005F3A9E"/>
    <w:pPr>
      <w:spacing w:before="40" w:after="40"/>
    </w:pPr>
    <w:rPr>
      <w:rFonts w:eastAsia="Times New Roman" w:cs="Arial"/>
      <w:sz w:val="18"/>
      <w:szCs w:val="18"/>
      <w:lang w:eastAsia="en-US"/>
    </w:rPr>
  </w:style>
  <w:style w:type="paragraph" w:customStyle="1" w:styleId="TableHeader">
    <w:name w:val="Table Header"/>
    <w:rsid w:val="005F3A9E"/>
    <w:pPr>
      <w:keepNext/>
      <w:spacing w:before="60" w:after="20"/>
    </w:pPr>
    <w:rPr>
      <w:rFonts w:eastAsia="Times New Roman" w:cs="Arial"/>
      <w:b/>
      <w:color w:val="FFFFFF"/>
      <w:lang w:eastAsia="en-US"/>
    </w:rPr>
  </w:style>
  <w:style w:type="paragraph" w:customStyle="1" w:styleId="DraftHeading3">
    <w:name w:val="Draft Heading 3"/>
    <w:basedOn w:val="Normal"/>
    <w:next w:val="Normal"/>
    <w:rsid w:val="00592FBA"/>
    <w:pPr>
      <w:overflowPunct w:val="0"/>
      <w:spacing w:before="120" w:after="0"/>
      <w:textAlignment w:val="baseline"/>
    </w:pPr>
    <w:rPr>
      <w:rFonts w:ascii="Times New Roman" w:eastAsia="Times New Roman" w:hAnsi="Times New Roman" w:cs="Times New Roman"/>
      <w:color w:val="auto"/>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082768">
      <w:bodyDiv w:val="1"/>
      <w:marLeft w:val="0"/>
      <w:marRight w:val="0"/>
      <w:marTop w:val="0"/>
      <w:marBottom w:val="0"/>
      <w:divBdr>
        <w:top w:val="none" w:sz="0" w:space="0" w:color="auto"/>
        <w:left w:val="none" w:sz="0" w:space="0" w:color="auto"/>
        <w:bottom w:val="none" w:sz="0" w:space="0" w:color="auto"/>
        <w:right w:val="none" w:sz="0" w:space="0" w:color="auto"/>
      </w:divBdr>
      <w:divsChild>
        <w:div w:id="2001613892">
          <w:marLeft w:val="0"/>
          <w:marRight w:val="0"/>
          <w:marTop w:val="0"/>
          <w:marBottom w:val="0"/>
          <w:divBdr>
            <w:top w:val="none" w:sz="0" w:space="0" w:color="auto"/>
            <w:left w:val="none" w:sz="0" w:space="0" w:color="auto"/>
            <w:bottom w:val="none" w:sz="0" w:space="0" w:color="auto"/>
            <w:right w:val="none" w:sz="0" w:space="0" w:color="auto"/>
          </w:divBdr>
        </w:div>
      </w:divsChild>
    </w:div>
    <w:div w:id="1013650664">
      <w:bodyDiv w:val="1"/>
      <w:marLeft w:val="0"/>
      <w:marRight w:val="0"/>
      <w:marTop w:val="0"/>
      <w:marBottom w:val="0"/>
      <w:divBdr>
        <w:top w:val="none" w:sz="0" w:space="0" w:color="auto"/>
        <w:left w:val="none" w:sz="0" w:space="0" w:color="auto"/>
        <w:bottom w:val="none" w:sz="0" w:space="0" w:color="auto"/>
        <w:right w:val="none" w:sz="0" w:space="0" w:color="auto"/>
      </w:divBdr>
    </w:div>
    <w:div w:id="1357198123">
      <w:bodyDiv w:val="1"/>
      <w:marLeft w:val="0"/>
      <w:marRight w:val="0"/>
      <w:marTop w:val="0"/>
      <w:marBottom w:val="0"/>
      <w:divBdr>
        <w:top w:val="none" w:sz="0" w:space="0" w:color="auto"/>
        <w:left w:val="none" w:sz="0" w:space="0" w:color="auto"/>
        <w:bottom w:val="none" w:sz="0" w:space="0" w:color="auto"/>
        <w:right w:val="none" w:sz="0" w:space="0" w:color="auto"/>
      </w:divBdr>
    </w:div>
    <w:div w:id="1403991893">
      <w:bodyDiv w:val="1"/>
      <w:marLeft w:val="0"/>
      <w:marRight w:val="0"/>
      <w:marTop w:val="0"/>
      <w:marBottom w:val="0"/>
      <w:divBdr>
        <w:top w:val="none" w:sz="0" w:space="0" w:color="auto"/>
        <w:left w:val="none" w:sz="0" w:space="0" w:color="auto"/>
        <w:bottom w:val="none" w:sz="0" w:space="0" w:color="auto"/>
        <w:right w:val="none" w:sz="0" w:space="0" w:color="auto"/>
      </w:divBdr>
    </w:div>
    <w:div w:id="1515656325">
      <w:bodyDiv w:val="1"/>
      <w:marLeft w:val="0"/>
      <w:marRight w:val="0"/>
      <w:marTop w:val="0"/>
      <w:marBottom w:val="0"/>
      <w:divBdr>
        <w:top w:val="none" w:sz="0" w:space="0" w:color="auto"/>
        <w:left w:val="none" w:sz="0" w:space="0" w:color="auto"/>
        <w:bottom w:val="none" w:sz="0" w:space="0" w:color="auto"/>
        <w:right w:val="none" w:sz="0" w:space="0" w:color="auto"/>
      </w:divBdr>
    </w:div>
    <w:div w:id="212180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B33E9-F032-45EF-B0FC-E2398D34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10466</Words>
  <Characters>59659</Characters>
  <Application>Microsoft Office Word</Application>
  <DocSecurity>8</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69986</CharactersWithSpaces>
  <SharedDoc>false</SharedDoc>
  <HLinks>
    <vt:vector size="54" baseType="variant">
      <vt:variant>
        <vt:i4>1376311</vt:i4>
      </vt:variant>
      <vt:variant>
        <vt:i4>44</vt:i4>
      </vt:variant>
      <vt:variant>
        <vt:i4>0</vt:i4>
      </vt:variant>
      <vt:variant>
        <vt:i4>5</vt:i4>
      </vt:variant>
      <vt:variant>
        <vt:lpwstr/>
      </vt:variant>
      <vt:variant>
        <vt:lpwstr>_Toc505175062</vt:lpwstr>
      </vt:variant>
      <vt:variant>
        <vt:i4>1441847</vt:i4>
      </vt:variant>
      <vt:variant>
        <vt:i4>38</vt:i4>
      </vt:variant>
      <vt:variant>
        <vt:i4>0</vt:i4>
      </vt:variant>
      <vt:variant>
        <vt:i4>5</vt:i4>
      </vt:variant>
      <vt:variant>
        <vt:lpwstr/>
      </vt:variant>
      <vt:variant>
        <vt:lpwstr>_Toc505175058</vt:lpwstr>
      </vt:variant>
      <vt:variant>
        <vt:i4>1441847</vt:i4>
      </vt:variant>
      <vt:variant>
        <vt:i4>32</vt:i4>
      </vt:variant>
      <vt:variant>
        <vt:i4>0</vt:i4>
      </vt:variant>
      <vt:variant>
        <vt:i4>5</vt:i4>
      </vt:variant>
      <vt:variant>
        <vt:lpwstr/>
      </vt:variant>
      <vt:variant>
        <vt:lpwstr>_Toc505175057</vt:lpwstr>
      </vt:variant>
      <vt:variant>
        <vt:i4>1441847</vt:i4>
      </vt:variant>
      <vt:variant>
        <vt:i4>26</vt:i4>
      </vt:variant>
      <vt:variant>
        <vt:i4>0</vt:i4>
      </vt:variant>
      <vt:variant>
        <vt:i4>5</vt:i4>
      </vt:variant>
      <vt:variant>
        <vt:lpwstr/>
      </vt:variant>
      <vt:variant>
        <vt:lpwstr>_Toc505175056</vt:lpwstr>
      </vt:variant>
      <vt:variant>
        <vt:i4>1441847</vt:i4>
      </vt:variant>
      <vt:variant>
        <vt:i4>20</vt:i4>
      </vt:variant>
      <vt:variant>
        <vt:i4>0</vt:i4>
      </vt:variant>
      <vt:variant>
        <vt:i4>5</vt:i4>
      </vt:variant>
      <vt:variant>
        <vt:lpwstr/>
      </vt:variant>
      <vt:variant>
        <vt:lpwstr>_Toc505175055</vt:lpwstr>
      </vt:variant>
      <vt:variant>
        <vt:i4>1441847</vt:i4>
      </vt:variant>
      <vt:variant>
        <vt:i4>14</vt:i4>
      </vt:variant>
      <vt:variant>
        <vt:i4>0</vt:i4>
      </vt:variant>
      <vt:variant>
        <vt:i4>5</vt:i4>
      </vt:variant>
      <vt:variant>
        <vt:lpwstr/>
      </vt:variant>
      <vt:variant>
        <vt:lpwstr>_Toc505175054</vt:lpwstr>
      </vt:variant>
      <vt:variant>
        <vt:i4>1441847</vt:i4>
      </vt:variant>
      <vt:variant>
        <vt:i4>8</vt:i4>
      </vt:variant>
      <vt:variant>
        <vt:i4>0</vt:i4>
      </vt:variant>
      <vt:variant>
        <vt:i4>5</vt:i4>
      </vt:variant>
      <vt:variant>
        <vt:lpwstr/>
      </vt:variant>
      <vt:variant>
        <vt:lpwstr>_Toc505175053</vt:lpwstr>
      </vt:variant>
      <vt:variant>
        <vt:i4>1441847</vt:i4>
      </vt:variant>
      <vt:variant>
        <vt:i4>2</vt:i4>
      </vt:variant>
      <vt:variant>
        <vt:i4>0</vt:i4>
      </vt:variant>
      <vt:variant>
        <vt:i4>5</vt:i4>
      </vt:variant>
      <vt:variant>
        <vt:lpwstr/>
      </vt:variant>
      <vt:variant>
        <vt:lpwstr>_Toc505175052</vt:lpwstr>
      </vt:variant>
      <vt:variant>
        <vt:i4>983153</vt:i4>
      </vt:variant>
      <vt:variant>
        <vt:i4>0</vt:i4>
      </vt:variant>
      <vt:variant>
        <vt:i4>0</vt:i4>
      </vt:variant>
      <vt:variant>
        <vt:i4>5</vt:i4>
      </vt:variant>
      <vt:variant>
        <vt:lpwstr>http://www.abs.gov.au/ausstats/abs@.nsf/Latestproducts/6401.0Main Features7Dec 2017?opendocument&amp;tabname=Summary&amp;prodno=6401.0&amp;issue=Dec%202017&amp;num=&amp;view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2020-09-07T07:55:00Z</dcterms:created>
  <dcterms:modified xsi:type="dcterms:W3CDTF">2020-09-07T07:55:00Z</dcterms:modified>
</cp:coreProperties>
</file>