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p w:rsidRPr="00DE34E5" w:rsidR="00AB0A8A" w:rsidP="00AB0A8A" w:rsidRDefault="00AB0A8A" w14:paraId="1C7CBDAC" w14:textId="77777777">
      <w:pPr>
        <w:spacing w:before="240" w:after="0"/>
        <w:jc w:val="right"/>
        <w:rPr>
          <w:b/>
          <w:sz w:val="28"/>
          <w:szCs w:val="28"/>
        </w:rPr>
      </w:pPr>
      <w:bookmarkStart w:id="0" w:name="_GoBack"/>
      <w:bookmarkEnd w:id="0"/>
      <w:r w:rsidRPr="00DE34E5">
        <w:rPr>
          <w:b/>
          <w:sz w:val="28"/>
          <w:szCs w:val="28"/>
        </w:rPr>
        <w:t>Department of Justice and Community Safety</w:t>
      </w:r>
    </w:p>
    <w:p w:rsidRPr="00AB0A8A" w:rsidR="00AB0A8A" w:rsidP="00AB0A8A" w:rsidRDefault="00AB0A8A" w14:paraId="78853132" w14:textId="77777777">
      <w:pPr>
        <w:spacing w:after="0"/>
        <w:jc w:val="right"/>
        <w:rPr>
          <w:color w:val="55575A"/>
          <w:sz w:val="68"/>
          <w:szCs w:val="68"/>
        </w:rPr>
      </w:pPr>
      <w:r w:rsidRPr="00AB0A8A">
        <w:rPr>
          <w:color w:val="55575A"/>
          <w:sz w:val="68"/>
          <w:szCs w:val="68"/>
        </w:rPr>
        <w:t>ANNUAL REPORT</w:t>
      </w:r>
    </w:p>
    <w:p w:rsidR="00AD6E2B" w:rsidP="00AB0A8A" w:rsidRDefault="00AB0A8A" w14:paraId="578AC365" w14:textId="32149BD2">
      <w:pPr>
        <w:spacing w:after="0"/>
        <w:jc w:val="right"/>
        <w:rPr>
          <w:color w:val="55575A"/>
          <w:sz w:val="120"/>
          <w:szCs w:val="120"/>
        </w:rPr>
      </w:pPr>
      <w:r w:rsidRPr="00AB0A8A">
        <w:rPr>
          <w:color w:val="55575A"/>
          <w:sz w:val="120"/>
          <w:szCs w:val="120"/>
        </w:rPr>
        <w:t>2018–19</w:t>
      </w:r>
    </w:p>
    <w:p w:rsidRPr="00DE34E5" w:rsidR="00892E50" w:rsidP="00892E50" w:rsidRDefault="00892E50" w14:paraId="5BAA9D01" w14:textId="204F1F9F">
      <w:pPr>
        <w:spacing w:after="0"/>
        <w:jc w:val="right"/>
        <w:rPr>
          <w:sz w:val="48"/>
          <w:szCs w:val="48"/>
        </w:rPr>
      </w:pPr>
      <w:r w:rsidRPr="00DE34E5">
        <w:rPr>
          <w:b/>
          <w:sz w:val="48"/>
          <w:szCs w:val="48"/>
        </w:rPr>
        <w:t>Financial report</w:t>
      </w:r>
    </w:p>
    <w:p w:rsidR="00AD6E2B" w:rsidRDefault="00AD6E2B" w14:paraId="4B18C67A" w14:textId="77777777"/>
    <w:p w:rsidR="00AD6E2B" w:rsidRDefault="00AD6E2B" w14:paraId="2F872301" w14:textId="0176F16E">
      <w:pPr>
        <w:sectPr w:rsidR="00AD6E2B" w:rsidSect="00AD6E2B">
          <w:headerReference r:id="rId8" w:type="default"/>
          <w:footerReference r:id="rId9" w:type="even"/>
          <w:footerReference r:id="rId10" w:type="default"/>
          <w:headerReference r:id="rId11" w:type="first"/>
          <w:pgSz w:w="11900" w:h="16840"/>
          <w:pgMar w:top="1701" w:right="851" w:bottom="851" w:left="851" w:header="0" w:footer="284" w:gutter="0"/>
          <w:cols w:space="708"/>
          <w:titlePg/>
          <w:docGrid w:linePitch="360"/>
        </w:sectPr>
      </w:pPr>
    </w:p>
    <w:p w:rsidRPr="00410306" w:rsidR="00AD6E2B" w:rsidP="00AD6E2B" w:rsidRDefault="00AD6E2B" w14:paraId="672D9A1E" w14:textId="77777777">
      <w:pPr>
        <w:rPr>
          <w:b/>
          <w:lang w:val="en-US"/>
        </w:rPr>
      </w:pPr>
      <w:r w:rsidRPr="00410306">
        <w:rPr>
          <w:b/>
          <w:lang w:val="en-US"/>
        </w:rPr>
        <w:lastRenderedPageBreak/>
        <w:t>Publication information</w:t>
      </w:r>
    </w:p>
    <w:p w:rsidRPr="00410306" w:rsidR="00AD6E2B" w:rsidP="00AD6E2B" w:rsidRDefault="00AD6E2B" w14:paraId="5B7E4EDB" w14:textId="77777777">
      <w:pPr>
        <w:rPr>
          <w:lang w:val="en-US"/>
        </w:rPr>
      </w:pPr>
      <w:r w:rsidRPr="00410306">
        <w:rPr>
          <w:lang w:val="en-US"/>
        </w:rPr>
        <w:t xml:space="preserve">The Department of Justice and Community Safety acknowledges the Traditional Owners of the land of Victoria and pays respect to their Elders, both past and present. </w:t>
      </w:r>
    </w:p>
    <w:p w:rsidRPr="00410306" w:rsidR="00AD6E2B" w:rsidP="00AD6E2B" w:rsidRDefault="00AD6E2B" w14:paraId="17A41F39" w14:textId="77777777">
      <w:pPr>
        <w:rPr>
          <w:lang w:val="en-US"/>
        </w:rPr>
      </w:pPr>
      <w:r w:rsidRPr="00410306">
        <w:rPr>
          <w:lang w:val="en-US"/>
        </w:rPr>
        <w:t xml:space="preserve">Aboriginal is used as the department’s standard reference for Aboriginal and Torres Strait Islander people. Prior to June 2018, ‘Koori’ was used as the department’s standard reference, and this term continues to be used in some DJCS business units, affiliated </w:t>
      </w:r>
      <w:proofErr w:type="spellStart"/>
      <w:r w:rsidRPr="00410306">
        <w:rPr>
          <w:lang w:val="en-US"/>
        </w:rPr>
        <w:t>organisations</w:t>
      </w:r>
      <w:proofErr w:type="spellEnd"/>
      <w:r w:rsidRPr="00410306">
        <w:rPr>
          <w:lang w:val="en-US"/>
        </w:rPr>
        <w:t xml:space="preserve"> and documents including the Koori Justice Unit, the Koori Courts, and the department’s Koori Inclusion Action Plan 2017-2020, </w:t>
      </w:r>
      <w:proofErr w:type="spellStart"/>
      <w:r w:rsidRPr="00410306">
        <w:rPr>
          <w:i/>
          <w:iCs/>
          <w:lang w:val="en-US"/>
        </w:rPr>
        <w:t>Yarrwul</w:t>
      </w:r>
      <w:proofErr w:type="spellEnd"/>
      <w:r w:rsidRPr="00410306">
        <w:rPr>
          <w:i/>
          <w:iCs/>
          <w:lang w:val="en-US"/>
        </w:rPr>
        <w:t xml:space="preserve"> </w:t>
      </w:r>
      <w:proofErr w:type="spellStart"/>
      <w:r w:rsidRPr="00410306">
        <w:rPr>
          <w:i/>
          <w:iCs/>
          <w:lang w:val="en-US"/>
        </w:rPr>
        <w:t>Loitjba</w:t>
      </w:r>
      <w:proofErr w:type="spellEnd"/>
      <w:r w:rsidRPr="00410306">
        <w:rPr>
          <w:i/>
          <w:iCs/>
          <w:lang w:val="en-US"/>
        </w:rPr>
        <w:t xml:space="preserve"> </w:t>
      </w:r>
      <w:proofErr w:type="spellStart"/>
      <w:r w:rsidRPr="00410306">
        <w:rPr>
          <w:i/>
          <w:iCs/>
          <w:lang w:val="en-US"/>
        </w:rPr>
        <w:t>Yapaneyepuk</w:t>
      </w:r>
      <w:proofErr w:type="spellEnd"/>
      <w:r w:rsidRPr="00410306">
        <w:rPr>
          <w:i/>
          <w:iCs/>
          <w:lang w:val="en-US"/>
        </w:rPr>
        <w:t xml:space="preserve"> – Walk the Talk Together</w:t>
      </w:r>
      <w:r w:rsidRPr="00410306">
        <w:rPr>
          <w:lang w:val="en-US"/>
        </w:rPr>
        <w:t xml:space="preserve">. </w:t>
      </w:r>
    </w:p>
    <w:p w:rsidRPr="00410306" w:rsidR="00AD6E2B" w:rsidP="00AD6E2B" w:rsidRDefault="00AD6E2B" w14:paraId="0E4E8442" w14:textId="77777777">
      <w:pPr>
        <w:rPr>
          <w:lang w:val="en-US"/>
        </w:rPr>
      </w:pPr>
      <w:proofErr w:type="spellStart"/>
      <w:r w:rsidRPr="00410306">
        <w:rPr>
          <w:lang w:val="en-US"/>
        </w:rPr>
        <w:t>Authorised</w:t>
      </w:r>
      <w:proofErr w:type="spellEnd"/>
      <w:r w:rsidRPr="00410306">
        <w:rPr>
          <w:lang w:val="en-US"/>
        </w:rPr>
        <w:t xml:space="preserve"> and published by the Victorian Government, 1 Treasury Place, Melbourne. </w:t>
      </w:r>
    </w:p>
    <w:p w:rsidRPr="00410306" w:rsidR="00AD6E2B" w:rsidP="00AD6E2B" w:rsidRDefault="00AD6E2B" w14:paraId="75349471" w14:textId="77777777">
      <w:pPr>
        <w:rPr>
          <w:lang w:val="en-US"/>
        </w:rPr>
      </w:pPr>
      <w:r w:rsidRPr="00410306">
        <w:rPr>
          <w:lang w:val="en-US"/>
        </w:rPr>
        <w:t>ISSN 1320-8543</w:t>
      </w:r>
    </w:p>
    <w:p w:rsidRPr="00410306" w:rsidR="00AD6E2B" w:rsidP="00AD6E2B" w:rsidRDefault="00AD6E2B" w14:paraId="7D2FA34A" w14:textId="77777777">
      <w:pPr>
        <w:rPr>
          <w:lang w:val="en-US"/>
        </w:rPr>
      </w:pPr>
      <w:r w:rsidRPr="00410306">
        <w:rPr>
          <w:lang w:val="en-US"/>
        </w:rPr>
        <w:t>Printed by Impact Digital, Brunswick</w:t>
      </w:r>
    </w:p>
    <w:p w:rsidRPr="00410306" w:rsidR="00AD6E2B" w:rsidP="00AD6E2B" w:rsidRDefault="00AD6E2B" w14:paraId="279851FC" w14:textId="77777777">
      <w:pPr>
        <w:rPr>
          <w:lang w:val="en-US"/>
        </w:rPr>
      </w:pPr>
      <w:r w:rsidRPr="00410306">
        <w:rPr>
          <w:lang w:val="en-US"/>
        </w:rPr>
        <w:t>October 2019</w:t>
      </w:r>
    </w:p>
    <w:p w:rsidRPr="00410306" w:rsidR="00AD6E2B" w:rsidP="00AD6E2B" w:rsidRDefault="00AD6E2B" w14:paraId="198DED04" w14:textId="77777777">
      <w:pPr>
        <w:rPr>
          <w:lang w:val="en-US"/>
        </w:rPr>
      </w:pPr>
      <w:r w:rsidRPr="00410306">
        <w:rPr>
          <w:lang w:val="en-US"/>
        </w:rPr>
        <w:t>© Government of Victoria</w:t>
      </w:r>
    </w:p>
    <w:p w:rsidRPr="00410306" w:rsidR="00AD6E2B" w:rsidP="00AD6E2B" w:rsidRDefault="00AD6E2B" w14:paraId="74CA7C54" w14:textId="77777777">
      <w:pPr>
        <w:rPr>
          <w:lang w:val="en-US"/>
        </w:rPr>
      </w:pPr>
      <w:r w:rsidRPr="00410306">
        <w:rPr>
          <w:lang w:val="en-US"/>
        </w:rPr>
        <w:t>This report is protected by copyright. Apart from any use permitted under the Copyright Act 1968, and those explicitly granted below, all other rights are reserved.</w:t>
      </w:r>
    </w:p>
    <w:p w:rsidRPr="00986D78" w:rsidR="00AD6E2B" w:rsidP="00AD6E2B" w:rsidRDefault="00AD6E2B" w14:paraId="1710A678" w14:textId="77777777">
      <w:pPr>
        <w:rPr>
          <w:b/>
          <w:lang w:val="en-US"/>
        </w:rPr>
      </w:pPr>
      <w:r w:rsidRPr="00986D78">
        <w:rPr>
          <w:b/>
          <w:lang w:val="en-US"/>
        </w:rPr>
        <w:t>Cover image</w:t>
      </w:r>
    </w:p>
    <w:p w:rsidRPr="00410306" w:rsidR="00AD6E2B" w:rsidP="00AD6E2B" w:rsidRDefault="00AD6E2B" w14:paraId="74CEF81F" w14:textId="77777777">
      <w:pPr>
        <w:rPr>
          <w:lang w:val="en-US"/>
        </w:rPr>
      </w:pPr>
      <w:r w:rsidRPr="00410306">
        <w:rPr>
          <w:lang w:val="en-US"/>
        </w:rPr>
        <w:t xml:space="preserve">Melbourne Justice Service Centre 50 Franklin Street officially opened on Friday 12 April 2019. Services include Adult Parole Board, Births Deaths and Marriages, Consumer Affairs Victoria, Community Corrections Services, Corrections Victoria, Post Sentence Authority and Sheriff’s Office Victoria. </w:t>
      </w:r>
    </w:p>
    <w:p w:rsidRPr="00410306" w:rsidR="00AD6E2B" w:rsidP="00AD6E2B" w:rsidRDefault="00AD6E2B" w14:paraId="4311B5BF" w14:textId="77777777">
      <w:pPr>
        <w:rPr>
          <w:lang w:val="en-US"/>
        </w:rPr>
      </w:pPr>
      <w:r w:rsidRPr="00410306">
        <w:t>Accessibility</w:t>
      </w:r>
    </w:p>
    <w:p w:rsidRPr="00410306" w:rsidR="00AD6E2B" w:rsidP="00AD6E2B" w:rsidRDefault="00AD6E2B" w14:paraId="19763D3A" w14:textId="77777777">
      <w:pPr>
        <w:rPr>
          <w:lang w:val="en-US"/>
        </w:rPr>
      </w:pPr>
      <w:r w:rsidRPr="00410306">
        <w:rPr>
          <w:lang w:val="en-US"/>
        </w:rPr>
        <w:t>Published in an accessible format on www.justice.vic.gov.au.</w:t>
      </w:r>
    </w:p>
    <w:p w:rsidRPr="00410306" w:rsidR="00AD6E2B" w:rsidP="00AD6E2B" w:rsidRDefault="00AD6E2B" w14:paraId="68178F91" w14:textId="77777777">
      <w:pPr>
        <w:rPr>
          <w:lang w:val="en-US"/>
        </w:rPr>
      </w:pPr>
      <w:r>
        <w:rPr>
          <w:noProof/>
          <w:lang w:val="en-US"/>
        </w:rPr>
        <w:drawing>
          <wp:inline distT="0" distB="0" distL="0" distR="0">
            <wp:extent cx="977900" cy="22860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1" name="Picture 21" descr="Creative Commons logo"/>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1" name="cc logo.jpg"/>
                    <pic:cNvPicPr/>
                  </pic:nvPicPr>
                  <pic:blipFill>
                    <a:blip cstate="print" r:embed="rId12">
                      <a:extLst>
                        <a:ext uri="{28A0092B-C50C-407E-A947-70E740481C1C}">
                          <a14:useLocalDpi val="false"/>
                        </a:ext>
                      </a:extLst>
                    </a:blip>
                    <a:stretch>
                      <a:fillRect/>
                    </a:stretch>
                  </pic:blipFill>
                  <pic:spPr>
                    <a:xfrm>
                      <a:off x="0" y="0"/>
                      <a:ext cx="977900" cy="228600"/>
                    </a:xfrm>
                    <a:prstGeom prst="rect">
                      <a:avLst/>
                    </a:prstGeom>
                  </pic:spPr>
                </pic:pic>
              </a:graphicData>
            </a:graphic>
          </wp:inline>
        </w:drawing>
      </w:r>
    </w:p>
    <w:p w:rsidRPr="00410306" w:rsidR="00AD6E2B" w:rsidP="00AD6E2B" w:rsidRDefault="00AD6E2B" w14:paraId="6AEBA20A" w14:textId="77777777">
      <w:pPr>
        <w:rPr>
          <w:lang w:val="en-US"/>
        </w:rPr>
      </w:pPr>
      <w:r w:rsidRPr="00410306">
        <w:rPr>
          <w:lang w:val="en-US"/>
        </w:rPr>
        <w:t xml:space="preserve">Unless indicated otherwise, content in this publication is provided under a Creative Commons Attribution 4.0 International </w:t>
      </w:r>
      <w:proofErr w:type="spellStart"/>
      <w:r w:rsidRPr="00410306">
        <w:rPr>
          <w:lang w:val="en-US"/>
        </w:rPr>
        <w:t>Licence</w:t>
      </w:r>
      <w:proofErr w:type="spellEnd"/>
      <w:r w:rsidRPr="00410306">
        <w:rPr>
          <w:lang w:val="en-US"/>
        </w:rPr>
        <w:t xml:space="preserve">. To view a copy of this </w:t>
      </w:r>
      <w:proofErr w:type="spellStart"/>
      <w:r w:rsidRPr="00410306">
        <w:rPr>
          <w:lang w:val="en-US"/>
        </w:rPr>
        <w:t>licence</w:t>
      </w:r>
      <w:proofErr w:type="spellEnd"/>
      <w:r w:rsidRPr="00410306">
        <w:rPr>
          <w:lang w:val="en-US"/>
        </w:rPr>
        <w:t xml:space="preserve">, visit  creativecommons.org/licenses/by/4. It is a condition of the Creative Commons Attribution  4.0 </w:t>
      </w:r>
      <w:proofErr w:type="spellStart"/>
      <w:r w:rsidRPr="00410306">
        <w:rPr>
          <w:lang w:val="en-US"/>
        </w:rPr>
        <w:t>Licence</w:t>
      </w:r>
      <w:proofErr w:type="spellEnd"/>
      <w:r w:rsidRPr="00410306">
        <w:rPr>
          <w:lang w:val="en-US"/>
        </w:rPr>
        <w:t xml:space="preserve"> that you must give credit to the original author who is the State of Victoria.</w:t>
      </w:r>
    </w:p>
    <w:p w:rsidR="00AD6E2B" w:rsidP="00AD6E2B" w:rsidRDefault="00AD6E2B" w14:paraId="6CB436D7" w14:textId="77777777">
      <w:r w:rsidRPr="00410306">
        <w:rPr>
          <w:lang w:val="en-US"/>
        </w:rPr>
        <w:t xml:space="preserve">This report is printed on </w:t>
      </w:r>
      <w:proofErr w:type="spellStart"/>
      <w:r w:rsidRPr="00410306">
        <w:rPr>
          <w:lang w:val="en-US"/>
        </w:rPr>
        <w:t>Ecostar</w:t>
      </w:r>
      <w:proofErr w:type="spellEnd"/>
      <w:r w:rsidRPr="00410306">
        <w:rPr>
          <w:lang w:val="en-US"/>
        </w:rPr>
        <w:t xml:space="preserve"> which is manufactured from 100% </w:t>
      </w:r>
      <w:proofErr w:type="spellStart"/>
      <w:r w:rsidRPr="00410306">
        <w:rPr>
          <w:lang w:val="en-US"/>
        </w:rPr>
        <w:t>Post Consumer</w:t>
      </w:r>
      <w:proofErr w:type="spellEnd"/>
      <w:r w:rsidRPr="00410306">
        <w:rPr>
          <w:lang w:val="en-US"/>
        </w:rPr>
        <w:t xml:space="preserve"> Recycled under the ISO 14001 environmental management system. </w:t>
      </w:r>
      <w:proofErr w:type="spellStart"/>
      <w:r w:rsidRPr="00410306">
        <w:rPr>
          <w:lang w:val="en-US"/>
        </w:rPr>
        <w:t>Ecostar</w:t>
      </w:r>
      <w:proofErr w:type="spellEnd"/>
      <w:r w:rsidRPr="00410306">
        <w:rPr>
          <w:lang w:val="en-US"/>
        </w:rPr>
        <w:t xml:space="preserve"> is an environmentally responsible paper made Carbon Neutral.</w:t>
      </w:r>
    </w:p>
    <w:p w:rsidR="00AD6E2B" w:rsidRDefault="00AD6E2B" w14:paraId="30ACD45A" w14:textId="238B7B14">
      <w:pPr>
        <w:spacing w:after="0"/>
      </w:pPr>
      <w:r>
        <w:br w:type="page"/>
      </w:r>
    </w:p>
    <w:p w:rsidRPr="00F91919" w:rsidR="00823156" w:rsidP="00F91919" w:rsidRDefault="00AD6E2B" w14:paraId="38FD86E8" w14:textId="54CB7BC3">
      <w:pPr>
        <w:pStyle w:val="Heading1"/>
      </w:pPr>
      <w:r w:rsidRPr="00F91919">
        <w:lastRenderedPageBreak/>
        <w:t>Content</w:t>
      </w:r>
    </w:p>
    <w:p w:rsidR="00F91919" w:rsidRDefault="00F91919" w14:paraId="6611F063" w14:textId="2EAE8816">
      <w:pPr>
        <w:pStyle w:val="TOC1"/>
        <w:tabs>
          <w:tab w:val="right" w:leader="dot" w:pos="10188"/>
        </w:tabs>
        <w:rPr>
          <w:rFonts w:asciiTheme="minorHAnsi" w:hAnsiTheme="minorHAnsi" w:eastAsiaTheme="minorEastAsia"/>
          <w:noProof/>
          <w:sz w:val="24"/>
          <w:lang w:val="en-AU"/>
        </w:rPr>
      </w:pPr>
      <w:r>
        <w:fldChar w:fldCharType="begin"/>
      </w:r>
      <w:r>
        <w:instrText xml:space="preserve"> TOC \o "1-2" \h \z \u </w:instrText>
      </w:r>
      <w:r>
        <w:fldChar w:fldCharType="separate"/>
      </w:r>
      <w:hyperlink w:history="true" w:anchor="_Toc21870889">
        <w:r w:rsidRPr="00504D67">
          <w:rPr>
            <w:rStyle w:val="Hyperlink"/>
            <w:noProof/>
          </w:rPr>
          <w:t>Declaration in financial statements</w:t>
        </w:r>
        <w:r>
          <w:rPr>
            <w:noProof/>
            <w:webHidden/>
          </w:rPr>
          <w:tab/>
        </w:r>
        <w:r>
          <w:rPr>
            <w:noProof/>
            <w:webHidden/>
          </w:rPr>
          <w:fldChar w:fldCharType="begin"/>
        </w:r>
        <w:r>
          <w:rPr>
            <w:noProof/>
            <w:webHidden/>
          </w:rPr>
          <w:instrText xml:space="preserve"> PAGEREF _Toc21870889 \h </w:instrText>
        </w:r>
        <w:r>
          <w:rPr>
            <w:noProof/>
            <w:webHidden/>
          </w:rPr>
        </w:r>
        <w:r>
          <w:rPr>
            <w:noProof/>
            <w:webHidden/>
          </w:rPr>
          <w:fldChar w:fldCharType="separate"/>
        </w:r>
        <w:r>
          <w:rPr>
            <w:noProof/>
            <w:webHidden/>
          </w:rPr>
          <w:t>4</w:t>
        </w:r>
        <w:r>
          <w:rPr>
            <w:noProof/>
            <w:webHidden/>
          </w:rPr>
          <w:fldChar w:fldCharType="end"/>
        </w:r>
      </w:hyperlink>
    </w:p>
    <w:p w:rsidR="00F91919" w:rsidRDefault="0094558F" w14:paraId="593FFA7A" w14:textId="0237DBF8">
      <w:pPr>
        <w:pStyle w:val="TOC1"/>
        <w:tabs>
          <w:tab w:val="right" w:leader="dot" w:pos="10188"/>
        </w:tabs>
        <w:rPr>
          <w:rFonts w:asciiTheme="minorHAnsi" w:hAnsiTheme="minorHAnsi" w:eastAsiaTheme="minorEastAsia"/>
          <w:noProof/>
          <w:sz w:val="24"/>
          <w:lang w:val="en-AU"/>
        </w:rPr>
      </w:pPr>
      <w:hyperlink w:history="true" w:anchor="_Toc21870890">
        <w:r w:rsidRPr="00504D67" w:rsidR="00F91919">
          <w:rPr>
            <w:rStyle w:val="Hyperlink"/>
            <w:noProof/>
          </w:rPr>
          <w:t>Independent Auditor’s Report</w:t>
        </w:r>
        <w:r w:rsidR="00F91919">
          <w:rPr>
            <w:noProof/>
            <w:webHidden/>
          </w:rPr>
          <w:tab/>
        </w:r>
        <w:r w:rsidR="00F91919">
          <w:rPr>
            <w:noProof/>
            <w:webHidden/>
          </w:rPr>
          <w:fldChar w:fldCharType="begin"/>
        </w:r>
        <w:r w:rsidR="00F91919">
          <w:rPr>
            <w:noProof/>
            <w:webHidden/>
          </w:rPr>
          <w:instrText xml:space="preserve"> PAGEREF _Toc21870890 \h </w:instrText>
        </w:r>
        <w:r w:rsidR="00F91919">
          <w:rPr>
            <w:noProof/>
            <w:webHidden/>
          </w:rPr>
        </w:r>
        <w:r w:rsidR="00F91919">
          <w:rPr>
            <w:noProof/>
            <w:webHidden/>
          </w:rPr>
          <w:fldChar w:fldCharType="separate"/>
        </w:r>
        <w:r w:rsidR="00F91919">
          <w:rPr>
            <w:noProof/>
            <w:webHidden/>
          </w:rPr>
          <w:t>5</w:t>
        </w:r>
        <w:r w:rsidR="00F91919">
          <w:rPr>
            <w:noProof/>
            <w:webHidden/>
          </w:rPr>
          <w:fldChar w:fldCharType="end"/>
        </w:r>
      </w:hyperlink>
    </w:p>
    <w:p w:rsidR="00F91919" w:rsidRDefault="0094558F" w14:paraId="15D9F2A5" w14:textId="0F9F6263">
      <w:pPr>
        <w:pStyle w:val="TOC1"/>
        <w:tabs>
          <w:tab w:val="right" w:leader="dot" w:pos="10188"/>
        </w:tabs>
        <w:rPr>
          <w:rFonts w:asciiTheme="minorHAnsi" w:hAnsiTheme="minorHAnsi" w:eastAsiaTheme="minorEastAsia"/>
          <w:noProof/>
          <w:sz w:val="24"/>
          <w:lang w:val="en-AU"/>
        </w:rPr>
      </w:pPr>
      <w:hyperlink w:history="true" w:anchor="_Toc21870898">
        <w:r w:rsidRPr="00504D67" w:rsidR="00F91919">
          <w:rPr>
            <w:rStyle w:val="Hyperlink"/>
            <w:noProof/>
          </w:rPr>
          <w:t>Comprehensive operating statement</w:t>
        </w:r>
        <w:r w:rsidR="00F91919">
          <w:rPr>
            <w:noProof/>
            <w:webHidden/>
          </w:rPr>
          <w:tab/>
        </w:r>
        <w:r w:rsidR="00F91919">
          <w:rPr>
            <w:noProof/>
            <w:webHidden/>
          </w:rPr>
          <w:fldChar w:fldCharType="begin"/>
        </w:r>
        <w:r w:rsidR="00F91919">
          <w:rPr>
            <w:noProof/>
            <w:webHidden/>
          </w:rPr>
          <w:instrText xml:space="preserve"> PAGEREF _Toc21870898 \h </w:instrText>
        </w:r>
        <w:r w:rsidR="00F91919">
          <w:rPr>
            <w:noProof/>
            <w:webHidden/>
          </w:rPr>
        </w:r>
        <w:r w:rsidR="00F91919">
          <w:rPr>
            <w:noProof/>
            <w:webHidden/>
          </w:rPr>
          <w:fldChar w:fldCharType="separate"/>
        </w:r>
        <w:r w:rsidR="00F91919">
          <w:rPr>
            <w:noProof/>
            <w:webHidden/>
          </w:rPr>
          <w:t>8</w:t>
        </w:r>
        <w:r w:rsidR="00F91919">
          <w:rPr>
            <w:noProof/>
            <w:webHidden/>
          </w:rPr>
          <w:fldChar w:fldCharType="end"/>
        </w:r>
      </w:hyperlink>
    </w:p>
    <w:p w:rsidR="00F91919" w:rsidRDefault="0094558F" w14:paraId="653E6DF8" w14:textId="2A3D7588">
      <w:pPr>
        <w:pStyle w:val="TOC1"/>
        <w:tabs>
          <w:tab w:val="right" w:leader="dot" w:pos="10188"/>
        </w:tabs>
        <w:rPr>
          <w:rFonts w:asciiTheme="minorHAnsi" w:hAnsiTheme="minorHAnsi" w:eastAsiaTheme="minorEastAsia"/>
          <w:noProof/>
          <w:sz w:val="24"/>
          <w:lang w:val="en-AU"/>
        </w:rPr>
      </w:pPr>
      <w:hyperlink w:history="true" w:anchor="_Toc21870899">
        <w:r w:rsidRPr="00504D67" w:rsidR="00F91919">
          <w:rPr>
            <w:rStyle w:val="Hyperlink"/>
            <w:noProof/>
          </w:rPr>
          <w:t>Balance sheet</w:t>
        </w:r>
        <w:r w:rsidR="00F91919">
          <w:rPr>
            <w:noProof/>
            <w:webHidden/>
          </w:rPr>
          <w:tab/>
        </w:r>
        <w:r w:rsidR="00F91919">
          <w:rPr>
            <w:noProof/>
            <w:webHidden/>
          </w:rPr>
          <w:fldChar w:fldCharType="begin"/>
        </w:r>
        <w:r w:rsidR="00F91919">
          <w:rPr>
            <w:noProof/>
            <w:webHidden/>
          </w:rPr>
          <w:instrText xml:space="preserve"> PAGEREF _Toc21870899 \h </w:instrText>
        </w:r>
        <w:r w:rsidR="00F91919">
          <w:rPr>
            <w:noProof/>
            <w:webHidden/>
          </w:rPr>
        </w:r>
        <w:r w:rsidR="00F91919">
          <w:rPr>
            <w:noProof/>
            <w:webHidden/>
          </w:rPr>
          <w:fldChar w:fldCharType="separate"/>
        </w:r>
        <w:r w:rsidR="00F91919">
          <w:rPr>
            <w:noProof/>
            <w:webHidden/>
          </w:rPr>
          <w:t>9</w:t>
        </w:r>
        <w:r w:rsidR="00F91919">
          <w:rPr>
            <w:noProof/>
            <w:webHidden/>
          </w:rPr>
          <w:fldChar w:fldCharType="end"/>
        </w:r>
      </w:hyperlink>
    </w:p>
    <w:p w:rsidR="00F91919" w:rsidRDefault="0094558F" w14:paraId="270DAE9E" w14:textId="2A21EBB7">
      <w:pPr>
        <w:pStyle w:val="TOC1"/>
        <w:tabs>
          <w:tab w:val="right" w:leader="dot" w:pos="10188"/>
        </w:tabs>
        <w:rPr>
          <w:rFonts w:asciiTheme="minorHAnsi" w:hAnsiTheme="minorHAnsi" w:eastAsiaTheme="minorEastAsia"/>
          <w:noProof/>
          <w:sz w:val="24"/>
          <w:lang w:val="en-AU"/>
        </w:rPr>
      </w:pPr>
      <w:hyperlink w:history="true" w:anchor="_Toc21870900">
        <w:r w:rsidRPr="00504D67" w:rsidR="00F91919">
          <w:rPr>
            <w:rStyle w:val="Hyperlink"/>
            <w:noProof/>
          </w:rPr>
          <w:t>Cash flow statement</w:t>
        </w:r>
        <w:r w:rsidR="00F91919">
          <w:rPr>
            <w:noProof/>
            <w:webHidden/>
          </w:rPr>
          <w:tab/>
        </w:r>
        <w:r w:rsidR="00F91919">
          <w:rPr>
            <w:noProof/>
            <w:webHidden/>
          </w:rPr>
          <w:fldChar w:fldCharType="begin"/>
        </w:r>
        <w:r w:rsidR="00F91919">
          <w:rPr>
            <w:noProof/>
            <w:webHidden/>
          </w:rPr>
          <w:instrText xml:space="preserve"> PAGEREF _Toc21870900 \h </w:instrText>
        </w:r>
        <w:r w:rsidR="00F91919">
          <w:rPr>
            <w:noProof/>
            <w:webHidden/>
          </w:rPr>
        </w:r>
        <w:r w:rsidR="00F91919">
          <w:rPr>
            <w:noProof/>
            <w:webHidden/>
          </w:rPr>
          <w:fldChar w:fldCharType="separate"/>
        </w:r>
        <w:r w:rsidR="00F91919">
          <w:rPr>
            <w:noProof/>
            <w:webHidden/>
          </w:rPr>
          <w:t>10</w:t>
        </w:r>
        <w:r w:rsidR="00F91919">
          <w:rPr>
            <w:noProof/>
            <w:webHidden/>
          </w:rPr>
          <w:fldChar w:fldCharType="end"/>
        </w:r>
      </w:hyperlink>
    </w:p>
    <w:p w:rsidR="00F91919" w:rsidRDefault="0094558F" w14:paraId="52F0AFF9" w14:textId="7C1240CE">
      <w:pPr>
        <w:pStyle w:val="TOC1"/>
        <w:tabs>
          <w:tab w:val="right" w:leader="dot" w:pos="10188"/>
        </w:tabs>
        <w:rPr>
          <w:rFonts w:asciiTheme="minorHAnsi" w:hAnsiTheme="minorHAnsi" w:eastAsiaTheme="minorEastAsia"/>
          <w:noProof/>
          <w:sz w:val="24"/>
          <w:lang w:val="en-AU"/>
        </w:rPr>
      </w:pPr>
      <w:hyperlink w:history="true" w:anchor="_Toc21870901">
        <w:r w:rsidRPr="00504D67" w:rsidR="00F91919">
          <w:rPr>
            <w:rStyle w:val="Hyperlink"/>
            <w:noProof/>
          </w:rPr>
          <w:t>Statement of changes in equity</w:t>
        </w:r>
        <w:r w:rsidR="00F91919">
          <w:rPr>
            <w:noProof/>
            <w:webHidden/>
          </w:rPr>
          <w:tab/>
        </w:r>
        <w:r w:rsidR="00F91919">
          <w:rPr>
            <w:noProof/>
            <w:webHidden/>
          </w:rPr>
          <w:fldChar w:fldCharType="begin"/>
        </w:r>
        <w:r w:rsidR="00F91919">
          <w:rPr>
            <w:noProof/>
            <w:webHidden/>
          </w:rPr>
          <w:instrText xml:space="preserve"> PAGEREF _Toc21870901 \h </w:instrText>
        </w:r>
        <w:r w:rsidR="00F91919">
          <w:rPr>
            <w:noProof/>
            <w:webHidden/>
          </w:rPr>
        </w:r>
        <w:r w:rsidR="00F91919">
          <w:rPr>
            <w:noProof/>
            <w:webHidden/>
          </w:rPr>
          <w:fldChar w:fldCharType="separate"/>
        </w:r>
        <w:r w:rsidR="00F91919">
          <w:rPr>
            <w:noProof/>
            <w:webHidden/>
          </w:rPr>
          <w:t>11</w:t>
        </w:r>
        <w:r w:rsidR="00F91919">
          <w:rPr>
            <w:noProof/>
            <w:webHidden/>
          </w:rPr>
          <w:fldChar w:fldCharType="end"/>
        </w:r>
      </w:hyperlink>
    </w:p>
    <w:p w:rsidR="00F91919" w:rsidRDefault="0094558F" w14:paraId="769BD5B8" w14:textId="00B5F924">
      <w:pPr>
        <w:pStyle w:val="TOC1"/>
        <w:tabs>
          <w:tab w:val="right" w:leader="dot" w:pos="10188"/>
        </w:tabs>
        <w:rPr>
          <w:rFonts w:asciiTheme="minorHAnsi" w:hAnsiTheme="minorHAnsi" w:eastAsiaTheme="minorEastAsia"/>
          <w:noProof/>
          <w:sz w:val="24"/>
          <w:lang w:val="en-AU"/>
        </w:rPr>
      </w:pPr>
      <w:hyperlink w:history="true" w:anchor="_Toc21870902">
        <w:r w:rsidRPr="00504D67" w:rsidR="00F91919">
          <w:rPr>
            <w:rStyle w:val="Hyperlink"/>
            <w:noProof/>
          </w:rPr>
          <w:t>Notes to the financial statements</w:t>
        </w:r>
        <w:r w:rsidR="00F91919">
          <w:rPr>
            <w:noProof/>
            <w:webHidden/>
          </w:rPr>
          <w:tab/>
        </w:r>
        <w:r w:rsidR="00F91919">
          <w:rPr>
            <w:noProof/>
            <w:webHidden/>
          </w:rPr>
          <w:fldChar w:fldCharType="begin"/>
        </w:r>
        <w:r w:rsidR="00F91919">
          <w:rPr>
            <w:noProof/>
            <w:webHidden/>
          </w:rPr>
          <w:instrText xml:space="preserve"> PAGEREF _Toc21870902 \h </w:instrText>
        </w:r>
        <w:r w:rsidR="00F91919">
          <w:rPr>
            <w:noProof/>
            <w:webHidden/>
          </w:rPr>
        </w:r>
        <w:r w:rsidR="00F91919">
          <w:rPr>
            <w:noProof/>
            <w:webHidden/>
          </w:rPr>
          <w:fldChar w:fldCharType="separate"/>
        </w:r>
        <w:r w:rsidR="00F91919">
          <w:rPr>
            <w:noProof/>
            <w:webHidden/>
          </w:rPr>
          <w:t>12</w:t>
        </w:r>
        <w:r w:rsidR="00F91919">
          <w:rPr>
            <w:noProof/>
            <w:webHidden/>
          </w:rPr>
          <w:fldChar w:fldCharType="end"/>
        </w:r>
      </w:hyperlink>
    </w:p>
    <w:p w:rsidR="00F91919" w:rsidRDefault="0094558F" w14:paraId="5362F41F" w14:textId="15D049EA">
      <w:pPr>
        <w:pStyle w:val="TOC2"/>
        <w:tabs>
          <w:tab w:val="right" w:leader="dot" w:pos="10188"/>
        </w:tabs>
        <w:rPr>
          <w:noProof/>
        </w:rPr>
      </w:pPr>
      <w:hyperlink w:history="true" w:anchor="_Toc21870903">
        <w:r w:rsidRPr="00504D67" w:rsidR="00F91919">
          <w:rPr>
            <w:rStyle w:val="Hyperlink"/>
            <w:noProof/>
          </w:rPr>
          <w:t>1. About this report</w:t>
        </w:r>
        <w:r w:rsidR="00F91919">
          <w:rPr>
            <w:noProof/>
            <w:webHidden/>
          </w:rPr>
          <w:tab/>
        </w:r>
        <w:r w:rsidR="00F91919">
          <w:rPr>
            <w:noProof/>
            <w:webHidden/>
          </w:rPr>
          <w:fldChar w:fldCharType="begin"/>
        </w:r>
        <w:r w:rsidR="00F91919">
          <w:rPr>
            <w:noProof/>
            <w:webHidden/>
          </w:rPr>
          <w:instrText xml:space="preserve"> PAGEREF _Toc21870903 \h </w:instrText>
        </w:r>
        <w:r w:rsidR="00F91919">
          <w:rPr>
            <w:noProof/>
            <w:webHidden/>
          </w:rPr>
        </w:r>
        <w:r w:rsidR="00F91919">
          <w:rPr>
            <w:noProof/>
            <w:webHidden/>
          </w:rPr>
          <w:fldChar w:fldCharType="separate"/>
        </w:r>
        <w:r w:rsidR="00F91919">
          <w:rPr>
            <w:noProof/>
            <w:webHidden/>
          </w:rPr>
          <w:t>12</w:t>
        </w:r>
        <w:r w:rsidR="00F91919">
          <w:rPr>
            <w:noProof/>
            <w:webHidden/>
          </w:rPr>
          <w:fldChar w:fldCharType="end"/>
        </w:r>
      </w:hyperlink>
    </w:p>
    <w:p w:rsidR="00F91919" w:rsidRDefault="0094558F" w14:paraId="163C21E8" w14:textId="05B18819">
      <w:pPr>
        <w:pStyle w:val="TOC2"/>
        <w:tabs>
          <w:tab w:val="right" w:leader="dot" w:pos="10188"/>
        </w:tabs>
        <w:rPr>
          <w:noProof/>
        </w:rPr>
      </w:pPr>
      <w:hyperlink w:history="true" w:anchor="_Toc21870904">
        <w:r w:rsidRPr="00504D67" w:rsidR="00F91919">
          <w:rPr>
            <w:rStyle w:val="Hyperlink"/>
            <w:noProof/>
          </w:rPr>
          <w:t>2. Funding delivery of services</w:t>
        </w:r>
        <w:r w:rsidR="00F91919">
          <w:rPr>
            <w:noProof/>
            <w:webHidden/>
          </w:rPr>
          <w:tab/>
        </w:r>
        <w:r w:rsidR="00F91919">
          <w:rPr>
            <w:noProof/>
            <w:webHidden/>
          </w:rPr>
          <w:fldChar w:fldCharType="begin"/>
        </w:r>
        <w:r w:rsidR="00F91919">
          <w:rPr>
            <w:noProof/>
            <w:webHidden/>
          </w:rPr>
          <w:instrText xml:space="preserve"> PAGEREF _Toc21870904 \h </w:instrText>
        </w:r>
        <w:r w:rsidR="00F91919">
          <w:rPr>
            <w:noProof/>
            <w:webHidden/>
          </w:rPr>
        </w:r>
        <w:r w:rsidR="00F91919">
          <w:rPr>
            <w:noProof/>
            <w:webHidden/>
          </w:rPr>
          <w:fldChar w:fldCharType="separate"/>
        </w:r>
        <w:r w:rsidR="00F91919">
          <w:rPr>
            <w:noProof/>
            <w:webHidden/>
          </w:rPr>
          <w:t>13</w:t>
        </w:r>
        <w:r w:rsidR="00F91919">
          <w:rPr>
            <w:noProof/>
            <w:webHidden/>
          </w:rPr>
          <w:fldChar w:fldCharType="end"/>
        </w:r>
      </w:hyperlink>
    </w:p>
    <w:p w:rsidR="00F91919" w:rsidRDefault="0094558F" w14:paraId="1BED7030" w14:textId="094A0621">
      <w:pPr>
        <w:pStyle w:val="TOC2"/>
        <w:tabs>
          <w:tab w:val="right" w:leader="dot" w:pos="10188"/>
        </w:tabs>
        <w:rPr>
          <w:noProof/>
        </w:rPr>
      </w:pPr>
      <w:hyperlink w:history="true" w:anchor="_Toc21870905">
        <w:r w:rsidRPr="00504D67" w:rsidR="00F91919">
          <w:rPr>
            <w:rStyle w:val="Hyperlink"/>
            <w:noProof/>
          </w:rPr>
          <w:t>3. Cost of delivering services</w:t>
        </w:r>
        <w:r w:rsidR="00F91919">
          <w:rPr>
            <w:noProof/>
            <w:webHidden/>
          </w:rPr>
          <w:tab/>
        </w:r>
        <w:r w:rsidR="00F91919">
          <w:rPr>
            <w:noProof/>
            <w:webHidden/>
          </w:rPr>
          <w:fldChar w:fldCharType="begin"/>
        </w:r>
        <w:r w:rsidR="00F91919">
          <w:rPr>
            <w:noProof/>
            <w:webHidden/>
          </w:rPr>
          <w:instrText xml:space="preserve"> PAGEREF _Toc21870905 \h </w:instrText>
        </w:r>
        <w:r w:rsidR="00F91919">
          <w:rPr>
            <w:noProof/>
            <w:webHidden/>
          </w:rPr>
        </w:r>
        <w:r w:rsidR="00F91919">
          <w:rPr>
            <w:noProof/>
            <w:webHidden/>
          </w:rPr>
          <w:fldChar w:fldCharType="separate"/>
        </w:r>
        <w:r w:rsidR="00F91919">
          <w:rPr>
            <w:noProof/>
            <w:webHidden/>
          </w:rPr>
          <w:t>18</w:t>
        </w:r>
        <w:r w:rsidR="00F91919">
          <w:rPr>
            <w:noProof/>
            <w:webHidden/>
          </w:rPr>
          <w:fldChar w:fldCharType="end"/>
        </w:r>
      </w:hyperlink>
    </w:p>
    <w:p w:rsidR="00F91919" w:rsidRDefault="0094558F" w14:paraId="7EF5B009" w14:textId="4E966AE2">
      <w:pPr>
        <w:pStyle w:val="TOC2"/>
        <w:tabs>
          <w:tab w:val="right" w:leader="dot" w:pos="10188"/>
        </w:tabs>
        <w:rPr>
          <w:noProof/>
        </w:rPr>
      </w:pPr>
      <w:hyperlink w:history="true" w:anchor="_Toc21870906">
        <w:r w:rsidRPr="00504D67" w:rsidR="00F91919">
          <w:rPr>
            <w:rStyle w:val="Hyperlink"/>
            <w:noProof/>
          </w:rPr>
          <w:t>4. Disaggregated financial information by output</w:t>
        </w:r>
        <w:r w:rsidR="00F91919">
          <w:rPr>
            <w:noProof/>
            <w:webHidden/>
          </w:rPr>
          <w:tab/>
        </w:r>
        <w:r w:rsidR="00F91919">
          <w:rPr>
            <w:noProof/>
            <w:webHidden/>
          </w:rPr>
          <w:fldChar w:fldCharType="begin"/>
        </w:r>
        <w:r w:rsidR="00F91919">
          <w:rPr>
            <w:noProof/>
            <w:webHidden/>
          </w:rPr>
          <w:instrText xml:space="preserve"> PAGEREF _Toc21870906 \h </w:instrText>
        </w:r>
        <w:r w:rsidR="00F91919">
          <w:rPr>
            <w:noProof/>
            <w:webHidden/>
          </w:rPr>
        </w:r>
        <w:r w:rsidR="00F91919">
          <w:rPr>
            <w:noProof/>
            <w:webHidden/>
          </w:rPr>
          <w:fldChar w:fldCharType="separate"/>
        </w:r>
        <w:r w:rsidR="00F91919">
          <w:rPr>
            <w:noProof/>
            <w:webHidden/>
          </w:rPr>
          <w:t>21</w:t>
        </w:r>
        <w:r w:rsidR="00F91919">
          <w:rPr>
            <w:noProof/>
            <w:webHidden/>
          </w:rPr>
          <w:fldChar w:fldCharType="end"/>
        </w:r>
      </w:hyperlink>
    </w:p>
    <w:p w:rsidR="00F91919" w:rsidRDefault="0094558F" w14:paraId="326F37DD" w14:textId="48F1C176">
      <w:pPr>
        <w:pStyle w:val="TOC2"/>
        <w:tabs>
          <w:tab w:val="right" w:leader="dot" w:pos="10188"/>
        </w:tabs>
        <w:rPr>
          <w:noProof/>
        </w:rPr>
      </w:pPr>
      <w:hyperlink w:history="true" w:anchor="_Toc21870907">
        <w:r w:rsidRPr="00504D67" w:rsidR="00F91919">
          <w:rPr>
            <w:rStyle w:val="Hyperlink"/>
            <w:noProof/>
          </w:rPr>
          <w:t>5. Key assets available to support output delivery</w:t>
        </w:r>
        <w:r w:rsidR="00F91919">
          <w:rPr>
            <w:noProof/>
            <w:webHidden/>
          </w:rPr>
          <w:tab/>
        </w:r>
        <w:r w:rsidR="00F91919">
          <w:rPr>
            <w:noProof/>
            <w:webHidden/>
          </w:rPr>
          <w:fldChar w:fldCharType="begin"/>
        </w:r>
        <w:r w:rsidR="00F91919">
          <w:rPr>
            <w:noProof/>
            <w:webHidden/>
          </w:rPr>
          <w:instrText xml:space="preserve"> PAGEREF _Toc21870907 \h </w:instrText>
        </w:r>
        <w:r w:rsidR="00F91919">
          <w:rPr>
            <w:noProof/>
            <w:webHidden/>
          </w:rPr>
        </w:r>
        <w:r w:rsidR="00F91919">
          <w:rPr>
            <w:noProof/>
            <w:webHidden/>
          </w:rPr>
          <w:fldChar w:fldCharType="separate"/>
        </w:r>
        <w:r w:rsidR="00F91919">
          <w:rPr>
            <w:noProof/>
            <w:webHidden/>
          </w:rPr>
          <w:t>26</w:t>
        </w:r>
        <w:r w:rsidR="00F91919">
          <w:rPr>
            <w:noProof/>
            <w:webHidden/>
          </w:rPr>
          <w:fldChar w:fldCharType="end"/>
        </w:r>
      </w:hyperlink>
    </w:p>
    <w:p w:rsidR="00F91919" w:rsidRDefault="0094558F" w14:paraId="6FBEF705" w14:textId="77553D5A">
      <w:pPr>
        <w:pStyle w:val="TOC2"/>
        <w:tabs>
          <w:tab w:val="right" w:leader="dot" w:pos="10188"/>
        </w:tabs>
        <w:rPr>
          <w:noProof/>
        </w:rPr>
      </w:pPr>
      <w:hyperlink w:history="true" w:anchor="_Toc21870908">
        <w:r w:rsidRPr="00504D67" w:rsidR="00F91919">
          <w:rPr>
            <w:rStyle w:val="Hyperlink"/>
            <w:noProof/>
          </w:rPr>
          <w:t>6. Other assets and liabilities</w:t>
        </w:r>
        <w:r w:rsidR="00F91919">
          <w:rPr>
            <w:noProof/>
            <w:webHidden/>
          </w:rPr>
          <w:tab/>
        </w:r>
        <w:r w:rsidR="00F91919">
          <w:rPr>
            <w:noProof/>
            <w:webHidden/>
          </w:rPr>
          <w:fldChar w:fldCharType="begin"/>
        </w:r>
        <w:r w:rsidR="00F91919">
          <w:rPr>
            <w:noProof/>
            <w:webHidden/>
          </w:rPr>
          <w:instrText xml:space="preserve"> PAGEREF _Toc21870908 \h </w:instrText>
        </w:r>
        <w:r w:rsidR="00F91919">
          <w:rPr>
            <w:noProof/>
            <w:webHidden/>
          </w:rPr>
        </w:r>
        <w:r w:rsidR="00F91919">
          <w:rPr>
            <w:noProof/>
            <w:webHidden/>
          </w:rPr>
          <w:fldChar w:fldCharType="separate"/>
        </w:r>
        <w:r w:rsidR="00F91919">
          <w:rPr>
            <w:noProof/>
            <w:webHidden/>
          </w:rPr>
          <w:t>30</w:t>
        </w:r>
        <w:r w:rsidR="00F91919">
          <w:rPr>
            <w:noProof/>
            <w:webHidden/>
          </w:rPr>
          <w:fldChar w:fldCharType="end"/>
        </w:r>
      </w:hyperlink>
    </w:p>
    <w:p w:rsidR="00F91919" w:rsidRDefault="0094558F" w14:paraId="0C175D93" w14:textId="6FFF4A3C">
      <w:pPr>
        <w:pStyle w:val="TOC2"/>
        <w:tabs>
          <w:tab w:val="right" w:leader="dot" w:pos="10188"/>
        </w:tabs>
        <w:rPr>
          <w:noProof/>
        </w:rPr>
      </w:pPr>
      <w:hyperlink w:history="true" w:anchor="_Toc21870909">
        <w:r w:rsidRPr="00504D67" w:rsidR="00F91919">
          <w:rPr>
            <w:rStyle w:val="Hyperlink"/>
            <w:noProof/>
          </w:rPr>
          <w:t>7. Financing operations</w:t>
        </w:r>
        <w:r w:rsidR="00F91919">
          <w:rPr>
            <w:noProof/>
            <w:webHidden/>
          </w:rPr>
          <w:tab/>
        </w:r>
        <w:r w:rsidR="00F91919">
          <w:rPr>
            <w:noProof/>
            <w:webHidden/>
          </w:rPr>
          <w:fldChar w:fldCharType="begin"/>
        </w:r>
        <w:r w:rsidR="00F91919">
          <w:rPr>
            <w:noProof/>
            <w:webHidden/>
          </w:rPr>
          <w:instrText xml:space="preserve"> PAGEREF _Toc21870909 \h </w:instrText>
        </w:r>
        <w:r w:rsidR="00F91919">
          <w:rPr>
            <w:noProof/>
            <w:webHidden/>
          </w:rPr>
        </w:r>
        <w:r w:rsidR="00F91919">
          <w:rPr>
            <w:noProof/>
            <w:webHidden/>
          </w:rPr>
          <w:fldChar w:fldCharType="separate"/>
        </w:r>
        <w:r w:rsidR="00F91919">
          <w:rPr>
            <w:noProof/>
            <w:webHidden/>
          </w:rPr>
          <w:t>31</w:t>
        </w:r>
        <w:r w:rsidR="00F91919">
          <w:rPr>
            <w:noProof/>
            <w:webHidden/>
          </w:rPr>
          <w:fldChar w:fldCharType="end"/>
        </w:r>
      </w:hyperlink>
    </w:p>
    <w:p w:rsidR="00F91919" w:rsidRDefault="0094558F" w14:paraId="776D9376" w14:textId="5947E86A">
      <w:pPr>
        <w:pStyle w:val="TOC2"/>
        <w:tabs>
          <w:tab w:val="right" w:leader="dot" w:pos="10188"/>
        </w:tabs>
        <w:rPr>
          <w:noProof/>
        </w:rPr>
      </w:pPr>
      <w:hyperlink w:history="true" w:anchor="_Toc21870910">
        <w:r w:rsidRPr="00504D67" w:rsidR="00F91919">
          <w:rPr>
            <w:rStyle w:val="Hyperlink"/>
            <w:noProof/>
          </w:rPr>
          <w:t>8. Risks, contingencies and valuation judgements</w:t>
        </w:r>
        <w:r w:rsidR="00F91919">
          <w:rPr>
            <w:noProof/>
            <w:webHidden/>
          </w:rPr>
          <w:tab/>
        </w:r>
        <w:r w:rsidR="00F91919">
          <w:rPr>
            <w:noProof/>
            <w:webHidden/>
          </w:rPr>
          <w:fldChar w:fldCharType="begin"/>
        </w:r>
        <w:r w:rsidR="00F91919">
          <w:rPr>
            <w:noProof/>
            <w:webHidden/>
          </w:rPr>
          <w:instrText xml:space="preserve"> PAGEREF _Toc21870910 \h </w:instrText>
        </w:r>
        <w:r w:rsidR="00F91919">
          <w:rPr>
            <w:noProof/>
            <w:webHidden/>
          </w:rPr>
        </w:r>
        <w:r w:rsidR="00F91919">
          <w:rPr>
            <w:noProof/>
            <w:webHidden/>
          </w:rPr>
          <w:fldChar w:fldCharType="separate"/>
        </w:r>
        <w:r w:rsidR="00F91919">
          <w:rPr>
            <w:noProof/>
            <w:webHidden/>
          </w:rPr>
          <w:t>36</w:t>
        </w:r>
        <w:r w:rsidR="00F91919">
          <w:rPr>
            <w:noProof/>
            <w:webHidden/>
          </w:rPr>
          <w:fldChar w:fldCharType="end"/>
        </w:r>
      </w:hyperlink>
    </w:p>
    <w:p w:rsidR="00F91919" w:rsidRDefault="0094558F" w14:paraId="41BF0583" w14:textId="130895BB">
      <w:pPr>
        <w:pStyle w:val="TOC2"/>
        <w:tabs>
          <w:tab w:val="right" w:leader="dot" w:pos="10188"/>
        </w:tabs>
        <w:rPr>
          <w:noProof/>
        </w:rPr>
      </w:pPr>
      <w:hyperlink w:history="true" w:anchor="_Toc21870911">
        <w:r w:rsidRPr="00504D67" w:rsidR="00F91919">
          <w:rPr>
            <w:rStyle w:val="Hyperlink"/>
            <w:noProof/>
          </w:rPr>
          <w:t>9. Other disclosures</w:t>
        </w:r>
        <w:r w:rsidR="00F91919">
          <w:rPr>
            <w:noProof/>
            <w:webHidden/>
          </w:rPr>
          <w:tab/>
        </w:r>
        <w:r w:rsidR="00F91919">
          <w:rPr>
            <w:noProof/>
            <w:webHidden/>
          </w:rPr>
          <w:fldChar w:fldCharType="begin"/>
        </w:r>
        <w:r w:rsidR="00F91919">
          <w:rPr>
            <w:noProof/>
            <w:webHidden/>
          </w:rPr>
          <w:instrText xml:space="preserve"> PAGEREF _Toc21870911 \h </w:instrText>
        </w:r>
        <w:r w:rsidR="00F91919">
          <w:rPr>
            <w:noProof/>
            <w:webHidden/>
          </w:rPr>
        </w:r>
        <w:r w:rsidR="00F91919">
          <w:rPr>
            <w:noProof/>
            <w:webHidden/>
          </w:rPr>
          <w:fldChar w:fldCharType="separate"/>
        </w:r>
        <w:r w:rsidR="00F91919">
          <w:rPr>
            <w:noProof/>
            <w:webHidden/>
          </w:rPr>
          <w:t>44</w:t>
        </w:r>
        <w:r w:rsidR="00F91919">
          <w:rPr>
            <w:noProof/>
            <w:webHidden/>
          </w:rPr>
          <w:fldChar w:fldCharType="end"/>
        </w:r>
      </w:hyperlink>
    </w:p>
    <w:p w:rsidR="00AD6E2B" w:rsidRDefault="00F91919" w14:paraId="1D57B7CB" w14:textId="1C798613">
      <w:r>
        <w:fldChar w:fldCharType="end"/>
      </w:r>
    </w:p>
    <w:p w:rsidR="00AD6E2B" w:rsidRDefault="00AD6E2B" w14:paraId="35F44723" w14:textId="596BF547">
      <w:pPr>
        <w:spacing w:after="0"/>
      </w:pPr>
      <w:r>
        <w:br w:type="page"/>
      </w:r>
    </w:p>
    <w:p w:rsidRPr="00243D33" w:rsidR="00243D33" w:rsidP="00243D33" w:rsidRDefault="00243D33" w14:paraId="7EED1D5E" w14:textId="77777777">
      <w:pPr>
        <w:pStyle w:val="Heading1"/>
      </w:pPr>
      <w:bookmarkStart w:id="1" w:name="_Toc21870889"/>
      <w:r w:rsidRPr="00243D33">
        <w:lastRenderedPageBreak/>
        <w:t>Declaration in financial statements</w:t>
      </w:r>
      <w:bookmarkEnd w:id="1"/>
    </w:p>
    <w:p w:rsidRPr="00243D33" w:rsidR="00243D33" w:rsidP="00243D33" w:rsidRDefault="00243D33" w14:paraId="698C8A72" w14:textId="77777777">
      <w:pPr>
        <w:tabs>
          <w:tab w:val="left" w:pos="3453"/>
        </w:tabs>
      </w:pPr>
      <w:r w:rsidRPr="00243D33">
        <w:t xml:space="preserve">The attached financial statements for the Department of Justice and Community Safety have been prepared in accordance with Direction 5.2 of the Standing Directions of the Assistant Treasurer under the </w:t>
      </w:r>
      <w:r w:rsidRPr="00243D33">
        <w:rPr>
          <w:i/>
          <w:iCs/>
        </w:rPr>
        <w:t>Financial Management Act 1994</w:t>
      </w:r>
      <w:r w:rsidRPr="00243D33">
        <w:t>, applicable Financial Reporting Directions, Australian Accounting Standards including Interpretations and other mandatory professional reporting requirements.</w:t>
      </w:r>
    </w:p>
    <w:p w:rsidRPr="00243D33" w:rsidR="00243D33" w:rsidP="00243D33" w:rsidRDefault="00243D33" w14:paraId="4FA81573" w14:textId="77777777">
      <w:pPr>
        <w:tabs>
          <w:tab w:val="left" w:pos="3453"/>
        </w:tabs>
      </w:pPr>
      <w:r w:rsidRPr="00243D33">
        <w:t>We further state that, in our opinion, the information set out in the comprehensive operating statement, balance sheet, cash flow statement, statement of changes in equity and notes forming part of the financial statements, presents fairly the financial transactions during the year ended 30 June 2019 and financial position of the department as at 30 June 2019.</w:t>
      </w:r>
    </w:p>
    <w:p w:rsidRPr="00243D33" w:rsidR="00243D33" w:rsidP="00243D33" w:rsidRDefault="00243D33" w14:paraId="7E4BB50A" w14:textId="77777777">
      <w:pPr>
        <w:tabs>
          <w:tab w:val="left" w:pos="3453"/>
        </w:tabs>
      </w:pPr>
      <w:r w:rsidRPr="00243D33">
        <w:t>At the time of signing, we are not aware of any circumstance which would render any particulars included in the financial statements to be misleading or inaccurate.</w:t>
      </w:r>
    </w:p>
    <w:p w:rsidRPr="00243D33" w:rsidR="00243D33" w:rsidP="00243D33" w:rsidRDefault="00243D33" w14:paraId="2F34E54D" w14:textId="798746FE">
      <w:pPr>
        <w:tabs>
          <w:tab w:val="left" w:pos="3453"/>
        </w:tabs>
      </w:pPr>
      <w:r w:rsidRPr="00243D33">
        <w:t>We authorise the attached financial statements for issue on 26 September 2019.</w:t>
      </w:r>
    </w:p>
    <w:p w:rsidRPr="00243D33" w:rsidR="00243D33" w:rsidP="00243D33" w:rsidRDefault="00243D33" w14:paraId="1B4D884D" w14:textId="77777777">
      <w:pPr>
        <w:tabs>
          <w:tab w:val="left" w:pos="3453"/>
        </w:tabs>
      </w:pPr>
      <w:r w:rsidRPr="00243D33">
        <w:tab/>
      </w:r>
    </w:p>
    <w:p w:rsidRPr="00243D33" w:rsidR="00243D33" w:rsidP="00243D33" w:rsidRDefault="00243D33" w14:paraId="0872B6D6" w14:textId="004CACAD">
      <w:pPr>
        <w:tabs>
          <w:tab w:val="left" w:pos="3453"/>
        </w:tabs>
        <w:spacing w:after="0"/>
        <w:rPr>
          <w:b/>
        </w:rPr>
      </w:pPr>
      <w:r w:rsidRPr="00243D33">
        <w:rPr>
          <w:b/>
        </w:rPr>
        <w:t>Anna Higgs</w:t>
      </w:r>
    </w:p>
    <w:p w:rsidRPr="00243D33" w:rsidR="00243D33" w:rsidP="00243D33" w:rsidRDefault="00243D33" w14:paraId="33DCE072" w14:textId="32584B47">
      <w:pPr>
        <w:tabs>
          <w:tab w:val="left" w:pos="3453"/>
        </w:tabs>
        <w:spacing w:after="0"/>
      </w:pPr>
      <w:r w:rsidRPr="00243D33">
        <w:t>Acting Chief Finance Officer</w:t>
      </w:r>
    </w:p>
    <w:p w:rsidRPr="00243D33" w:rsidR="00243D33" w:rsidP="00243D33" w:rsidRDefault="00243D33" w14:paraId="509DFDE3" w14:textId="26875F1B">
      <w:pPr>
        <w:tabs>
          <w:tab w:val="left" w:pos="3453"/>
        </w:tabs>
      </w:pPr>
      <w:r w:rsidRPr="00243D33">
        <w:t>Department of Justice and Community Safety</w:t>
      </w:r>
    </w:p>
    <w:p w:rsidR="00107046" w:rsidP="00243D33" w:rsidRDefault="00243D33" w14:paraId="59E21AB3" w14:textId="5FB4CA75">
      <w:pPr>
        <w:tabs>
          <w:tab w:val="left" w:pos="3453"/>
        </w:tabs>
      </w:pPr>
      <w:r w:rsidRPr="00243D33">
        <w:t>Melbourne</w:t>
      </w:r>
      <w:r>
        <w:br/>
      </w:r>
      <w:r w:rsidRPr="00243D33">
        <w:t>26 September 2019</w:t>
      </w:r>
    </w:p>
    <w:p w:rsidR="00243D33" w:rsidP="00243D33" w:rsidRDefault="00243D33" w14:paraId="49CA5F34" w14:textId="73B33BF5">
      <w:pPr>
        <w:tabs>
          <w:tab w:val="left" w:pos="3453"/>
        </w:tabs>
      </w:pPr>
    </w:p>
    <w:p w:rsidRPr="00243D33" w:rsidR="00243D33" w:rsidP="00243D33" w:rsidRDefault="00243D33" w14:paraId="3E101FB0" w14:textId="00A38337">
      <w:pPr>
        <w:tabs>
          <w:tab w:val="left" w:pos="3453"/>
        </w:tabs>
        <w:spacing w:after="0"/>
        <w:rPr>
          <w:b/>
        </w:rPr>
      </w:pPr>
      <w:r w:rsidRPr="00243D33">
        <w:rPr>
          <w:b/>
        </w:rPr>
        <w:t xml:space="preserve">Rebecca </w:t>
      </w:r>
      <w:proofErr w:type="spellStart"/>
      <w:r w:rsidRPr="00243D33">
        <w:rPr>
          <w:b/>
        </w:rPr>
        <w:t>Falkingham</w:t>
      </w:r>
      <w:proofErr w:type="spellEnd"/>
    </w:p>
    <w:p w:rsidR="00243D33" w:rsidP="00243D33" w:rsidRDefault="00243D33" w14:paraId="1BED85FC" w14:textId="0584F6F1">
      <w:pPr>
        <w:tabs>
          <w:tab w:val="left" w:pos="3453"/>
        </w:tabs>
        <w:spacing w:after="0"/>
      </w:pPr>
      <w:r w:rsidRPr="00243D33">
        <w:t>Secretary</w:t>
      </w:r>
    </w:p>
    <w:p w:rsidR="00243D33" w:rsidP="00243D33" w:rsidRDefault="00243D33" w14:paraId="5902255C" w14:textId="52737A94">
      <w:pPr>
        <w:tabs>
          <w:tab w:val="left" w:pos="3453"/>
        </w:tabs>
      </w:pPr>
      <w:r w:rsidRPr="00243D33">
        <w:t>Department of Justice and Community Safety</w:t>
      </w:r>
    </w:p>
    <w:p w:rsidR="00243D33" w:rsidP="00243D33" w:rsidRDefault="00243D33" w14:paraId="35332921" w14:textId="4EEED12C">
      <w:pPr>
        <w:tabs>
          <w:tab w:val="left" w:pos="3453"/>
        </w:tabs>
      </w:pPr>
      <w:r w:rsidRPr="00243D33">
        <w:t>Melbourne</w:t>
      </w:r>
      <w:r>
        <w:br/>
      </w:r>
      <w:r w:rsidRPr="00243D33">
        <w:t>26 September 2019</w:t>
      </w:r>
    </w:p>
    <w:p w:rsidR="00243D33" w:rsidRDefault="00243D33" w14:paraId="33326C6A" w14:textId="3ADB5323">
      <w:pPr>
        <w:spacing w:after="0"/>
      </w:pPr>
      <w:r>
        <w:br w:type="page"/>
      </w:r>
    </w:p>
    <w:p w:rsidRPr="001A64D7" w:rsidR="00243D33" w:rsidP="001A64D7" w:rsidRDefault="00243D33" w14:paraId="1DB64999" w14:textId="77777777">
      <w:pPr>
        <w:tabs>
          <w:tab w:val="left" w:pos="3453"/>
        </w:tabs>
        <w:spacing w:after="0"/>
        <w:rPr>
          <w:b/>
          <w:sz w:val="32"/>
          <w:szCs w:val="32"/>
        </w:rPr>
      </w:pPr>
      <w:r w:rsidRPr="001A64D7">
        <w:rPr>
          <w:b/>
          <w:sz w:val="32"/>
          <w:szCs w:val="32"/>
        </w:rPr>
        <w:lastRenderedPageBreak/>
        <w:t xml:space="preserve">VAGO </w:t>
      </w:r>
    </w:p>
    <w:p w:rsidRPr="001A64D7" w:rsidR="00243D33" w:rsidP="00243D33" w:rsidRDefault="00243D33" w14:paraId="0B112A81" w14:textId="72DCDA79">
      <w:pPr>
        <w:tabs>
          <w:tab w:val="left" w:pos="3453"/>
        </w:tabs>
        <w:rPr>
          <w:b/>
        </w:rPr>
      </w:pPr>
      <w:r w:rsidRPr="001A64D7">
        <w:rPr>
          <w:b/>
        </w:rPr>
        <w:t>Victorian Auditor-General’s Office</w:t>
      </w:r>
    </w:p>
    <w:p w:rsidRPr="00243D33" w:rsidR="00243D33" w:rsidP="00243D33" w:rsidRDefault="00243D33" w14:paraId="6AEABB89" w14:textId="77777777">
      <w:pPr>
        <w:tabs>
          <w:tab w:val="left" w:pos="3453"/>
        </w:tabs>
        <w:rPr>
          <w:lang w:val="en-US"/>
        </w:rPr>
      </w:pPr>
    </w:p>
    <w:p w:rsidRPr="00243D33" w:rsidR="00243D33" w:rsidP="00243D33" w:rsidRDefault="00243D33" w14:paraId="4A297253" w14:textId="6DF97E0D">
      <w:pPr>
        <w:pStyle w:val="Heading1"/>
      </w:pPr>
      <w:bookmarkStart w:id="2" w:name="_Toc21870890"/>
      <w:r w:rsidRPr="00243D33">
        <w:t>Independent</w:t>
      </w:r>
      <w:r>
        <w:t xml:space="preserve"> </w:t>
      </w:r>
      <w:r w:rsidRPr="00243D33">
        <w:t>Auditor’s</w:t>
      </w:r>
      <w:r>
        <w:t xml:space="preserve"> </w:t>
      </w:r>
      <w:r w:rsidRPr="00243D33">
        <w:t>Report</w:t>
      </w:r>
      <w:bookmarkEnd w:id="2"/>
    </w:p>
    <w:p w:rsidRPr="001A64D7" w:rsidR="00243D33" w:rsidP="001A64D7" w:rsidRDefault="00243D33" w14:paraId="1CD647C0" w14:textId="77777777">
      <w:r w:rsidRPr="001A64D7">
        <w:t>To the Secretary of the Department of Justice and Community Safety</w:t>
      </w:r>
    </w:p>
    <w:p w:rsidRPr="001A64D7" w:rsidR="00243D33" w:rsidP="001A64D7" w:rsidRDefault="00243D33" w14:paraId="25AB2F42" w14:textId="546110CA">
      <w:pPr>
        <w:pStyle w:val="Heading2"/>
      </w:pPr>
      <w:bookmarkStart w:id="3" w:name="_Toc21870891"/>
      <w:r w:rsidRPr="001A64D7">
        <w:t>Opinion</w:t>
      </w:r>
      <w:bookmarkEnd w:id="3"/>
      <w:r w:rsidRPr="001A64D7">
        <w:t xml:space="preserve"> </w:t>
      </w:r>
    </w:p>
    <w:p w:rsidRPr="00243D33" w:rsidR="00243D33" w:rsidP="00243D33" w:rsidRDefault="00243D33" w14:paraId="38086EB7" w14:textId="707A7A1A">
      <w:pPr>
        <w:rPr>
          <w:lang w:val="en-US"/>
        </w:rPr>
      </w:pPr>
      <w:r w:rsidRPr="00243D33">
        <w:rPr>
          <w:lang w:val="en-US"/>
        </w:rPr>
        <w:t xml:space="preserve">I have audited the financial report of the Department of Justice and Community Safety (the department) which comprises the: </w:t>
      </w:r>
    </w:p>
    <w:p w:rsidRPr="001A64D7" w:rsidR="00243D33" w:rsidP="001A64D7" w:rsidRDefault="00243D33" w14:paraId="368C2924" w14:textId="39F1ED78">
      <w:pPr>
        <w:pStyle w:val="Bullet1"/>
      </w:pPr>
      <w:r w:rsidRPr="001A64D7">
        <w:t xml:space="preserve">balance sheet as at 30 June 2019 </w:t>
      </w:r>
    </w:p>
    <w:p w:rsidRPr="001A64D7" w:rsidR="00243D33" w:rsidP="001A64D7" w:rsidRDefault="00243D33" w14:paraId="3A130892" w14:textId="77FA5D0F">
      <w:pPr>
        <w:pStyle w:val="Bullet1"/>
      </w:pPr>
      <w:r w:rsidRPr="001A64D7">
        <w:t xml:space="preserve">comprehensive operating statement for the year then ended </w:t>
      </w:r>
    </w:p>
    <w:p w:rsidRPr="001A64D7" w:rsidR="00243D33" w:rsidP="001A64D7" w:rsidRDefault="00243D33" w14:paraId="073C8F40" w14:textId="21AFF01F">
      <w:pPr>
        <w:pStyle w:val="Bullet1"/>
      </w:pPr>
      <w:r w:rsidRPr="001A64D7">
        <w:t xml:space="preserve">statement of changes in equity for the year then ended </w:t>
      </w:r>
    </w:p>
    <w:p w:rsidRPr="001A64D7" w:rsidR="00243D33" w:rsidP="001A64D7" w:rsidRDefault="00243D33" w14:paraId="3950454B" w14:textId="6E7FC24C">
      <w:pPr>
        <w:pStyle w:val="Bullet1"/>
      </w:pPr>
      <w:r w:rsidRPr="001A64D7">
        <w:t xml:space="preserve">cash flow statement for the year then ended </w:t>
      </w:r>
    </w:p>
    <w:p w:rsidRPr="001A64D7" w:rsidR="00243D33" w:rsidP="001A64D7" w:rsidRDefault="00243D33" w14:paraId="577F2D2E" w14:textId="64B64122">
      <w:pPr>
        <w:pStyle w:val="Bullet1"/>
      </w:pPr>
      <w:r w:rsidRPr="001A64D7">
        <w:t xml:space="preserve">notes to the financial statements, including significant accounting policies </w:t>
      </w:r>
    </w:p>
    <w:p w:rsidRPr="001A64D7" w:rsidR="00243D33" w:rsidP="001A64D7" w:rsidRDefault="00243D33" w14:paraId="44F51CDF" w14:textId="3FA002AA">
      <w:pPr>
        <w:pStyle w:val="Bullet1"/>
      </w:pPr>
      <w:r w:rsidRPr="001A64D7">
        <w:t>declaration in the financial statements.</w:t>
      </w:r>
    </w:p>
    <w:p w:rsidRPr="00243D33" w:rsidR="00243D33" w:rsidP="00243D33" w:rsidRDefault="00243D33" w14:paraId="556181D1" w14:textId="77777777">
      <w:pPr>
        <w:tabs>
          <w:tab w:val="left" w:pos="4683"/>
        </w:tabs>
        <w:rPr>
          <w:lang w:val="en-US"/>
        </w:rPr>
      </w:pPr>
      <w:r w:rsidRPr="00243D33">
        <w:rPr>
          <w:lang w:val="en-US"/>
        </w:rPr>
        <w:t xml:space="preserve">In my opinion the financial report presents fairly, in all material respects, the financial position of the department as at 30 June 2019 and their financial performance and cash flows for the year then ended in accordance with the financial reporting requirements of Part 7 of the </w:t>
      </w:r>
      <w:r w:rsidRPr="00243D33">
        <w:rPr>
          <w:i/>
          <w:iCs/>
          <w:lang w:val="en-US"/>
        </w:rPr>
        <w:t xml:space="preserve">Financial Management Act 1994 </w:t>
      </w:r>
      <w:r w:rsidRPr="00243D33">
        <w:rPr>
          <w:lang w:val="en-US"/>
        </w:rPr>
        <w:t xml:space="preserve">and applicable Australian Accounting Standards. </w:t>
      </w:r>
    </w:p>
    <w:p w:rsidR="00243D33" w:rsidP="001A64D7" w:rsidRDefault="00243D33" w14:paraId="590DC35E" w14:textId="77777777">
      <w:pPr>
        <w:pStyle w:val="Heading2"/>
        <w:rPr>
          <w:lang w:val="en-US"/>
        </w:rPr>
      </w:pPr>
      <w:bookmarkStart w:id="4" w:name="_Toc21870892"/>
      <w:r w:rsidRPr="00243D33">
        <w:rPr>
          <w:lang w:val="en-US"/>
        </w:rPr>
        <w:t>Basis for Opinion</w:t>
      </w:r>
      <w:bookmarkEnd w:id="4"/>
      <w:r w:rsidRPr="00243D33">
        <w:rPr>
          <w:lang w:val="en-US"/>
        </w:rPr>
        <w:t xml:space="preserve"> </w:t>
      </w:r>
    </w:p>
    <w:p w:rsidRPr="00243D33" w:rsidR="00243D33" w:rsidP="00243D33" w:rsidRDefault="00243D33" w14:paraId="18BE17C1" w14:textId="1B277D6C">
      <w:pPr>
        <w:rPr>
          <w:lang w:val="en-US"/>
        </w:rPr>
      </w:pPr>
      <w:r w:rsidRPr="00243D33">
        <w:rPr>
          <w:lang w:val="en-US"/>
        </w:rPr>
        <w:t xml:space="preserve">I have conducted my audit in accordance with the </w:t>
      </w:r>
      <w:r w:rsidRPr="00243D33">
        <w:rPr>
          <w:i/>
          <w:iCs/>
          <w:lang w:val="en-US"/>
        </w:rPr>
        <w:t xml:space="preserve">Audit Act 1994 </w:t>
      </w:r>
      <w:r w:rsidRPr="00243D33">
        <w:rPr>
          <w:lang w:val="en-US"/>
        </w:rPr>
        <w:t xml:space="preserve">which incorporates the Australian Auditing Standards. I further describe my responsibilities under that Act and those standards in the </w:t>
      </w:r>
      <w:r w:rsidRPr="00243D33">
        <w:rPr>
          <w:i/>
          <w:iCs/>
          <w:lang w:val="en-US"/>
        </w:rPr>
        <w:t xml:space="preserve">Auditor’s Responsibilities for the Audit of the Financial Report </w:t>
      </w:r>
      <w:r w:rsidRPr="00243D33">
        <w:rPr>
          <w:lang w:val="en-US"/>
        </w:rPr>
        <w:t xml:space="preserve">section of my report. </w:t>
      </w:r>
    </w:p>
    <w:p w:rsidRPr="00243D33" w:rsidR="00243D33" w:rsidP="00243D33" w:rsidRDefault="00243D33" w14:paraId="4FA1FF02" w14:textId="776BA22D">
      <w:pPr>
        <w:rPr>
          <w:lang w:val="en-US"/>
        </w:rPr>
      </w:pPr>
      <w:r w:rsidRPr="00243D33">
        <w:rPr>
          <w:lang w:val="en-US"/>
        </w:rPr>
        <w:t xml:space="preserve">My independence is established by the </w:t>
      </w:r>
      <w:r w:rsidRPr="00243D33">
        <w:rPr>
          <w:i/>
          <w:iCs/>
          <w:lang w:val="en-US"/>
        </w:rPr>
        <w:t>Constitution Act 1975</w:t>
      </w:r>
      <w:r w:rsidRPr="00243D33">
        <w:rPr>
          <w:lang w:val="en-US"/>
        </w:rPr>
        <w:t xml:space="preserve">. My staff and I are independent of the department in accordance with the ethical requirements of the Accounting Professional and Ethical Standards Board’s APES 110 </w:t>
      </w:r>
      <w:r w:rsidRPr="00243D33">
        <w:rPr>
          <w:i/>
          <w:iCs/>
          <w:lang w:val="en-US"/>
        </w:rPr>
        <w:t xml:space="preserve">Code of Ethics for Professional Accountants </w:t>
      </w:r>
      <w:r w:rsidRPr="00243D33">
        <w:rPr>
          <w:lang w:val="en-US"/>
        </w:rPr>
        <w:t xml:space="preserve">(the Code) that are relevant to my audit of the financial report in Victoria. My staff and I have also fulfilled our other ethical responsibilities in accordance with the Code. </w:t>
      </w:r>
    </w:p>
    <w:p w:rsidRPr="00243D33" w:rsidR="00243D33" w:rsidP="00243D33" w:rsidRDefault="00243D33" w14:paraId="14C0DCE6" w14:textId="77777777">
      <w:pPr>
        <w:tabs>
          <w:tab w:val="left" w:pos="4683"/>
        </w:tabs>
        <w:rPr>
          <w:lang w:val="en-US"/>
        </w:rPr>
      </w:pPr>
      <w:r w:rsidRPr="00243D33">
        <w:rPr>
          <w:lang w:val="en-US"/>
        </w:rPr>
        <w:t xml:space="preserve">I believe that the audit evidence I have obtained is sufficient and appropriate to provide a basis for my opinion. </w:t>
      </w:r>
    </w:p>
    <w:p w:rsidR="001A64D7" w:rsidP="001A64D7" w:rsidRDefault="00243D33" w14:paraId="2988B09E" w14:textId="77777777">
      <w:pPr>
        <w:pStyle w:val="Heading2"/>
        <w:rPr>
          <w:lang w:val="en-US"/>
        </w:rPr>
      </w:pPr>
      <w:bookmarkStart w:id="5" w:name="_Toc21870893"/>
      <w:r w:rsidRPr="00243D33">
        <w:rPr>
          <w:lang w:val="en-US"/>
        </w:rPr>
        <w:t>Key audit matters</w:t>
      </w:r>
      <w:bookmarkEnd w:id="5"/>
      <w:r w:rsidRPr="00243D33">
        <w:rPr>
          <w:lang w:val="en-US"/>
        </w:rPr>
        <w:t xml:space="preserve"> </w:t>
      </w:r>
    </w:p>
    <w:p w:rsidRPr="00243D33" w:rsidR="00243D33" w:rsidP="00243D33" w:rsidRDefault="00243D33" w14:paraId="45E72FFB" w14:textId="76C97489">
      <w:pPr>
        <w:tabs>
          <w:tab w:val="left" w:pos="4683"/>
        </w:tabs>
        <w:rPr>
          <w:lang w:val="en-US"/>
        </w:rPr>
      </w:pPr>
      <w:r w:rsidRPr="00243D33">
        <w:rPr>
          <w:lang w:val="en-US"/>
        </w:rPr>
        <w:t xml:space="preserve">Key audit matters are those matters that, in my professional judgement, were of most significance in my audit of the financial report of the current period. These matters were addressed in the context of my audit of the financial report as a whole, and in forming my opinion thereon, and I do not provide a separate opinion on these matters. </w:t>
      </w:r>
    </w:p>
    <w:p w:rsidRPr="001A64D7" w:rsidR="001A64D7" w:rsidP="001A64D7" w:rsidRDefault="001A64D7" w14:paraId="795306D4" w14:textId="77777777">
      <w:pPr>
        <w:pStyle w:val="Heading2"/>
      </w:pPr>
      <w:bookmarkStart w:id="6" w:name="_Toc21870894"/>
      <w:r w:rsidRPr="001A64D7">
        <w:t>Administered Fines Revenue and Receivables Modelling</w:t>
      </w:r>
      <w:bookmarkEnd w:id="6"/>
    </w:p>
    <w:p w:rsidR="00243D33" w:rsidP="001A64D7" w:rsidRDefault="001A64D7" w14:paraId="1DA23520" w14:textId="252674AF">
      <w:pPr>
        <w:tabs>
          <w:tab w:val="left" w:pos="3453"/>
        </w:tabs>
      </w:pPr>
      <w:r>
        <w:t xml:space="preserve">Refer to Note 4.3 </w:t>
      </w:r>
      <w:r w:rsidRPr="001A64D7">
        <w:rPr>
          <w:i/>
        </w:rPr>
        <w:t>Administered Items</w:t>
      </w:r>
    </w:p>
    <w:p w:rsidR="001A64D7" w:rsidP="001A64D7" w:rsidRDefault="001A64D7" w14:paraId="3B9C8B35" w14:textId="77777777">
      <w:pPr>
        <w:tabs>
          <w:tab w:val="left" w:pos="3453"/>
        </w:tabs>
      </w:pPr>
      <w:r w:rsidRPr="001A64D7">
        <w:rPr>
          <w:b/>
        </w:rPr>
        <w:t>Administered Fines Revenue:</w:t>
      </w:r>
      <w:r>
        <w:t xml:space="preserve"> $ 682.2 million</w:t>
      </w:r>
    </w:p>
    <w:p w:rsidR="001A64D7" w:rsidP="001A64D7" w:rsidRDefault="001A64D7" w14:paraId="7F9550FC" w14:textId="77777777">
      <w:pPr>
        <w:tabs>
          <w:tab w:val="left" w:pos="3453"/>
        </w:tabs>
      </w:pPr>
      <w:r w:rsidRPr="001A64D7">
        <w:rPr>
          <w:b/>
        </w:rPr>
        <w:t>Administered Receivables:</w:t>
      </w:r>
      <w:r>
        <w:t xml:space="preserve"> $1.269 billion</w:t>
      </w:r>
    </w:p>
    <w:p w:rsidR="001A64D7" w:rsidP="001A64D7" w:rsidRDefault="001A64D7" w14:paraId="1E50C07F" w14:textId="77777777">
      <w:pPr>
        <w:tabs>
          <w:tab w:val="left" w:pos="3453"/>
        </w:tabs>
      </w:pPr>
      <w:r>
        <w:t>I considered this to be a key audit matter because:</w:t>
      </w:r>
    </w:p>
    <w:p w:rsidRPr="001A64D7" w:rsidR="001A64D7" w:rsidP="001A64D7" w:rsidRDefault="001A64D7" w14:paraId="1AF57FD0" w14:textId="01E204F9">
      <w:pPr>
        <w:pStyle w:val="Bullet1"/>
      </w:pPr>
      <w:r w:rsidRPr="001A64D7">
        <w:t>An external consultant developed a modelling tool to verify and provide assurance on the infringement revenue, debtor and doubtful debt provision amounts in the previous and current year.</w:t>
      </w:r>
    </w:p>
    <w:p w:rsidRPr="001A64D7" w:rsidR="001A64D7" w:rsidP="001A64D7" w:rsidRDefault="001A64D7" w14:paraId="57350077" w14:textId="3A1D55AF">
      <w:pPr>
        <w:pStyle w:val="Bullet1"/>
      </w:pPr>
      <w:r w:rsidRPr="001A64D7">
        <w:t>The transactions and balances are significant</w:t>
      </w:r>
    </w:p>
    <w:p w:rsidRPr="001A64D7" w:rsidR="001A64D7" w:rsidP="001A64D7" w:rsidRDefault="001A64D7" w14:paraId="275FAE06" w14:textId="770C2DA5">
      <w:pPr>
        <w:pStyle w:val="Bullet1"/>
      </w:pPr>
      <w:r w:rsidRPr="001A64D7">
        <w:t>The Infringement Management System (VIEW) is still under development.</w:t>
      </w:r>
    </w:p>
    <w:p w:rsidRPr="001A64D7" w:rsidR="001A64D7" w:rsidP="001A64D7" w:rsidRDefault="001A64D7" w14:paraId="1CA3D906" w14:textId="1922D017">
      <w:pPr>
        <w:pStyle w:val="Bullet1"/>
      </w:pPr>
      <w:r w:rsidRPr="001A64D7">
        <w:t>The prior and current period infringement revenue, debtor and doubtful debt provision amounts were modelled. The model:</w:t>
      </w:r>
    </w:p>
    <w:p w:rsidRPr="001A64D7" w:rsidR="001A64D7" w:rsidP="001A64D7" w:rsidRDefault="001A64D7" w14:paraId="54C98189" w14:textId="75BB1A8E">
      <w:pPr>
        <w:pStyle w:val="Bullet2"/>
      </w:pPr>
      <w:r w:rsidRPr="001A64D7">
        <w:t>uses significant management assumptions</w:t>
      </w:r>
    </w:p>
    <w:p w:rsidRPr="001A64D7" w:rsidR="001A64D7" w:rsidP="001A64D7" w:rsidRDefault="001A64D7" w14:paraId="517B541D" w14:textId="05C3A63D">
      <w:pPr>
        <w:pStyle w:val="Bullet2"/>
      </w:pPr>
      <w:r w:rsidRPr="001A64D7">
        <w:t>includes estimation uncertainty</w:t>
      </w:r>
    </w:p>
    <w:p w:rsidRPr="001A64D7" w:rsidR="001A64D7" w:rsidP="001A64D7" w:rsidRDefault="001A64D7" w14:paraId="0356B33B" w14:textId="030CC5AD">
      <w:pPr>
        <w:pStyle w:val="Bullet2"/>
      </w:pPr>
      <w:r w:rsidRPr="001A64D7">
        <w:t>sources data from VIEW</w:t>
      </w:r>
    </w:p>
    <w:p w:rsidRPr="001A64D7" w:rsidR="001A64D7" w:rsidP="001A64D7" w:rsidRDefault="001A64D7" w14:paraId="302697FB" w14:textId="7E7C0FCD">
      <w:pPr>
        <w:pStyle w:val="Bullet2"/>
      </w:pPr>
      <w:r w:rsidRPr="001A64D7">
        <w:t>sources data from other systems within and external to the department, including three private sector service organizations</w:t>
      </w:r>
    </w:p>
    <w:p w:rsidR="001A64D7" w:rsidP="001A64D7" w:rsidRDefault="001A64D7" w14:paraId="4F5729DA" w14:textId="0EFA4DC0">
      <w:pPr>
        <w:pStyle w:val="Bullet2"/>
      </w:pPr>
      <w:r w:rsidRPr="001A64D7">
        <w:t>relies on reconciliations of external data to VIEW for data integrity.</w:t>
      </w:r>
    </w:p>
    <w:p w:rsidR="001A64D7" w:rsidP="001A64D7" w:rsidRDefault="001A64D7" w14:paraId="7F3173E9" w14:textId="77777777">
      <w:r>
        <w:t>My key procedures included:</w:t>
      </w:r>
    </w:p>
    <w:p w:rsidRPr="001A64D7" w:rsidR="001A64D7" w:rsidP="001A64D7" w:rsidRDefault="001A64D7" w14:paraId="2738B1EC" w14:textId="7DA1204F">
      <w:pPr>
        <w:pStyle w:val="Bullet1"/>
      </w:pPr>
      <w:r w:rsidRPr="001A64D7">
        <w:t>assessing the reasonableness of key assumptions used for financial reporting</w:t>
      </w:r>
    </w:p>
    <w:p w:rsidRPr="001A64D7" w:rsidR="001A64D7" w:rsidP="001A64D7" w:rsidRDefault="001A64D7" w14:paraId="450E8360" w14:textId="18E7E704">
      <w:pPr>
        <w:pStyle w:val="Bullet1"/>
      </w:pPr>
      <w:r w:rsidRPr="001A64D7">
        <w:t>identifying and reviewing relevant manual controls over external data input into VIEW</w:t>
      </w:r>
    </w:p>
    <w:p w:rsidRPr="001A64D7" w:rsidR="001A64D7" w:rsidP="001A64D7" w:rsidRDefault="001A64D7" w14:paraId="58D2CF24" w14:textId="06370844">
      <w:pPr>
        <w:pStyle w:val="Bullet1"/>
      </w:pPr>
      <w:r w:rsidRPr="001A64D7">
        <w:lastRenderedPageBreak/>
        <w:t>using data analysis to verify the completeness and accuracy of VIEW data</w:t>
      </w:r>
    </w:p>
    <w:p w:rsidRPr="001A64D7" w:rsidR="001A64D7" w:rsidP="001A64D7" w:rsidRDefault="001A64D7" w14:paraId="2A618D0B" w14:textId="50404A91">
      <w:pPr>
        <w:pStyle w:val="Bullet1"/>
      </w:pPr>
      <w:r w:rsidRPr="001A64D7">
        <w:t>substantively testing issued infringement notices recorded to infringement revenue and the debtors and receipting cycle in VIEW</w:t>
      </w:r>
    </w:p>
    <w:p w:rsidRPr="001A64D7" w:rsidR="001A64D7" w:rsidP="001A64D7" w:rsidRDefault="001A64D7" w14:paraId="7B6CA739" w14:textId="48349295">
      <w:pPr>
        <w:pStyle w:val="Bullet1"/>
      </w:pPr>
      <w:r w:rsidRPr="001A64D7">
        <w:t xml:space="preserve">evaluating three independent experts’ ASAE 3402 </w:t>
      </w:r>
      <w:r w:rsidRPr="001A64D7">
        <w:rPr>
          <w:i/>
        </w:rPr>
        <w:t>Assurance Reports on Controls at a Service Organisation</w:t>
      </w:r>
      <w:r w:rsidRPr="001A64D7">
        <w:t>, including the relevance and reasonableness of their work</w:t>
      </w:r>
    </w:p>
    <w:p w:rsidRPr="001A64D7" w:rsidR="001A64D7" w:rsidP="001A64D7" w:rsidRDefault="001A64D7" w14:paraId="125839CF" w14:textId="1D8FE417">
      <w:pPr>
        <w:pStyle w:val="Bullet1"/>
      </w:pPr>
      <w:r w:rsidRPr="001A64D7">
        <w:t>reviewing and reperforming reconciliations on infringement revenue and debtor amounts and validating any adjustments</w:t>
      </w:r>
    </w:p>
    <w:p w:rsidRPr="001A64D7" w:rsidR="001A64D7" w:rsidP="001A64D7" w:rsidRDefault="001A64D7" w14:paraId="5DAE76AA" w14:textId="6323CE8F">
      <w:pPr>
        <w:pStyle w:val="Bullet1"/>
      </w:pPr>
      <w:r w:rsidRPr="001A64D7">
        <w:t>reviewing and determining the reasonableness of predictive data analysis modelling completed by management’s external consultant, which was based on 5-year debtor trends of doubtful debt provisions to determine the reasonableness of the debtors and doubtful debt used the financial report</w:t>
      </w:r>
    </w:p>
    <w:p w:rsidR="001A64D7" w:rsidP="001A64D7" w:rsidRDefault="001A64D7" w14:paraId="338565B7" w14:textId="0978AFA2">
      <w:pPr>
        <w:pStyle w:val="Bullet1"/>
      </w:pPr>
      <w:r w:rsidRPr="001A64D7">
        <w:t>obtaining specific representations from management regarding infringement revenue, debtors and the provision for doubtful debts.</w:t>
      </w:r>
    </w:p>
    <w:p w:rsidRPr="001A64D7" w:rsidR="001A64D7" w:rsidP="001A64D7" w:rsidRDefault="001A64D7" w14:paraId="01E91580" w14:textId="04EAE951">
      <w:pPr>
        <w:pStyle w:val="Heading2"/>
        <w:rPr>
          <w:lang w:val="en-AU"/>
        </w:rPr>
      </w:pPr>
      <w:bookmarkStart w:id="7" w:name="_Toc21870895"/>
      <w:r w:rsidRPr="001A64D7">
        <w:rPr>
          <w:lang w:val="en-AU"/>
        </w:rPr>
        <w:t>Long term procurement of the Ravenhall Correctional Centre using a public private partnership (PPP) refinancing</w:t>
      </w:r>
      <w:r>
        <w:rPr>
          <w:lang w:val="en-AU"/>
        </w:rPr>
        <w:t xml:space="preserve"> </w:t>
      </w:r>
      <w:r w:rsidRPr="001A64D7">
        <w:rPr>
          <w:lang w:val="en-AU"/>
        </w:rPr>
        <w:t>arrangement</w:t>
      </w:r>
      <w:bookmarkEnd w:id="7"/>
    </w:p>
    <w:p w:rsidR="001A64D7" w:rsidP="001A64D7" w:rsidRDefault="001A64D7" w14:paraId="75F6998A" w14:textId="4305844B">
      <w:pPr>
        <w:rPr>
          <w:lang w:val="en-AU"/>
        </w:rPr>
      </w:pPr>
      <w:r w:rsidRPr="001A64D7">
        <w:rPr>
          <w:lang w:val="en-AU"/>
        </w:rPr>
        <w:t>Refer to Note 7.2 Interest Bearing Liabilities Note 7.5 Commitments for expenditure</w:t>
      </w:r>
    </w:p>
    <w:p w:rsidRPr="001A64D7" w:rsidR="001A64D7" w:rsidP="001A64D7" w:rsidRDefault="001A64D7" w14:paraId="655BC82B" w14:textId="77777777">
      <w:pPr>
        <w:rPr>
          <w:lang w:val="en-AU"/>
        </w:rPr>
      </w:pPr>
      <w:r w:rsidRPr="001A64D7">
        <w:rPr>
          <w:b/>
          <w:lang w:val="en-AU"/>
        </w:rPr>
        <w:t>PPP finance lease liability:</w:t>
      </w:r>
      <w:r w:rsidRPr="001A64D7">
        <w:rPr>
          <w:lang w:val="en-AU"/>
        </w:rPr>
        <w:t xml:space="preserve"> $ 530 million</w:t>
      </w:r>
    </w:p>
    <w:p w:rsidRPr="001A64D7" w:rsidR="001A64D7" w:rsidP="001A64D7" w:rsidRDefault="001A64D7" w14:paraId="0D1AFC3B" w14:textId="77777777">
      <w:pPr>
        <w:rPr>
          <w:lang w:val="en-AU"/>
        </w:rPr>
      </w:pPr>
      <w:r w:rsidRPr="001A64D7">
        <w:rPr>
          <w:b/>
          <w:lang w:val="en-AU"/>
        </w:rPr>
        <w:t>PPP finance lease expense:</w:t>
      </w:r>
      <w:r w:rsidRPr="001A64D7">
        <w:rPr>
          <w:lang w:val="en-AU"/>
        </w:rPr>
        <w:t xml:space="preserve"> $ 45 million</w:t>
      </w:r>
    </w:p>
    <w:p w:rsidRPr="001A64D7" w:rsidR="001A64D7" w:rsidP="001A64D7" w:rsidRDefault="001A64D7" w14:paraId="5F4B26CB" w14:textId="77777777">
      <w:pPr>
        <w:rPr>
          <w:lang w:val="en-AU"/>
        </w:rPr>
      </w:pPr>
      <w:r w:rsidRPr="001A64D7">
        <w:rPr>
          <w:lang w:val="en-AU"/>
        </w:rPr>
        <w:t>PPP commitment disclosures:</w:t>
      </w:r>
    </w:p>
    <w:p w:rsidRPr="001A64D7" w:rsidR="001A64D7" w:rsidP="001A64D7" w:rsidRDefault="001A64D7" w14:paraId="611C1EE6" w14:textId="77777777">
      <w:pPr>
        <w:rPr>
          <w:lang w:val="en-AU"/>
        </w:rPr>
      </w:pPr>
      <w:r w:rsidRPr="001A64D7">
        <w:rPr>
          <w:b/>
          <w:lang w:val="en-AU"/>
        </w:rPr>
        <w:t>Present value of other expenditure commitments</w:t>
      </w:r>
      <w:r w:rsidRPr="001A64D7">
        <w:rPr>
          <w:lang w:val="en-AU"/>
        </w:rPr>
        <w:t xml:space="preserve"> $ 3.03 billion</w:t>
      </w:r>
    </w:p>
    <w:p w:rsidRPr="001A64D7" w:rsidR="001A64D7" w:rsidP="001A64D7" w:rsidRDefault="001A64D7" w14:paraId="0EDA3FA4" w14:textId="77777777">
      <w:pPr>
        <w:rPr>
          <w:lang w:val="en-AU"/>
        </w:rPr>
      </w:pPr>
      <w:r w:rsidRPr="001A64D7">
        <w:rPr>
          <w:b/>
          <w:lang w:val="en-AU"/>
        </w:rPr>
        <w:t>Other expenditure commitments</w:t>
      </w:r>
      <w:r w:rsidRPr="001A64D7">
        <w:rPr>
          <w:lang w:val="en-AU"/>
        </w:rPr>
        <w:t xml:space="preserve"> $ 5.68 billion</w:t>
      </w:r>
    </w:p>
    <w:p w:rsidRPr="001A64D7" w:rsidR="001A64D7" w:rsidP="001A64D7" w:rsidRDefault="001A64D7" w14:paraId="65C82123" w14:textId="77777777">
      <w:pPr>
        <w:rPr>
          <w:lang w:val="en-AU"/>
        </w:rPr>
      </w:pPr>
      <w:r w:rsidRPr="001A64D7">
        <w:rPr>
          <w:lang w:val="en-AU"/>
        </w:rPr>
        <w:t>I considered this to be a key audit matter because:</w:t>
      </w:r>
    </w:p>
    <w:p w:rsidRPr="001A64D7" w:rsidR="001A64D7" w:rsidP="001A64D7" w:rsidRDefault="001A64D7" w14:paraId="49AC1C26" w14:textId="52183549">
      <w:pPr>
        <w:pStyle w:val="Bullet1"/>
      </w:pPr>
      <w:r w:rsidRPr="001A64D7">
        <w:t>the finance lease liability and future PPP commitments are financially significant</w:t>
      </w:r>
    </w:p>
    <w:p w:rsidRPr="001A64D7" w:rsidR="001A64D7" w:rsidP="001A64D7" w:rsidRDefault="001A64D7" w14:paraId="6AC0AEE0" w14:textId="5D1974D9">
      <w:pPr>
        <w:pStyle w:val="Bullet1"/>
      </w:pPr>
      <w:r w:rsidRPr="001A64D7">
        <w:t>the contractual rights and obligations are complex</w:t>
      </w:r>
    </w:p>
    <w:p w:rsidRPr="001A64D7" w:rsidR="001A64D7" w:rsidP="001A64D7" w:rsidRDefault="001A64D7" w14:paraId="7D01B5BE" w14:textId="26808ECC">
      <w:pPr>
        <w:pStyle w:val="Bullet1"/>
      </w:pPr>
      <w:r w:rsidRPr="001A64D7">
        <w:t>the finance lease and commitments model is highly complex, involves significant management judgement and is underpinned by various subjective assumptions</w:t>
      </w:r>
    </w:p>
    <w:p w:rsidRPr="001A64D7" w:rsidR="001A64D7" w:rsidP="001A64D7" w:rsidRDefault="001A64D7" w14:paraId="45A62938" w14:textId="7CFE4E3A">
      <w:pPr>
        <w:pStyle w:val="Bullet1"/>
      </w:pPr>
      <w:r w:rsidRPr="001A64D7">
        <w:t>the accounting for, and disclosures related to the PPP are inherently complex with limited authoritative accounting guidance available</w:t>
      </w:r>
    </w:p>
    <w:p w:rsidRPr="001A64D7" w:rsidR="001A64D7" w:rsidP="001A64D7" w:rsidRDefault="001A64D7" w14:paraId="1288121A" w14:textId="40EA09E2">
      <w:pPr>
        <w:pStyle w:val="Bullet1"/>
      </w:pPr>
      <w:r w:rsidRPr="001A64D7">
        <w:t>small changes to the contractual terms and conditions (for example—refinancing, which occurred in the current reporting period) significantly impact the liability carrying value</w:t>
      </w:r>
    </w:p>
    <w:p w:rsidR="001A64D7" w:rsidP="001A64D7" w:rsidRDefault="001A64D7" w14:paraId="45B1101B" w14:textId="1649B99F">
      <w:pPr>
        <w:pStyle w:val="Bullet1"/>
      </w:pPr>
      <w:r w:rsidRPr="001A64D7">
        <w:t>the PPP's commitment disclosures involve significant management judgements and estimates</w:t>
      </w:r>
    </w:p>
    <w:p w:rsidRPr="001A64D7" w:rsidR="001A64D7" w:rsidP="001A64D7" w:rsidRDefault="001A64D7" w14:paraId="54DCDC8A" w14:textId="77777777">
      <w:pPr>
        <w:rPr>
          <w:lang w:val="en-AU"/>
        </w:rPr>
      </w:pPr>
      <w:r w:rsidRPr="001A64D7">
        <w:rPr>
          <w:lang w:val="en-AU"/>
        </w:rPr>
        <w:t>My key procedures included:</w:t>
      </w:r>
    </w:p>
    <w:p w:rsidRPr="001A64D7" w:rsidR="001A64D7" w:rsidP="001A64D7" w:rsidRDefault="001A64D7" w14:paraId="38058F65" w14:textId="6A367736">
      <w:pPr>
        <w:pStyle w:val="Bullet1"/>
      </w:pPr>
      <w:r w:rsidRPr="001A64D7">
        <w:t>gaining an understanding of the key contractual changes for the current year</w:t>
      </w:r>
    </w:p>
    <w:p w:rsidRPr="001A64D7" w:rsidR="001A64D7" w:rsidP="001A64D7" w:rsidRDefault="001A64D7" w14:paraId="485AF9CC" w14:textId="7493AE57">
      <w:pPr>
        <w:pStyle w:val="Bullet1"/>
      </w:pPr>
      <w:r w:rsidRPr="001A64D7">
        <w:t>engaging a subject matter expert to assist in obtaining sufficient, appropriate audit evidence for the finance lease liability and commitment disclosures, including the:</w:t>
      </w:r>
    </w:p>
    <w:p w:rsidRPr="001A64D7" w:rsidR="001A64D7" w:rsidP="001A64D7" w:rsidRDefault="001A64D7" w14:paraId="652DD45C" w14:textId="31D1006A">
      <w:pPr>
        <w:pStyle w:val="Bullet2"/>
      </w:pPr>
      <w:r w:rsidRPr="001A64D7">
        <w:t>appropriateness of re-financing adjustments</w:t>
      </w:r>
    </w:p>
    <w:p w:rsidRPr="001A64D7" w:rsidR="001A64D7" w:rsidP="001A64D7" w:rsidRDefault="001A64D7" w14:paraId="2A38B1AD" w14:textId="1FE7F266">
      <w:pPr>
        <w:pStyle w:val="Bullet2"/>
      </w:pPr>
      <w:r w:rsidRPr="001A64D7">
        <w:t>reasonableness and consistency of the finance lease model assumptions</w:t>
      </w:r>
    </w:p>
    <w:p w:rsidRPr="001A64D7" w:rsidR="001A64D7" w:rsidP="001A64D7" w:rsidRDefault="001A64D7" w14:paraId="5C051509" w14:textId="75D0D1AF">
      <w:pPr>
        <w:pStyle w:val="Bullet2"/>
      </w:pPr>
      <w:r w:rsidRPr="001A64D7">
        <w:t>identification of any model or assumption changes</w:t>
      </w:r>
    </w:p>
    <w:p w:rsidRPr="001A64D7" w:rsidR="001A64D7" w:rsidP="001A64D7" w:rsidRDefault="001A64D7" w14:paraId="4A04D648" w14:textId="664F4462">
      <w:pPr>
        <w:pStyle w:val="Bullet2"/>
      </w:pPr>
      <w:r w:rsidRPr="001A64D7">
        <w:t>reasonableness of model inputs, with specific reference to underlying data and supporting documentation</w:t>
      </w:r>
    </w:p>
    <w:p w:rsidRPr="001A64D7" w:rsidR="001A64D7" w:rsidP="001A64D7" w:rsidRDefault="001A64D7" w14:paraId="369D6418" w14:textId="23F85AC8">
      <w:pPr>
        <w:pStyle w:val="Bullet2"/>
      </w:pPr>
      <w:r w:rsidRPr="001A64D7">
        <w:t>model’s computational accuracy</w:t>
      </w:r>
    </w:p>
    <w:p w:rsidRPr="001A64D7" w:rsidR="001A64D7" w:rsidP="001A64D7" w:rsidRDefault="001A64D7" w14:paraId="4F15C1B0" w14:textId="0D82706A">
      <w:pPr>
        <w:pStyle w:val="Bullet2"/>
      </w:pPr>
      <w:r w:rsidRPr="001A64D7">
        <w:t>appropriateness of all PPP related financial report disclosures as required by AASB 117 Leases.</w:t>
      </w:r>
    </w:p>
    <w:p w:rsidR="001A64D7" w:rsidP="001A64D7" w:rsidRDefault="001A64D7" w14:paraId="2562BE43" w14:textId="05CD505A">
      <w:pPr>
        <w:pStyle w:val="Bullet1"/>
      </w:pPr>
      <w:r w:rsidRPr="001A64D7">
        <w:t>evaluating the subject matter expert's report, including assessing it for consistency with other audit evidence obtained, and the relevance and reasonableness of their workings.</w:t>
      </w:r>
    </w:p>
    <w:p w:rsidR="001A64D7" w:rsidP="001A64D7" w:rsidRDefault="001A64D7" w14:paraId="309049C3" w14:textId="27720704">
      <w:pPr>
        <w:pStyle w:val="Heading2"/>
        <w:rPr>
          <w:lang w:val="en-AU"/>
        </w:rPr>
      </w:pPr>
      <w:bookmarkStart w:id="8" w:name="_Toc21870896"/>
      <w:r w:rsidRPr="001A64D7">
        <w:rPr>
          <w:lang w:val="en-AU"/>
        </w:rPr>
        <w:t>Secretary’s responsibilities for the financial report</w:t>
      </w:r>
      <w:bookmarkEnd w:id="8"/>
    </w:p>
    <w:p w:rsidRPr="001A64D7" w:rsidR="001A64D7" w:rsidP="001A64D7" w:rsidRDefault="001A64D7" w14:paraId="396C9633" w14:textId="77777777">
      <w:pPr>
        <w:rPr>
          <w:lang w:val="en-AU"/>
        </w:rPr>
      </w:pPr>
      <w:r w:rsidRPr="001A64D7">
        <w:rPr>
          <w:lang w:val="en-AU"/>
        </w:rPr>
        <w:t xml:space="preserve">The Secretary of the department is responsible for the preparation and fair presentation of the financial report in accordance with Australian Accounting Standards and the </w:t>
      </w:r>
      <w:r w:rsidRPr="001A64D7">
        <w:rPr>
          <w:i/>
          <w:lang w:val="en-AU"/>
        </w:rPr>
        <w:t>Financial Management Act 1994</w:t>
      </w:r>
      <w:r w:rsidRPr="001A64D7">
        <w:rPr>
          <w:lang w:val="en-AU"/>
        </w:rPr>
        <w:t>, and for such internal control as the Secretary determines is necessary to enable the preparation and fair presentation of a financial report that is free from material misstatement, whether due to fraud or error.</w:t>
      </w:r>
    </w:p>
    <w:p w:rsidR="001A64D7" w:rsidP="001A64D7" w:rsidRDefault="001A64D7" w14:paraId="5C83E1AB" w14:textId="26FE56CC">
      <w:pPr>
        <w:rPr>
          <w:lang w:val="en-AU"/>
        </w:rPr>
      </w:pPr>
      <w:r w:rsidRPr="001A64D7">
        <w:rPr>
          <w:lang w:val="en-AU"/>
        </w:rPr>
        <w:t>In preparing the financial report, the Secretary is responsible for assessing the department’s ability to continue as a going concern, disclosing, as applicable, matters related to going concern and using the going concern basis of accounting unless it is inappropriate to do so.</w:t>
      </w:r>
    </w:p>
    <w:p w:rsidRPr="001A64D7" w:rsidR="001A64D7" w:rsidP="001A64D7" w:rsidRDefault="001A64D7" w14:paraId="06549532" w14:textId="15767F93">
      <w:pPr>
        <w:pStyle w:val="Heading2"/>
      </w:pPr>
      <w:bookmarkStart w:id="9" w:name="_Toc21870897"/>
      <w:r w:rsidRPr="001A64D7">
        <w:lastRenderedPageBreak/>
        <w:t>Auditor’s responsibilities for the audit of the financial report</w:t>
      </w:r>
      <w:bookmarkEnd w:id="9"/>
    </w:p>
    <w:p w:rsidRPr="001A64D7" w:rsidR="001A64D7" w:rsidP="001A64D7" w:rsidRDefault="001A64D7" w14:paraId="361529D2" w14:textId="77777777">
      <w:pPr>
        <w:rPr>
          <w:lang w:val="en-AU"/>
        </w:rPr>
      </w:pPr>
      <w:r w:rsidRPr="001A64D7">
        <w:rPr>
          <w:lang w:val="en-AU"/>
        </w:rPr>
        <w:t xml:space="preserve">As required by the </w:t>
      </w:r>
      <w:r w:rsidRPr="001A64D7">
        <w:rPr>
          <w:i/>
          <w:lang w:val="en-AU"/>
        </w:rPr>
        <w:t>Audit Act 1994</w:t>
      </w:r>
      <w:r w:rsidRPr="001A64D7">
        <w:rPr>
          <w:lang w:val="en-AU"/>
        </w:rPr>
        <w:t>, 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w:t>
      </w:r>
      <w:r>
        <w:rPr>
          <w:lang w:val="en-AU"/>
        </w:rPr>
        <w:t xml:space="preserve"> </w:t>
      </w:r>
      <w:r w:rsidRPr="001A64D7">
        <w:rPr>
          <w:lang w:val="en-AU"/>
        </w:rPr>
        <w:t>misstatement when it exists. Misstatements can arise from fraud or error and are considered material if, individually or in the aggregate, they could reasonably be expected to influence the economic decisions of users taken on the basis of this financial report.</w:t>
      </w:r>
    </w:p>
    <w:p w:rsidRPr="001A64D7" w:rsidR="001A64D7" w:rsidP="001A64D7" w:rsidRDefault="001A64D7" w14:paraId="64F23960" w14:textId="77777777">
      <w:pPr>
        <w:rPr>
          <w:lang w:val="en-AU"/>
        </w:rPr>
      </w:pPr>
      <w:r w:rsidRPr="001A64D7">
        <w:rPr>
          <w:lang w:val="en-AU"/>
        </w:rPr>
        <w:t>As part of an audit in accordance with the Australian Auditing Standards, I exercise professional judgement and maintain professional scepticism throughout the audit. I also:</w:t>
      </w:r>
    </w:p>
    <w:p w:rsidRPr="00077C80" w:rsidR="001A64D7" w:rsidP="00077C80" w:rsidRDefault="001A64D7" w14:paraId="3B8FFAC8" w14:textId="05777415">
      <w:pPr>
        <w:pStyle w:val="Bullet1"/>
      </w:pPr>
      <w:r w:rsidRPr="00077C80">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Pr="00077C80" w:rsidR="001A64D7" w:rsidP="00077C80" w:rsidRDefault="001A64D7" w14:paraId="1D949B82" w14:textId="4FF597CF">
      <w:pPr>
        <w:pStyle w:val="Bullet1"/>
      </w:pPr>
      <w:r w:rsidRPr="00077C80">
        <w:t>obtain an understanding of internal control relevant to the audit in order to design audit procedures that are appropriate in the circumstances, but not for the purpose of expressing an opinion on the effectiveness of the department’s internal control</w:t>
      </w:r>
    </w:p>
    <w:p w:rsidRPr="00077C80" w:rsidR="001A64D7" w:rsidP="00077C80" w:rsidRDefault="001A64D7" w14:paraId="691E7D53" w14:textId="409A49F5">
      <w:pPr>
        <w:pStyle w:val="Bullet1"/>
      </w:pPr>
      <w:r w:rsidRPr="00077C80">
        <w:t>evaluate the appropriateness of accounting policies used and the reasonableness of accounting estimates and related disclosures made by the Secretary</w:t>
      </w:r>
    </w:p>
    <w:p w:rsidRPr="00077C80" w:rsidR="001A64D7" w:rsidP="00077C80" w:rsidRDefault="001A64D7" w14:paraId="51BAD4B5" w14:textId="6F351589">
      <w:pPr>
        <w:pStyle w:val="Bullet1"/>
      </w:pPr>
      <w:r w:rsidRPr="00077C80">
        <w:t>conclude on the appropriateness of the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department to cease to continue as a going concern.</w:t>
      </w:r>
    </w:p>
    <w:p w:rsidRPr="00077C80" w:rsidR="001A64D7" w:rsidP="00077C80" w:rsidRDefault="001A64D7" w14:paraId="077F11C1" w14:textId="1A87C201">
      <w:pPr>
        <w:pStyle w:val="Bullet1"/>
      </w:pPr>
      <w:r w:rsidRPr="00077C80">
        <w:t>evaluate the overall presentation, structure and content of the financial report, including the disclosures, and whether the financial report represents the underlying transactions and events in a manner that achieves fair presentation.</w:t>
      </w:r>
    </w:p>
    <w:p w:rsidRPr="001A64D7" w:rsidR="001A64D7" w:rsidP="001A64D7" w:rsidRDefault="001A64D7" w14:paraId="30D8BF1A" w14:textId="77777777">
      <w:pPr>
        <w:rPr>
          <w:lang w:val="en-AU"/>
        </w:rPr>
      </w:pPr>
      <w:r w:rsidRPr="001A64D7">
        <w:rPr>
          <w:lang w:val="en-AU"/>
        </w:rPr>
        <w:t>I communicate with the Secretary regarding, among other matters, the planned scope and timing of the audit and significant audit findings, including any significant deficiencies in internal control that I identify during my audit.</w:t>
      </w:r>
    </w:p>
    <w:p w:rsidR="001A64D7" w:rsidP="001A64D7" w:rsidRDefault="001A64D7" w14:paraId="7E08E0A6" w14:textId="652A515D">
      <w:pPr>
        <w:rPr>
          <w:lang w:val="en-AU"/>
        </w:rPr>
      </w:pPr>
      <w:r w:rsidRPr="001A64D7">
        <w:rPr>
          <w:lang w:val="en-AU"/>
        </w:rPr>
        <w:t>From the matters communicated with the Secretary, I determine those matters that were of most significance in the audit of the financial report of the current period and are therefore key audit matters. I describe these matters in the auditor’s report unless law or regulation precludes public disclosure about the matter or when, in extremely rare circumstances, I determine that a matter should not be communicated in the auditor’s report because the adverse consequences of doing so would reasonably be expected to outweigh the public interest benefits of such communication.</w:t>
      </w:r>
    </w:p>
    <w:p w:rsidR="00077C80" w:rsidP="001A64D7" w:rsidRDefault="00077C80" w14:paraId="2380550C" w14:textId="0D4B754B">
      <w:pPr>
        <w:rPr>
          <w:lang w:val="en-AU"/>
        </w:rPr>
      </w:pPr>
    </w:p>
    <w:p w:rsidRPr="00077C80" w:rsidR="00077C80" w:rsidP="00077C80" w:rsidRDefault="00077C80" w14:paraId="1F62AF64" w14:textId="77777777">
      <w:pPr>
        <w:rPr>
          <w:b/>
          <w:lang w:val="en-AU"/>
        </w:rPr>
      </w:pPr>
      <w:r w:rsidRPr="00077C80">
        <w:rPr>
          <w:b/>
          <w:lang w:val="en-AU"/>
        </w:rPr>
        <w:t>Andrew Greaves</w:t>
      </w:r>
    </w:p>
    <w:p w:rsidR="00077C80" w:rsidP="00077C80" w:rsidRDefault="00077C80" w14:paraId="22DF801C" w14:textId="20DA0AE6">
      <w:pPr>
        <w:rPr>
          <w:lang w:val="en-AU"/>
        </w:rPr>
      </w:pPr>
      <w:r w:rsidRPr="00077C80">
        <w:rPr>
          <w:lang w:val="en-AU"/>
        </w:rPr>
        <w:t>Auditor-General</w:t>
      </w:r>
    </w:p>
    <w:p w:rsidR="00CC015F" w:rsidP="00077C80" w:rsidRDefault="00077C80" w14:paraId="67E0D8F1" w14:textId="08934FBF">
      <w:pPr>
        <w:rPr>
          <w:lang w:val="en-AU"/>
        </w:rPr>
      </w:pPr>
      <w:r w:rsidRPr="00077C80">
        <w:rPr>
          <w:lang w:val="en-AU"/>
        </w:rPr>
        <w:t>MELBOURNE</w:t>
      </w:r>
      <w:r>
        <w:rPr>
          <w:lang w:val="en-AU"/>
        </w:rPr>
        <w:br/>
      </w:r>
      <w:r w:rsidRPr="00077C80">
        <w:rPr>
          <w:lang w:val="en-AU"/>
        </w:rPr>
        <w:t>2 October 2019</w:t>
      </w:r>
    </w:p>
    <w:p w:rsidR="00CC015F" w:rsidRDefault="00CC015F" w14:paraId="16670EC8" w14:textId="77777777">
      <w:pPr>
        <w:spacing w:after="0"/>
        <w:rPr>
          <w:lang w:val="en-AU"/>
        </w:rPr>
      </w:pPr>
      <w:r>
        <w:rPr>
          <w:lang w:val="en-AU"/>
        </w:rPr>
        <w:br w:type="page"/>
      </w:r>
    </w:p>
    <w:p w:rsidRPr="00CC015F" w:rsidR="00CC015F" w:rsidP="00CC015F" w:rsidRDefault="00CC015F" w14:paraId="7C2865E5" w14:textId="77777777">
      <w:pPr>
        <w:pStyle w:val="Heading1"/>
      </w:pPr>
      <w:bookmarkStart w:id="10" w:name="_Toc21870898"/>
      <w:r w:rsidRPr="00CC015F">
        <w:lastRenderedPageBreak/>
        <w:t>Comprehensive operating statement</w:t>
      </w:r>
      <w:bookmarkEnd w:id="10"/>
    </w:p>
    <w:p w:rsidRPr="00CC015F" w:rsidR="00CC015F" w:rsidP="00CC015F" w:rsidRDefault="00CC015F" w14:paraId="29B79895" w14:textId="009C1849">
      <w:r w:rsidRPr="00CC015F">
        <w:t>For the financial year ended 30 June 2019</w:t>
      </w:r>
    </w:p>
    <w:tbl>
      <w:tblPr>
        <w:tblW w:w="0" w:type="auto"/>
        <w:tblLayout w:type="fixed"/>
        <w:tblCellMar>
          <w:left w:w="0" w:type="dxa"/>
          <w:right w:w="0" w:type="dxa"/>
        </w:tblCellMar>
        <w:tblLook w:firstRow="1" w:lastRow="0" w:firstColumn="0" w:lastColumn="0" w:noHBand="0" w:noVBand="0" w:val="0020"/>
      </w:tblPr>
      <w:tblGrid>
        <w:gridCol w:w="283"/>
        <w:gridCol w:w="6237"/>
        <w:gridCol w:w="567"/>
        <w:gridCol w:w="1417"/>
        <w:gridCol w:w="1417"/>
      </w:tblGrid>
      <w:tr w:rsidRPr="001F0679" w:rsidR="00CC015F" w:rsidTr="001F0679" w14:paraId="2C392DC4" w14:textId="77777777">
        <w:trPr>
          <w:tblHeader/>
        </w:trPr>
        <w:tc>
          <w:tcPr>
            <w:tcW w:w="283" w:type="dxa"/>
            <w:tcBorders>
              <w:top w:val="nil"/>
              <w:left w:val="nil"/>
              <w:bottom w:val="single" w:color="000000" w:sz="6" w:space="0"/>
              <w:right w:val="nil"/>
            </w:tcBorders>
            <w:tcMar>
              <w:top w:w="57" w:type="dxa"/>
              <w:left w:w="0" w:type="dxa"/>
              <w:bottom w:w="57" w:type="dxa"/>
              <w:right w:w="0" w:type="dxa"/>
            </w:tcMar>
          </w:tcPr>
          <w:p w:rsidRPr="001F0679" w:rsidR="00CC015F" w:rsidP="00CC015F" w:rsidRDefault="00CC015F" w14:paraId="036551D1" w14:textId="77777777">
            <w:pPr>
              <w:spacing w:after="0"/>
              <w:rPr>
                <w:rFonts w:cs="Arial"/>
                <w:b/>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tcPr>
          <w:p w:rsidRPr="001F0679" w:rsidR="00CC015F" w:rsidP="00CC015F" w:rsidRDefault="00CC015F" w14:paraId="61006F8D" w14:textId="77777777">
            <w:pPr>
              <w:spacing w:after="0"/>
              <w:rPr>
                <w:rFonts w:cs="Arial"/>
                <w:b/>
                <w:sz w:val="16"/>
                <w:szCs w:val="16"/>
                <w:lang w:val="en-US"/>
              </w:rPr>
            </w:pPr>
          </w:p>
        </w:tc>
        <w:tc>
          <w:tcPr>
            <w:tcW w:w="567" w:type="dxa"/>
            <w:tcBorders>
              <w:top w:val="nil"/>
              <w:left w:val="nil"/>
              <w:bottom w:val="single" w:color="000000" w:sz="6" w:space="0"/>
              <w:right w:val="nil"/>
            </w:tcBorders>
            <w:tcMar>
              <w:top w:w="57" w:type="dxa"/>
              <w:left w:w="0" w:type="dxa"/>
              <w:bottom w:w="57" w:type="dxa"/>
              <w:right w:w="0" w:type="dxa"/>
            </w:tcMar>
          </w:tcPr>
          <w:p w:rsidRPr="001F0679" w:rsidR="00CC015F" w:rsidP="00CC015F" w:rsidRDefault="00CC015F" w14:paraId="68C47001" w14:textId="77777777">
            <w:pPr>
              <w:spacing w:after="0"/>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tcPr>
          <w:p w:rsidRPr="001F0679" w:rsidR="00CC015F" w:rsidP="00CC015F" w:rsidRDefault="00CC015F" w14:paraId="5309B2E6" w14:textId="77777777">
            <w:pPr>
              <w:spacing w:after="0"/>
              <w:jc w:val="right"/>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tcPr>
          <w:p w:rsidRPr="001F0679" w:rsidR="00CC015F" w:rsidP="00CC015F" w:rsidRDefault="00CC015F" w14:paraId="362107E8" w14:textId="77777777">
            <w:pPr>
              <w:spacing w:after="0"/>
              <w:jc w:val="right"/>
              <w:rPr>
                <w:rFonts w:cs="Arial"/>
                <w:b/>
                <w:sz w:val="16"/>
                <w:szCs w:val="16"/>
              </w:rPr>
            </w:pPr>
            <w:r w:rsidRPr="001F0679">
              <w:rPr>
                <w:rFonts w:cs="Arial"/>
                <w:b/>
                <w:sz w:val="16"/>
                <w:szCs w:val="16"/>
              </w:rPr>
              <w:t>($ thousand)</w:t>
            </w:r>
          </w:p>
        </w:tc>
      </w:tr>
      <w:tr w:rsidRPr="001F0679" w:rsidR="00CC015F" w:rsidTr="001F0679" w14:paraId="4EF2D163"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tcPr>
          <w:p w:rsidRPr="001F0679" w:rsidR="00CC015F" w:rsidP="00CC015F" w:rsidRDefault="00CC015F" w14:paraId="289D93EB" w14:textId="77777777">
            <w:pPr>
              <w:spacing w:after="0"/>
              <w:rPr>
                <w:rFonts w:cs="Arial"/>
                <w:b/>
                <w:sz w:val="16"/>
                <w:szCs w:val="16"/>
                <w:lang w:val="en-US"/>
              </w:rPr>
            </w:pPr>
          </w:p>
        </w:tc>
        <w:tc>
          <w:tcPr>
            <w:tcW w:w="6237" w:type="dxa"/>
            <w:tcBorders>
              <w:top w:val="single" w:color="000000" w:sz="6" w:space="0"/>
              <w:left w:val="nil"/>
              <w:bottom w:val="single" w:color="000000" w:sz="6" w:space="0"/>
              <w:right w:val="nil"/>
            </w:tcBorders>
            <w:tcMar>
              <w:top w:w="57" w:type="dxa"/>
              <w:left w:w="0" w:type="dxa"/>
              <w:bottom w:w="57" w:type="dxa"/>
              <w:right w:w="0" w:type="dxa"/>
            </w:tcMar>
          </w:tcPr>
          <w:p w:rsidRPr="001F0679" w:rsidR="00CC015F" w:rsidP="00CC015F" w:rsidRDefault="00CC015F" w14:paraId="40405E6F" w14:textId="77777777">
            <w:pPr>
              <w:spacing w:after="0"/>
              <w:rPr>
                <w:rFonts w:cs="Arial"/>
                <w:b/>
                <w:sz w:val="16"/>
                <w:szCs w:val="16"/>
                <w:lang w:val="en-US"/>
              </w:rPr>
            </w:pPr>
          </w:p>
        </w:tc>
        <w:tc>
          <w:tcPr>
            <w:tcW w:w="567" w:type="dxa"/>
            <w:tcBorders>
              <w:top w:val="single" w:color="000000" w:sz="6" w:space="0"/>
              <w:left w:val="nil"/>
              <w:bottom w:val="single" w:color="000000" w:sz="6" w:space="0"/>
              <w:right w:val="nil"/>
            </w:tcBorders>
            <w:tcMar>
              <w:top w:w="57" w:type="dxa"/>
              <w:left w:w="0" w:type="dxa"/>
              <w:bottom w:w="57" w:type="dxa"/>
              <w:right w:w="0" w:type="dxa"/>
            </w:tcMar>
          </w:tcPr>
          <w:p w:rsidRPr="001F0679" w:rsidR="00CC015F" w:rsidP="00CC015F" w:rsidRDefault="00CC015F" w14:paraId="0073ADC8" w14:textId="77777777">
            <w:pPr>
              <w:spacing w:after="0"/>
              <w:jc w:val="center"/>
              <w:rPr>
                <w:rFonts w:cs="Arial"/>
                <w:b/>
                <w:sz w:val="16"/>
                <w:szCs w:val="16"/>
              </w:rPr>
            </w:pPr>
            <w:r w:rsidRPr="001F0679">
              <w:rPr>
                <w:rFonts w:cs="Arial"/>
                <w:b/>
                <w:sz w:val="16"/>
                <w:szCs w:val="16"/>
              </w:rPr>
              <w:t>Note</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1F0679" w:rsidR="00CC015F" w:rsidP="00CC015F" w:rsidRDefault="00CC015F" w14:paraId="70DE82E2" w14:textId="77777777">
            <w:pPr>
              <w:spacing w:after="0"/>
              <w:jc w:val="right"/>
              <w:rPr>
                <w:rFonts w:cs="Arial"/>
                <w:b/>
                <w:sz w:val="16"/>
                <w:szCs w:val="16"/>
              </w:rPr>
            </w:pPr>
            <w:r w:rsidRPr="001F0679">
              <w:rPr>
                <w:rFonts w:cs="Arial"/>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1F0679" w:rsidR="00CC015F" w:rsidP="00CC015F" w:rsidRDefault="00CC015F" w14:paraId="234FFEE8" w14:textId="77777777">
            <w:pPr>
              <w:spacing w:after="0"/>
              <w:jc w:val="right"/>
              <w:rPr>
                <w:rFonts w:cs="Arial"/>
                <w:b/>
                <w:sz w:val="16"/>
                <w:szCs w:val="16"/>
              </w:rPr>
            </w:pPr>
            <w:r w:rsidRPr="001F0679">
              <w:rPr>
                <w:rFonts w:cs="Arial"/>
                <w:b/>
                <w:sz w:val="16"/>
                <w:szCs w:val="16"/>
              </w:rPr>
              <w:t>2018</w:t>
            </w:r>
          </w:p>
        </w:tc>
      </w:tr>
      <w:tr w:rsidRPr="00CC015F" w:rsidR="00CC015F" w:rsidTr="001F0679" w14:paraId="4252238C" w14:textId="77777777">
        <w:tc>
          <w:tcPr>
            <w:tcW w:w="9921" w:type="dxa"/>
            <w:gridSpan w:val="5"/>
            <w:tcBorders>
              <w:top w:val="single" w:color="000000" w:sz="6" w:space="0"/>
              <w:left w:val="nil"/>
              <w:bottom w:val="nil"/>
              <w:right w:val="nil"/>
            </w:tcBorders>
            <w:tcMar>
              <w:top w:w="57" w:type="dxa"/>
              <w:left w:w="0" w:type="dxa"/>
              <w:bottom w:w="57" w:type="dxa"/>
              <w:right w:w="0" w:type="dxa"/>
            </w:tcMar>
          </w:tcPr>
          <w:p w:rsidRPr="00CC015F" w:rsidR="00CC015F" w:rsidP="00CC015F" w:rsidRDefault="00CC015F" w14:paraId="5457AB44" w14:textId="77777777">
            <w:pPr>
              <w:spacing w:after="0"/>
              <w:rPr>
                <w:rFonts w:cs="Arial"/>
                <w:b/>
                <w:sz w:val="16"/>
                <w:szCs w:val="16"/>
              </w:rPr>
            </w:pPr>
            <w:r w:rsidRPr="00CC015F">
              <w:rPr>
                <w:rFonts w:cs="Arial"/>
                <w:b/>
                <w:sz w:val="16"/>
                <w:szCs w:val="16"/>
              </w:rPr>
              <w:t>Income from transactions</w:t>
            </w:r>
          </w:p>
        </w:tc>
      </w:tr>
      <w:tr w:rsidRPr="00CC015F" w:rsidR="00CC015F" w:rsidTr="001F0679" w14:paraId="4A54FA77"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642A9583"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50B6B2C2" w14:textId="77777777">
            <w:pPr>
              <w:spacing w:after="0"/>
              <w:rPr>
                <w:rFonts w:cs="Arial"/>
                <w:sz w:val="16"/>
                <w:szCs w:val="16"/>
              </w:rPr>
            </w:pPr>
            <w:r w:rsidRPr="00CC015F">
              <w:rPr>
                <w:rFonts w:cs="Arial"/>
                <w:sz w:val="16"/>
                <w:szCs w:val="16"/>
              </w:rPr>
              <w:t>Output appropriations</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0BF49319" w14:textId="77777777">
            <w:pPr>
              <w:spacing w:after="0"/>
              <w:jc w:val="center"/>
              <w:rPr>
                <w:rFonts w:cs="Arial"/>
                <w:sz w:val="16"/>
                <w:szCs w:val="16"/>
              </w:rPr>
            </w:pPr>
            <w:r w:rsidRPr="00CC015F">
              <w:rPr>
                <w:rFonts w:cs="Arial"/>
                <w:sz w:val="16"/>
                <w:szCs w:val="16"/>
              </w:rPr>
              <w:t>2.2</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40BBD8A9" w14:textId="77777777">
            <w:pPr>
              <w:spacing w:after="0"/>
              <w:jc w:val="right"/>
              <w:rPr>
                <w:rFonts w:cs="Arial"/>
                <w:sz w:val="16"/>
                <w:szCs w:val="16"/>
              </w:rPr>
            </w:pPr>
            <w:r w:rsidRPr="00CC015F">
              <w:rPr>
                <w:rFonts w:cs="Arial"/>
                <w:sz w:val="16"/>
                <w:szCs w:val="16"/>
              </w:rPr>
              <w:t xml:space="preserve">7,570,300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173962D" w14:textId="77777777">
            <w:pPr>
              <w:spacing w:after="0"/>
              <w:jc w:val="right"/>
              <w:rPr>
                <w:rFonts w:cs="Arial"/>
                <w:sz w:val="16"/>
                <w:szCs w:val="16"/>
              </w:rPr>
            </w:pPr>
            <w:r w:rsidRPr="00CC015F">
              <w:rPr>
                <w:rFonts w:cs="Arial"/>
                <w:sz w:val="16"/>
                <w:szCs w:val="16"/>
              </w:rPr>
              <w:t xml:space="preserve">6,837,010 </w:t>
            </w:r>
          </w:p>
        </w:tc>
      </w:tr>
      <w:tr w:rsidRPr="00CC015F" w:rsidR="00CC015F" w:rsidTr="001F0679" w14:paraId="693C313D"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391970F6"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200F687B" w14:textId="77777777">
            <w:pPr>
              <w:spacing w:after="0"/>
              <w:rPr>
                <w:rFonts w:cs="Arial"/>
                <w:sz w:val="16"/>
                <w:szCs w:val="16"/>
              </w:rPr>
            </w:pPr>
            <w:r w:rsidRPr="00CC015F">
              <w:rPr>
                <w:rFonts w:cs="Arial"/>
                <w:sz w:val="16"/>
                <w:szCs w:val="16"/>
              </w:rPr>
              <w:t>Special appropriations</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0A280BBB" w14:textId="77777777">
            <w:pPr>
              <w:spacing w:after="0"/>
              <w:jc w:val="center"/>
              <w:rPr>
                <w:rFonts w:cs="Arial"/>
                <w:sz w:val="16"/>
                <w:szCs w:val="16"/>
              </w:rPr>
            </w:pPr>
            <w:r w:rsidRPr="00CC015F">
              <w:rPr>
                <w:rFonts w:cs="Arial"/>
                <w:sz w:val="16"/>
                <w:szCs w:val="16"/>
              </w:rPr>
              <w:t>2.3</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3D56BEA1" w14:textId="77777777">
            <w:pPr>
              <w:spacing w:after="0"/>
              <w:jc w:val="right"/>
              <w:rPr>
                <w:rFonts w:cs="Arial"/>
                <w:sz w:val="16"/>
                <w:szCs w:val="16"/>
              </w:rPr>
            </w:pPr>
            <w:r w:rsidRPr="00CC015F">
              <w:rPr>
                <w:rFonts w:cs="Arial"/>
                <w:sz w:val="16"/>
                <w:szCs w:val="16"/>
              </w:rPr>
              <w:t xml:space="preserve">3,400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43DBFB15" w14:textId="77777777">
            <w:pPr>
              <w:spacing w:after="0"/>
              <w:jc w:val="right"/>
              <w:rPr>
                <w:rFonts w:cs="Arial"/>
                <w:sz w:val="16"/>
                <w:szCs w:val="16"/>
              </w:rPr>
            </w:pPr>
            <w:r w:rsidRPr="00CC015F">
              <w:rPr>
                <w:rFonts w:cs="Arial"/>
                <w:sz w:val="16"/>
                <w:szCs w:val="16"/>
              </w:rPr>
              <w:t xml:space="preserve">654 </w:t>
            </w:r>
          </w:p>
        </w:tc>
      </w:tr>
      <w:tr w:rsidRPr="00CC015F" w:rsidR="00CC015F" w:rsidTr="001F0679" w14:paraId="66CCD7AE"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4539DE7B"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5818EF0C" w14:textId="77777777">
            <w:pPr>
              <w:spacing w:after="0"/>
              <w:rPr>
                <w:rFonts w:cs="Arial"/>
                <w:sz w:val="16"/>
                <w:szCs w:val="16"/>
              </w:rPr>
            </w:pPr>
            <w:r w:rsidRPr="00CC015F">
              <w:rPr>
                <w:rFonts w:cs="Arial"/>
                <w:sz w:val="16"/>
                <w:szCs w:val="16"/>
              </w:rPr>
              <w:t>Interest income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4F977B72" w14:textId="77777777">
            <w:pPr>
              <w:spacing w:after="0"/>
              <w:jc w:val="center"/>
              <w:rPr>
                <w:rFonts w:cs="Arial"/>
                <w:sz w:val="16"/>
                <w:szCs w:val="16"/>
              </w:rPr>
            </w:pPr>
            <w:r w:rsidRPr="00CC015F">
              <w:rPr>
                <w:rFonts w:cs="Arial"/>
                <w:sz w:val="16"/>
                <w:szCs w:val="16"/>
              </w:rPr>
              <w:t>2.4</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167A753" w14:textId="77777777">
            <w:pPr>
              <w:spacing w:after="0"/>
              <w:jc w:val="right"/>
              <w:rPr>
                <w:rFonts w:cs="Arial"/>
                <w:sz w:val="16"/>
                <w:szCs w:val="16"/>
              </w:rPr>
            </w:pPr>
            <w:r w:rsidRPr="00CC015F">
              <w:rPr>
                <w:rFonts w:cs="Arial"/>
                <w:sz w:val="16"/>
                <w:szCs w:val="16"/>
              </w:rPr>
              <w:t xml:space="preserve">23,582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08AC5A4" w14:textId="77777777">
            <w:pPr>
              <w:spacing w:after="0"/>
              <w:jc w:val="right"/>
              <w:rPr>
                <w:rFonts w:cs="Arial"/>
                <w:sz w:val="16"/>
                <w:szCs w:val="16"/>
              </w:rPr>
            </w:pPr>
            <w:r w:rsidRPr="00CC015F">
              <w:rPr>
                <w:rFonts w:cs="Arial"/>
                <w:sz w:val="16"/>
                <w:szCs w:val="16"/>
              </w:rPr>
              <w:t xml:space="preserve">27,608 </w:t>
            </w:r>
          </w:p>
        </w:tc>
      </w:tr>
      <w:tr w:rsidRPr="00CC015F" w:rsidR="00CC015F" w:rsidTr="001F0679" w14:paraId="1EFD0462"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5B7B0EE7"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1AF79999" w14:textId="77777777">
            <w:pPr>
              <w:spacing w:after="0"/>
              <w:rPr>
                <w:rFonts w:cs="Arial"/>
                <w:sz w:val="16"/>
                <w:szCs w:val="16"/>
              </w:rPr>
            </w:pPr>
            <w:r w:rsidRPr="00CC015F">
              <w:rPr>
                <w:rFonts w:cs="Arial"/>
                <w:sz w:val="16"/>
                <w:szCs w:val="16"/>
              </w:rPr>
              <w:t>Grant income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27CC48B7" w14:textId="77777777">
            <w:pPr>
              <w:spacing w:after="0"/>
              <w:jc w:val="center"/>
              <w:rPr>
                <w:rFonts w:cs="Arial"/>
                <w:sz w:val="16"/>
                <w:szCs w:val="16"/>
              </w:rPr>
            </w:pPr>
            <w:r w:rsidRPr="00CC015F">
              <w:rPr>
                <w:rFonts w:cs="Arial"/>
                <w:sz w:val="16"/>
                <w:szCs w:val="16"/>
              </w:rPr>
              <w:t>2.5</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630E6EEB" w14:textId="77777777">
            <w:pPr>
              <w:spacing w:after="0"/>
              <w:jc w:val="right"/>
              <w:rPr>
                <w:rFonts w:cs="Arial"/>
                <w:sz w:val="16"/>
                <w:szCs w:val="16"/>
              </w:rPr>
            </w:pPr>
            <w:r w:rsidRPr="00CC015F">
              <w:rPr>
                <w:rFonts w:cs="Arial"/>
                <w:sz w:val="16"/>
                <w:szCs w:val="16"/>
              </w:rPr>
              <w:t xml:space="preserve">31,950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3BC2106D" w14:textId="77777777">
            <w:pPr>
              <w:spacing w:after="0"/>
              <w:jc w:val="right"/>
              <w:rPr>
                <w:rFonts w:cs="Arial"/>
                <w:sz w:val="16"/>
                <w:szCs w:val="16"/>
              </w:rPr>
            </w:pPr>
            <w:r w:rsidRPr="00CC015F">
              <w:rPr>
                <w:rFonts w:cs="Arial"/>
                <w:sz w:val="16"/>
                <w:szCs w:val="16"/>
              </w:rPr>
              <w:t xml:space="preserve">21,308 </w:t>
            </w:r>
          </w:p>
        </w:tc>
      </w:tr>
      <w:tr w:rsidRPr="00CC015F" w:rsidR="00CC015F" w:rsidTr="001F0679" w14:paraId="75E8D494" w14:textId="77777777">
        <w:tc>
          <w:tcPr>
            <w:tcW w:w="283"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6B9DF4D2"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25C61899" w14:textId="77777777">
            <w:pPr>
              <w:spacing w:after="0"/>
              <w:rPr>
                <w:rFonts w:cs="Arial"/>
                <w:sz w:val="16"/>
                <w:szCs w:val="16"/>
              </w:rPr>
            </w:pPr>
            <w:r w:rsidRPr="00CC015F">
              <w:rPr>
                <w:rFonts w:cs="Arial"/>
                <w:sz w:val="16"/>
                <w:szCs w:val="16"/>
              </w:rPr>
              <w:t>Other income</w:t>
            </w:r>
          </w:p>
        </w:tc>
        <w:tc>
          <w:tcPr>
            <w:tcW w:w="56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3BAA663F" w14:textId="77777777">
            <w:pPr>
              <w:spacing w:after="0"/>
              <w:jc w:val="center"/>
              <w:rPr>
                <w:rFonts w:cs="Arial"/>
                <w:sz w:val="16"/>
                <w:szCs w:val="16"/>
              </w:rPr>
            </w:pPr>
            <w:r w:rsidRPr="00CC015F">
              <w:rPr>
                <w:rFonts w:cs="Arial"/>
                <w:sz w:val="16"/>
                <w:szCs w:val="16"/>
              </w:rPr>
              <w:t>2.6</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13214F5D" w14:textId="77777777">
            <w:pPr>
              <w:spacing w:after="0"/>
              <w:jc w:val="right"/>
              <w:rPr>
                <w:rFonts w:cs="Arial"/>
                <w:sz w:val="16"/>
                <w:szCs w:val="16"/>
              </w:rPr>
            </w:pPr>
            <w:r w:rsidRPr="00CC015F">
              <w:rPr>
                <w:rFonts w:cs="Arial"/>
                <w:sz w:val="16"/>
                <w:szCs w:val="16"/>
              </w:rPr>
              <w:t xml:space="preserve">89,216 </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7FEE5968" w14:textId="77777777">
            <w:pPr>
              <w:spacing w:after="0"/>
              <w:jc w:val="right"/>
              <w:rPr>
                <w:rFonts w:cs="Arial"/>
                <w:sz w:val="16"/>
                <w:szCs w:val="16"/>
              </w:rPr>
            </w:pPr>
            <w:r w:rsidRPr="00CC015F">
              <w:rPr>
                <w:rFonts w:cs="Arial"/>
                <w:sz w:val="16"/>
                <w:szCs w:val="16"/>
              </w:rPr>
              <w:t xml:space="preserve">70,587 </w:t>
            </w:r>
          </w:p>
        </w:tc>
      </w:tr>
      <w:tr w:rsidRPr="00CC015F" w:rsidR="00CC015F" w:rsidTr="001F0679" w14:paraId="3BDAA2A6" w14:textId="77777777">
        <w:tc>
          <w:tcPr>
            <w:tcW w:w="6520" w:type="dxa"/>
            <w:gridSpan w:val="2"/>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00301DE4" w14:textId="77777777">
            <w:pPr>
              <w:spacing w:after="0"/>
              <w:rPr>
                <w:rFonts w:cs="Arial"/>
                <w:b/>
                <w:sz w:val="16"/>
                <w:szCs w:val="16"/>
              </w:rPr>
            </w:pPr>
            <w:r w:rsidRPr="00CC015F">
              <w:rPr>
                <w:rFonts w:cs="Arial"/>
                <w:b/>
                <w:sz w:val="16"/>
                <w:szCs w:val="16"/>
              </w:rPr>
              <w:t>Total income from transactions</w:t>
            </w:r>
          </w:p>
        </w:tc>
        <w:tc>
          <w:tcPr>
            <w:tcW w:w="56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50F76B80" w14:textId="77777777">
            <w:pPr>
              <w:spacing w:after="0"/>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3EE3E5C4" w14:textId="77777777">
            <w:pPr>
              <w:spacing w:after="0"/>
              <w:jc w:val="right"/>
              <w:rPr>
                <w:rFonts w:cs="Arial"/>
                <w:b/>
                <w:sz w:val="16"/>
                <w:szCs w:val="16"/>
              </w:rPr>
            </w:pPr>
            <w:r w:rsidRPr="00CC015F">
              <w:rPr>
                <w:rFonts w:cs="Arial"/>
                <w:b/>
                <w:sz w:val="16"/>
                <w:szCs w:val="16"/>
              </w:rPr>
              <w:t xml:space="preserve">7,718,448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47F27761" w14:textId="77777777">
            <w:pPr>
              <w:spacing w:after="0"/>
              <w:jc w:val="right"/>
              <w:rPr>
                <w:rFonts w:cs="Arial"/>
                <w:b/>
                <w:sz w:val="16"/>
                <w:szCs w:val="16"/>
              </w:rPr>
            </w:pPr>
            <w:r w:rsidRPr="00CC015F">
              <w:rPr>
                <w:rFonts w:cs="Arial"/>
                <w:b/>
                <w:sz w:val="16"/>
                <w:szCs w:val="16"/>
              </w:rPr>
              <w:t xml:space="preserve">6,957,167 </w:t>
            </w:r>
          </w:p>
        </w:tc>
      </w:tr>
      <w:tr w:rsidRPr="00CC015F" w:rsidR="00CC015F" w:rsidTr="001F0679" w14:paraId="56E2A9E8" w14:textId="77777777">
        <w:tc>
          <w:tcPr>
            <w:tcW w:w="9921" w:type="dxa"/>
            <w:gridSpan w:val="5"/>
            <w:tcBorders>
              <w:top w:val="single" w:color="000000" w:sz="6" w:space="0"/>
              <w:left w:val="nil"/>
              <w:bottom w:val="nil"/>
              <w:right w:val="nil"/>
            </w:tcBorders>
            <w:tcMar>
              <w:top w:w="57" w:type="dxa"/>
              <w:left w:w="0" w:type="dxa"/>
              <w:bottom w:w="57" w:type="dxa"/>
              <w:right w:w="0" w:type="dxa"/>
            </w:tcMar>
          </w:tcPr>
          <w:p w:rsidRPr="00CC015F" w:rsidR="00CC015F" w:rsidP="00CC015F" w:rsidRDefault="00CC015F" w14:paraId="4D9E8F0C" w14:textId="77777777">
            <w:pPr>
              <w:spacing w:after="0"/>
              <w:rPr>
                <w:rFonts w:cs="Arial"/>
                <w:b/>
                <w:sz w:val="16"/>
                <w:szCs w:val="16"/>
              </w:rPr>
            </w:pPr>
            <w:r w:rsidRPr="00CC015F">
              <w:rPr>
                <w:rFonts w:cs="Arial"/>
                <w:b/>
                <w:sz w:val="16"/>
                <w:szCs w:val="16"/>
              </w:rPr>
              <w:t>Expenses from transactions</w:t>
            </w:r>
          </w:p>
        </w:tc>
      </w:tr>
      <w:tr w:rsidRPr="00CC015F" w:rsidR="00CC015F" w:rsidTr="001F0679" w14:paraId="36FFD0AC"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509D0E5C"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343CBA89" w14:textId="77777777">
            <w:pPr>
              <w:spacing w:after="0"/>
              <w:rPr>
                <w:rFonts w:cs="Arial"/>
                <w:sz w:val="16"/>
                <w:szCs w:val="16"/>
              </w:rPr>
            </w:pPr>
            <w:r w:rsidRPr="00CC015F">
              <w:rPr>
                <w:rFonts w:cs="Arial"/>
                <w:sz w:val="16"/>
                <w:szCs w:val="16"/>
              </w:rPr>
              <w:t>Employee benefit expense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18CCEED1" w14:textId="77777777">
            <w:pPr>
              <w:spacing w:after="0"/>
              <w:jc w:val="center"/>
              <w:rPr>
                <w:rFonts w:cs="Arial"/>
                <w:sz w:val="16"/>
                <w:szCs w:val="16"/>
              </w:rPr>
            </w:pPr>
            <w:r w:rsidRPr="00CC015F">
              <w:rPr>
                <w:rFonts w:cs="Arial"/>
                <w:sz w:val="16"/>
                <w:szCs w:val="16"/>
              </w:rPr>
              <w:t>3.2.1</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8F281A0" w14:textId="77777777">
            <w:pPr>
              <w:spacing w:after="0"/>
              <w:jc w:val="right"/>
              <w:rPr>
                <w:rFonts w:cs="Arial"/>
                <w:sz w:val="16"/>
                <w:szCs w:val="16"/>
              </w:rPr>
            </w:pPr>
            <w:r w:rsidRPr="00CC015F">
              <w:rPr>
                <w:rFonts w:cs="Arial"/>
                <w:sz w:val="16"/>
                <w:szCs w:val="16"/>
              </w:rPr>
              <w:t xml:space="preserve">(1,062,836)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5A63855B" w14:textId="77777777">
            <w:pPr>
              <w:spacing w:after="0"/>
              <w:jc w:val="right"/>
              <w:rPr>
                <w:rFonts w:cs="Arial"/>
                <w:sz w:val="16"/>
                <w:szCs w:val="16"/>
              </w:rPr>
            </w:pPr>
            <w:r w:rsidRPr="00CC015F">
              <w:rPr>
                <w:rFonts w:cs="Arial"/>
                <w:sz w:val="16"/>
                <w:szCs w:val="16"/>
              </w:rPr>
              <w:t xml:space="preserve">(961,331) </w:t>
            </w:r>
          </w:p>
        </w:tc>
      </w:tr>
      <w:tr w:rsidRPr="00CC015F" w:rsidR="00CC015F" w:rsidTr="001F0679" w14:paraId="5ADD3350"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0EF51D72"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6C775269" w14:textId="77777777">
            <w:pPr>
              <w:spacing w:after="0"/>
              <w:rPr>
                <w:rFonts w:cs="Arial"/>
                <w:sz w:val="16"/>
                <w:szCs w:val="16"/>
              </w:rPr>
            </w:pPr>
            <w:r w:rsidRPr="00CC015F">
              <w:rPr>
                <w:rFonts w:cs="Arial"/>
                <w:sz w:val="16"/>
                <w:szCs w:val="16"/>
              </w:rPr>
              <w:t>Depreciation</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38A18898" w14:textId="77777777">
            <w:pPr>
              <w:spacing w:after="0"/>
              <w:jc w:val="center"/>
              <w:rPr>
                <w:rFonts w:cs="Arial"/>
                <w:sz w:val="16"/>
                <w:szCs w:val="16"/>
              </w:rPr>
            </w:pPr>
            <w:r w:rsidRPr="00CC015F">
              <w:rPr>
                <w:rFonts w:cs="Arial"/>
                <w:sz w:val="16"/>
                <w:szCs w:val="16"/>
              </w:rPr>
              <w:t>5.2.1</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28021233" w14:textId="77777777">
            <w:pPr>
              <w:spacing w:after="0"/>
              <w:jc w:val="right"/>
              <w:rPr>
                <w:rFonts w:cs="Arial"/>
                <w:sz w:val="16"/>
                <w:szCs w:val="16"/>
              </w:rPr>
            </w:pPr>
            <w:r w:rsidRPr="00CC015F">
              <w:rPr>
                <w:rFonts w:cs="Arial"/>
                <w:sz w:val="16"/>
                <w:szCs w:val="16"/>
              </w:rPr>
              <w:t xml:space="preserve">(134,681)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72810657" w14:textId="77777777">
            <w:pPr>
              <w:spacing w:after="0"/>
              <w:jc w:val="right"/>
              <w:rPr>
                <w:rFonts w:cs="Arial"/>
                <w:sz w:val="16"/>
                <w:szCs w:val="16"/>
              </w:rPr>
            </w:pPr>
            <w:r w:rsidRPr="00CC015F">
              <w:rPr>
                <w:rFonts w:cs="Arial"/>
                <w:sz w:val="16"/>
                <w:szCs w:val="16"/>
              </w:rPr>
              <w:t xml:space="preserve">(118,593) </w:t>
            </w:r>
          </w:p>
        </w:tc>
      </w:tr>
      <w:tr w:rsidRPr="00CC015F" w:rsidR="00CC015F" w:rsidTr="001F0679" w14:paraId="31728582"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730659B4"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55AC3FD5" w14:textId="77777777">
            <w:pPr>
              <w:spacing w:after="0"/>
              <w:rPr>
                <w:rFonts w:cs="Arial"/>
                <w:sz w:val="16"/>
                <w:szCs w:val="16"/>
              </w:rPr>
            </w:pPr>
            <w:r w:rsidRPr="00CC015F">
              <w:rPr>
                <w:rFonts w:cs="Arial"/>
                <w:sz w:val="16"/>
                <w:szCs w:val="16"/>
              </w:rPr>
              <w:t>Interest expense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4C19A884" w14:textId="77777777">
            <w:pPr>
              <w:spacing w:after="0"/>
              <w:jc w:val="center"/>
              <w:rPr>
                <w:rFonts w:cs="Arial"/>
                <w:sz w:val="16"/>
                <w:szCs w:val="16"/>
              </w:rPr>
            </w:pPr>
            <w:r w:rsidRPr="00CC015F">
              <w:rPr>
                <w:rFonts w:cs="Arial"/>
                <w:sz w:val="16"/>
                <w:szCs w:val="16"/>
              </w:rPr>
              <w:t>7.2</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F62BD80" w14:textId="77777777">
            <w:pPr>
              <w:spacing w:after="0"/>
              <w:jc w:val="right"/>
              <w:rPr>
                <w:rFonts w:cs="Arial"/>
                <w:sz w:val="16"/>
                <w:szCs w:val="16"/>
              </w:rPr>
            </w:pPr>
            <w:r w:rsidRPr="00CC015F">
              <w:rPr>
                <w:rFonts w:cs="Arial"/>
                <w:sz w:val="16"/>
                <w:szCs w:val="16"/>
              </w:rPr>
              <w:t xml:space="preserve">(63,635)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5A0CA067" w14:textId="77777777">
            <w:pPr>
              <w:spacing w:after="0"/>
              <w:jc w:val="right"/>
              <w:rPr>
                <w:rFonts w:cs="Arial"/>
                <w:sz w:val="16"/>
                <w:szCs w:val="16"/>
              </w:rPr>
            </w:pPr>
            <w:r w:rsidRPr="00CC015F">
              <w:rPr>
                <w:rFonts w:cs="Arial"/>
                <w:sz w:val="16"/>
                <w:szCs w:val="16"/>
              </w:rPr>
              <w:t xml:space="preserve">(50,676) </w:t>
            </w:r>
          </w:p>
        </w:tc>
      </w:tr>
      <w:tr w:rsidRPr="00CC015F" w:rsidR="00CC015F" w:rsidTr="001F0679" w14:paraId="7E5DE9EB"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117889E5"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584EDC79" w14:textId="77777777">
            <w:pPr>
              <w:spacing w:after="0"/>
              <w:rPr>
                <w:rFonts w:cs="Arial"/>
                <w:sz w:val="16"/>
                <w:szCs w:val="16"/>
              </w:rPr>
            </w:pPr>
            <w:r w:rsidRPr="00CC015F">
              <w:rPr>
                <w:rFonts w:cs="Arial"/>
                <w:sz w:val="16"/>
                <w:szCs w:val="16"/>
              </w:rPr>
              <w:t>Grant expense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646CF655" w14:textId="77777777">
            <w:pPr>
              <w:spacing w:after="0"/>
              <w:jc w:val="center"/>
              <w:rPr>
                <w:rFonts w:cs="Arial"/>
                <w:sz w:val="16"/>
                <w:szCs w:val="16"/>
              </w:rPr>
            </w:pPr>
            <w:r w:rsidRPr="00CC015F">
              <w:rPr>
                <w:rFonts w:cs="Arial"/>
                <w:sz w:val="16"/>
                <w:szCs w:val="16"/>
              </w:rPr>
              <w:t>3.3</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4332F5B1" w14:textId="77777777">
            <w:pPr>
              <w:spacing w:after="0"/>
              <w:jc w:val="right"/>
              <w:rPr>
                <w:rFonts w:cs="Arial"/>
                <w:sz w:val="16"/>
                <w:szCs w:val="16"/>
              </w:rPr>
            </w:pPr>
            <w:r w:rsidRPr="00CC015F">
              <w:rPr>
                <w:rFonts w:cs="Arial"/>
                <w:sz w:val="16"/>
                <w:szCs w:val="16"/>
              </w:rPr>
              <w:t xml:space="preserve">(5,043,501)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150866D6" w14:textId="77777777">
            <w:pPr>
              <w:spacing w:after="0"/>
              <w:jc w:val="right"/>
              <w:rPr>
                <w:rFonts w:cs="Arial"/>
                <w:sz w:val="16"/>
                <w:szCs w:val="16"/>
              </w:rPr>
            </w:pPr>
            <w:r w:rsidRPr="00CC015F">
              <w:rPr>
                <w:rFonts w:cs="Arial"/>
                <w:sz w:val="16"/>
                <w:szCs w:val="16"/>
              </w:rPr>
              <w:t xml:space="preserve">(4,634,117) </w:t>
            </w:r>
          </w:p>
        </w:tc>
      </w:tr>
      <w:tr w:rsidRPr="00CC015F" w:rsidR="00CC015F" w:rsidTr="001F0679" w14:paraId="522EBF16"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73E3D5D4"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068F10CB" w14:textId="77777777">
            <w:pPr>
              <w:spacing w:after="0"/>
              <w:rPr>
                <w:rFonts w:cs="Arial"/>
                <w:sz w:val="16"/>
                <w:szCs w:val="16"/>
              </w:rPr>
            </w:pPr>
            <w:r w:rsidRPr="00CC015F">
              <w:rPr>
                <w:rFonts w:cs="Arial"/>
                <w:sz w:val="16"/>
                <w:szCs w:val="16"/>
              </w:rPr>
              <w:t>Capital asset charge</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3983E914" w14:textId="77777777">
            <w:pPr>
              <w:spacing w:after="0"/>
              <w:jc w:val="center"/>
              <w:rPr>
                <w:rFonts w:cs="Arial"/>
                <w:sz w:val="16"/>
                <w:szCs w:val="16"/>
              </w:rPr>
            </w:pPr>
            <w:r w:rsidRPr="00CC015F">
              <w:rPr>
                <w:rFonts w:cs="Arial"/>
                <w:sz w:val="16"/>
                <w:szCs w:val="16"/>
              </w:rPr>
              <w:t>3.4</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149179FD" w14:textId="77777777">
            <w:pPr>
              <w:spacing w:after="0"/>
              <w:jc w:val="right"/>
              <w:rPr>
                <w:rFonts w:cs="Arial"/>
                <w:sz w:val="16"/>
                <w:szCs w:val="16"/>
              </w:rPr>
            </w:pPr>
            <w:r w:rsidRPr="00CC015F">
              <w:rPr>
                <w:rFonts w:cs="Arial"/>
                <w:sz w:val="16"/>
                <w:szCs w:val="16"/>
              </w:rPr>
              <w:t xml:space="preserve">(185,884)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2C018A98" w14:textId="77777777">
            <w:pPr>
              <w:spacing w:after="0"/>
              <w:jc w:val="right"/>
              <w:rPr>
                <w:rFonts w:cs="Arial"/>
                <w:sz w:val="16"/>
                <w:szCs w:val="16"/>
              </w:rPr>
            </w:pPr>
            <w:r w:rsidRPr="00CC015F">
              <w:rPr>
                <w:rFonts w:cs="Arial"/>
                <w:sz w:val="16"/>
                <w:szCs w:val="16"/>
              </w:rPr>
              <w:t xml:space="preserve">(169,878) </w:t>
            </w:r>
          </w:p>
        </w:tc>
      </w:tr>
      <w:tr w:rsidRPr="00CC015F" w:rsidR="00CC015F" w:rsidTr="001F0679" w14:paraId="005F7C9A" w14:textId="77777777">
        <w:tc>
          <w:tcPr>
            <w:tcW w:w="283"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66658EF9"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612ADA72" w14:textId="77777777">
            <w:pPr>
              <w:spacing w:after="0"/>
              <w:rPr>
                <w:rFonts w:cs="Arial"/>
                <w:sz w:val="16"/>
                <w:szCs w:val="16"/>
              </w:rPr>
            </w:pPr>
            <w:r w:rsidRPr="00CC015F">
              <w:rPr>
                <w:rFonts w:cs="Arial"/>
                <w:sz w:val="16"/>
                <w:szCs w:val="16"/>
              </w:rPr>
              <w:t>Supplies and services</w:t>
            </w:r>
          </w:p>
        </w:tc>
        <w:tc>
          <w:tcPr>
            <w:tcW w:w="56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440B2826" w14:textId="77777777">
            <w:pPr>
              <w:spacing w:after="0"/>
              <w:jc w:val="center"/>
              <w:rPr>
                <w:rFonts w:cs="Arial"/>
                <w:sz w:val="16"/>
                <w:szCs w:val="16"/>
              </w:rPr>
            </w:pPr>
            <w:r w:rsidRPr="00CC015F">
              <w:rPr>
                <w:rFonts w:cs="Arial"/>
                <w:sz w:val="16"/>
                <w:szCs w:val="16"/>
              </w:rPr>
              <w:t>3.5</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7B100062" w14:textId="77777777">
            <w:pPr>
              <w:spacing w:after="0"/>
              <w:jc w:val="right"/>
              <w:rPr>
                <w:rFonts w:cs="Arial"/>
                <w:sz w:val="16"/>
                <w:szCs w:val="16"/>
              </w:rPr>
            </w:pPr>
            <w:r w:rsidRPr="00CC015F">
              <w:rPr>
                <w:rFonts w:cs="Arial"/>
                <w:sz w:val="16"/>
                <w:szCs w:val="16"/>
              </w:rPr>
              <w:t xml:space="preserve">(1,161,263) </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2FEBB3DA" w14:textId="77777777">
            <w:pPr>
              <w:spacing w:after="0"/>
              <w:jc w:val="right"/>
              <w:rPr>
                <w:rFonts w:cs="Arial"/>
                <w:sz w:val="16"/>
                <w:szCs w:val="16"/>
              </w:rPr>
            </w:pPr>
            <w:r w:rsidRPr="00CC015F">
              <w:rPr>
                <w:rFonts w:cs="Arial"/>
                <w:sz w:val="16"/>
                <w:szCs w:val="16"/>
              </w:rPr>
              <w:t xml:space="preserve">(1,003,109) </w:t>
            </w:r>
          </w:p>
        </w:tc>
      </w:tr>
      <w:tr w:rsidRPr="00CC015F" w:rsidR="00CC015F" w:rsidTr="001F0679" w14:paraId="4A4AC99E" w14:textId="77777777">
        <w:tc>
          <w:tcPr>
            <w:tcW w:w="6520" w:type="dxa"/>
            <w:gridSpan w:val="2"/>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6A3BE195" w14:textId="77777777">
            <w:pPr>
              <w:spacing w:after="0"/>
              <w:rPr>
                <w:rFonts w:cs="Arial"/>
                <w:b/>
                <w:sz w:val="16"/>
                <w:szCs w:val="16"/>
              </w:rPr>
            </w:pPr>
            <w:r w:rsidRPr="00CC015F">
              <w:rPr>
                <w:rFonts w:cs="Arial"/>
                <w:b/>
                <w:sz w:val="16"/>
                <w:szCs w:val="16"/>
              </w:rPr>
              <w:t>Total expenses from transactions</w:t>
            </w:r>
          </w:p>
        </w:tc>
        <w:tc>
          <w:tcPr>
            <w:tcW w:w="56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1649EF78" w14:textId="77777777">
            <w:pPr>
              <w:spacing w:after="0"/>
              <w:jc w:val="center"/>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2D748465" w14:textId="77777777">
            <w:pPr>
              <w:spacing w:after="0"/>
              <w:jc w:val="right"/>
              <w:rPr>
                <w:rFonts w:cs="Arial"/>
                <w:b/>
                <w:sz w:val="16"/>
                <w:szCs w:val="16"/>
              </w:rPr>
            </w:pPr>
            <w:r w:rsidRPr="00CC015F">
              <w:rPr>
                <w:rFonts w:cs="Arial"/>
                <w:b/>
                <w:sz w:val="16"/>
                <w:szCs w:val="16"/>
              </w:rPr>
              <w:t xml:space="preserve">(7,651,800)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015F" w:rsidR="00CC015F" w:rsidP="00CC015F" w:rsidRDefault="00CC015F" w14:paraId="6A07DA33" w14:textId="77777777">
            <w:pPr>
              <w:spacing w:after="0"/>
              <w:jc w:val="right"/>
              <w:rPr>
                <w:rFonts w:cs="Arial"/>
                <w:b/>
                <w:sz w:val="16"/>
                <w:szCs w:val="16"/>
              </w:rPr>
            </w:pPr>
            <w:r w:rsidRPr="00CC015F">
              <w:rPr>
                <w:rFonts w:cs="Arial"/>
                <w:b/>
                <w:sz w:val="16"/>
                <w:szCs w:val="16"/>
              </w:rPr>
              <w:t xml:space="preserve">(6,937,704) </w:t>
            </w:r>
          </w:p>
        </w:tc>
      </w:tr>
      <w:tr w:rsidRPr="00CC015F" w:rsidR="00CC015F" w:rsidTr="001F0679" w14:paraId="0A885781" w14:textId="77777777">
        <w:tc>
          <w:tcPr>
            <w:tcW w:w="6520" w:type="dxa"/>
            <w:gridSpan w:val="2"/>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32258C3D" w14:textId="77777777">
            <w:pPr>
              <w:spacing w:after="0"/>
              <w:rPr>
                <w:rFonts w:cs="Arial"/>
                <w:b/>
                <w:sz w:val="16"/>
                <w:szCs w:val="16"/>
              </w:rPr>
            </w:pPr>
            <w:r w:rsidRPr="00CC015F">
              <w:rPr>
                <w:rFonts w:cs="Arial"/>
                <w:b/>
                <w:sz w:val="16"/>
                <w:szCs w:val="16"/>
              </w:rPr>
              <w:t>Net result from transactions (net operating balance)</w:t>
            </w:r>
          </w:p>
        </w:tc>
        <w:tc>
          <w:tcPr>
            <w:tcW w:w="56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6581D1D4"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405BB1C5" w14:textId="77777777">
            <w:pPr>
              <w:spacing w:after="0"/>
              <w:jc w:val="right"/>
              <w:rPr>
                <w:rFonts w:cs="Arial"/>
                <w:b/>
                <w:sz w:val="16"/>
                <w:szCs w:val="16"/>
              </w:rPr>
            </w:pPr>
            <w:r w:rsidRPr="00CC015F">
              <w:rPr>
                <w:rFonts w:cs="Arial"/>
                <w:b/>
                <w:sz w:val="16"/>
                <w:szCs w:val="16"/>
              </w:rPr>
              <w:t xml:space="preserve">66,648 </w:t>
            </w: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18BFA0CB" w14:textId="77777777">
            <w:pPr>
              <w:spacing w:after="0"/>
              <w:jc w:val="right"/>
              <w:rPr>
                <w:rFonts w:cs="Arial"/>
                <w:b/>
                <w:sz w:val="16"/>
                <w:szCs w:val="16"/>
              </w:rPr>
            </w:pPr>
            <w:r w:rsidRPr="00CC015F">
              <w:rPr>
                <w:rFonts w:cs="Arial"/>
                <w:b/>
                <w:sz w:val="16"/>
                <w:szCs w:val="16"/>
              </w:rPr>
              <w:t xml:space="preserve">19,463 </w:t>
            </w:r>
          </w:p>
        </w:tc>
      </w:tr>
      <w:tr w:rsidRPr="00CC015F" w:rsidR="00CC015F" w:rsidTr="001F0679" w14:paraId="0B204A35" w14:textId="77777777">
        <w:tc>
          <w:tcPr>
            <w:tcW w:w="9921" w:type="dxa"/>
            <w:gridSpan w:val="5"/>
            <w:tcBorders>
              <w:top w:val="single" w:color="000000" w:sz="12" w:space="0"/>
              <w:left w:val="nil"/>
              <w:bottom w:val="nil"/>
              <w:right w:val="nil"/>
            </w:tcBorders>
            <w:tcMar>
              <w:top w:w="57" w:type="dxa"/>
              <w:left w:w="0" w:type="dxa"/>
              <w:bottom w:w="57" w:type="dxa"/>
              <w:right w:w="0" w:type="dxa"/>
            </w:tcMar>
          </w:tcPr>
          <w:p w:rsidRPr="00CC015F" w:rsidR="00CC015F" w:rsidP="00CC015F" w:rsidRDefault="00CC015F" w14:paraId="2B91957B" w14:textId="77777777">
            <w:pPr>
              <w:spacing w:after="0"/>
              <w:rPr>
                <w:rFonts w:cs="Arial"/>
                <w:b/>
                <w:sz w:val="16"/>
                <w:szCs w:val="16"/>
              </w:rPr>
            </w:pPr>
            <w:r w:rsidRPr="00CC015F">
              <w:rPr>
                <w:rFonts w:cs="Arial"/>
                <w:b/>
                <w:sz w:val="16"/>
                <w:szCs w:val="16"/>
              </w:rPr>
              <w:t>Other economic flows included in net result</w:t>
            </w:r>
          </w:p>
        </w:tc>
      </w:tr>
      <w:tr w:rsidRPr="00CC015F" w:rsidR="00CC015F" w:rsidTr="001F0679" w14:paraId="3DC2C60C"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70CB8168"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4A306ECA" w14:textId="77777777">
            <w:pPr>
              <w:spacing w:after="0"/>
              <w:rPr>
                <w:rFonts w:cs="Arial"/>
                <w:sz w:val="16"/>
                <w:szCs w:val="16"/>
              </w:rPr>
            </w:pPr>
            <w:r w:rsidRPr="00CC015F">
              <w:rPr>
                <w:rFonts w:cs="Arial"/>
                <w:sz w:val="16"/>
                <w:szCs w:val="16"/>
              </w:rPr>
              <w:t>Net gain/(loss) on non-financial assets (i)</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3F170689" w14:textId="77777777">
            <w:pPr>
              <w:spacing w:after="0"/>
              <w:jc w:val="center"/>
              <w:rPr>
                <w:rFonts w:cs="Arial"/>
                <w:sz w:val="16"/>
                <w:szCs w:val="16"/>
              </w:rPr>
            </w:pPr>
            <w:r w:rsidRPr="00CC015F">
              <w:rPr>
                <w:rFonts w:cs="Arial"/>
                <w:sz w:val="16"/>
                <w:szCs w:val="16"/>
              </w:rPr>
              <w:t>9.3</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716296B9" w14:textId="77777777">
            <w:pPr>
              <w:spacing w:after="0"/>
              <w:jc w:val="right"/>
              <w:rPr>
                <w:rFonts w:cs="Arial"/>
                <w:sz w:val="16"/>
                <w:szCs w:val="16"/>
              </w:rPr>
            </w:pPr>
            <w:r w:rsidRPr="00CC015F">
              <w:rPr>
                <w:rFonts w:cs="Arial"/>
                <w:sz w:val="16"/>
                <w:szCs w:val="16"/>
              </w:rPr>
              <w:t xml:space="preserve">(19,291)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6E3D390E" w14:textId="77777777">
            <w:pPr>
              <w:spacing w:after="0"/>
              <w:jc w:val="right"/>
              <w:rPr>
                <w:rFonts w:cs="Arial"/>
                <w:sz w:val="16"/>
                <w:szCs w:val="16"/>
              </w:rPr>
            </w:pPr>
            <w:r w:rsidRPr="00CC015F">
              <w:rPr>
                <w:rFonts w:cs="Arial"/>
                <w:sz w:val="16"/>
                <w:szCs w:val="16"/>
              </w:rPr>
              <w:t xml:space="preserve">1,956 </w:t>
            </w:r>
          </w:p>
        </w:tc>
      </w:tr>
      <w:tr w:rsidRPr="00CC015F" w:rsidR="00CC015F" w:rsidTr="001F0679" w14:paraId="0562FF78"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74348CDA"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1F0C86E0" w14:textId="77777777">
            <w:pPr>
              <w:spacing w:after="0"/>
              <w:rPr>
                <w:rFonts w:cs="Arial"/>
                <w:sz w:val="16"/>
                <w:szCs w:val="16"/>
              </w:rPr>
            </w:pPr>
            <w:r w:rsidRPr="00CC015F">
              <w:rPr>
                <w:rFonts w:cs="Arial"/>
                <w:sz w:val="16"/>
                <w:szCs w:val="16"/>
              </w:rPr>
              <w:t>Net gain/(loss) on financial instruments (ii)</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3E9F06A2" w14:textId="77777777">
            <w:pPr>
              <w:spacing w:after="0"/>
              <w:jc w:val="center"/>
              <w:rPr>
                <w:rFonts w:cs="Arial"/>
                <w:sz w:val="16"/>
                <w:szCs w:val="16"/>
              </w:rPr>
            </w:pPr>
            <w:r w:rsidRPr="00CC015F">
              <w:rPr>
                <w:rFonts w:cs="Arial"/>
                <w:sz w:val="16"/>
                <w:szCs w:val="16"/>
              </w:rPr>
              <w:t>9.3</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75CE44B9" w14:textId="77777777">
            <w:pPr>
              <w:spacing w:after="0"/>
              <w:jc w:val="right"/>
              <w:rPr>
                <w:rFonts w:cs="Arial"/>
                <w:sz w:val="16"/>
                <w:szCs w:val="16"/>
              </w:rPr>
            </w:pPr>
            <w:r w:rsidRPr="00CC015F">
              <w:rPr>
                <w:rFonts w:cs="Arial"/>
                <w:sz w:val="16"/>
                <w:szCs w:val="16"/>
              </w:rPr>
              <w:t xml:space="preserve">(60,811) </w:t>
            </w: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052F5F2D" w14:textId="77777777">
            <w:pPr>
              <w:spacing w:after="0"/>
              <w:jc w:val="right"/>
              <w:rPr>
                <w:rFonts w:cs="Arial"/>
                <w:sz w:val="16"/>
                <w:szCs w:val="16"/>
              </w:rPr>
            </w:pPr>
            <w:r w:rsidRPr="00CC015F">
              <w:rPr>
                <w:rFonts w:cs="Arial"/>
                <w:sz w:val="16"/>
                <w:szCs w:val="16"/>
              </w:rPr>
              <w:t xml:space="preserve">6,006 </w:t>
            </w:r>
          </w:p>
        </w:tc>
      </w:tr>
      <w:tr w:rsidRPr="00CC015F" w:rsidR="00CC015F" w:rsidTr="001F0679" w14:paraId="3489F6C9" w14:textId="77777777">
        <w:tc>
          <w:tcPr>
            <w:tcW w:w="283"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41EF41F6"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12C24A05" w14:textId="77777777">
            <w:pPr>
              <w:spacing w:after="0"/>
              <w:rPr>
                <w:rFonts w:cs="Arial"/>
                <w:sz w:val="16"/>
                <w:szCs w:val="16"/>
              </w:rPr>
            </w:pPr>
            <w:r w:rsidRPr="00CC015F">
              <w:rPr>
                <w:rFonts w:cs="Arial"/>
                <w:sz w:val="16"/>
                <w:szCs w:val="16"/>
              </w:rPr>
              <w:t>Other gains/(losses) from other economic flows</w:t>
            </w:r>
          </w:p>
        </w:tc>
        <w:tc>
          <w:tcPr>
            <w:tcW w:w="56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429E5884" w14:textId="77777777">
            <w:pPr>
              <w:spacing w:after="0"/>
              <w:jc w:val="center"/>
              <w:rPr>
                <w:rFonts w:cs="Arial"/>
                <w:sz w:val="16"/>
                <w:szCs w:val="16"/>
              </w:rPr>
            </w:pPr>
            <w:r w:rsidRPr="00CC015F">
              <w:rPr>
                <w:rFonts w:cs="Arial"/>
                <w:sz w:val="16"/>
                <w:szCs w:val="16"/>
              </w:rPr>
              <w:t>9.3</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4FB68A5B" w14:textId="77777777">
            <w:pPr>
              <w:spacing w:after="0"/>
              <w:jc w:val="right"/>
              <w:rPr>
                <w:rFonts w:cs="Arial"/>
                <w:sz w:val="16"/>
                <w:szCs w:val="16"/>
              </w:rPr>
            </w:pPr>
            <w:r w:rsidRPr="00CC015F">
              <w:rPr>
                <w:rFonts w:cs="Arial"/>
                <w:sz w:val="16"/>
                <w:szCs w:val="16"/>
              </w:rPr>
              <w:t xml:space="preserve">(12,440) </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28E6AD10" w14:textId="77777777">
            <w:pPr>
              <w:spacing w:after="0"/>
              <w:jc w:val="right"/>
              <w:rPr>
                <w:rFonts w:cs="Arial"/>
                <w:sz w:val="16"/>
                <w:szCs w:val="16"/>
              </w:rPr>
            </w:pPr>
            <w:r w:rsidRPr="00CC015F">
              <w:rPr>
                <w:rFonts w:cs="Arial"/>
                <w:sz w:val="16"/>
                <w:szCs w:val="16"/>
              </w:rPr>
              <w:t xml:space="preserve">2,399 </w:t>
            </w:r>
          </w:p>
        </w:tc>
      </w:tr>
      <w:tr w:rsidRPr="00CC015F" w:rsidR="00CC015F" w:rsidTr="001F0679" w14:paraId="3F4349E6" w14:textId="77777777">
        <w:tc>
          <w:tcPr>
            <w:tcW w:w="6520" w:type="dxa"/>
            <w:gridSpan w:val="2"/>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2BCD4ACC" w14:textId="77777777">
            <w:pPr>
              <w:spacing w:after="0"/>
              <w:rPr>
                <w:rFonts w:cs="Arial"/>
                <w:b/>
                <w:sz w:val="16"/>
                <w:szCs w:val="16"/>
              </w:rPr>
            </w:pPr>
            <w:r w:rsidRPr="00CC015F">
              <w:rPr>
                <w:rFonts w:cs="Arial"/>
                <w:b/>
                <w:sz w:val="16"/>
                <w:szCs w:val="16"/>
              </w:rPr>
              <w:t>Total other economic flows included in net result</w:t>
            </w:r>
          </w:p>
        </w:tc>
        <w:tc>
          <w:tcPr>
            <w:tcW w:w="56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7DBB3C69"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13099337" w14:textId="77777777">
            <w:pPr>
              <w:spacing w:after="0"/>
              <w:jc w:val="right"/>
              <w:rPr>
                <w:rFonts w:cs="Arial"/>
                <w:b/>
                <w:sz w:val="16"/>
                <w:szCs w:val="16"/>
              </w:rPr>
            </w:pPr>
            <w:r w:rsidRPr="00CC015F">
              <w:rPr>
                <w:rFonts w:cs="Arial"/>
                <w:b/>
                <w:sz w:val="16"/>
                <w:szCs w:val="16"/>
              </w:rPr>
              <w:t xml:space="preserve">(92,542) </w:t>
            </w: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71615D40" w14:textId="77777777">
            <w:pPr>
              <w:spacing w:after="0"/>
              <w:jc w:val="right"/>
              <w:rPr>
                <w:rFonts w:cs="Arial"/>
                <w:b/>
                <w:sz w:val="16"/>
                <w:szCs w:val="16"/>
              </w:rPr>
            </w:pPr>
            <w:r w:rsidRPr="00CC015F">
              <w:rPr>
                <w:rFonts w:cs="Arial"/>
                <w:b/>
                <w:sz w:val="16"/>
                <w:szCs w:val="16"/>
              </w:rPr>
              <w:t xml:space="preserve">10,361 </w:t>
            </w:r>
          </w:p>
        </w:tc>
      </w:tr>
      <w:tr w:rsidRPr="00CC015F" w:rsidR="00CC015F" w:rsidTr="001F0679" w14:paraId="596E744B"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1376DAE4" w14:textId="77777777">
            <w:pPr>
              <w:spacing w:after="0"/>
              <w:rPr>
                <w:rFonts w:cs="Arial"/>
                <w:b/>
                <w:sz w:val="16"/>
                <w:szCs w:val="16"/>
              </w:rPr>
            </w:pPr>
            <w:r w:rsidRPr="00CC015F">
              <w:rPr>
                <w:rFonts w:cs="Arial"/>
                <w:b/>
                <w:sz w:val="16"/>
                <w:szCs w:val="16"/>
              </w:rPr>
              <w:t>Net result</w:t>
            </w:r>
          </w:p>
        </w:tc>
        <w:tc>
          <w:tcPr>
            <w:tcW w:w="56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51B82A9A"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2147449E" w14:textId="77777777">
            <w:pPr>
              <w:spacing w:after="0"/>
              <w:jc w:val="right"/>
              <w:rPr>
                <w:rFonts w:cs="Arial"/>
                <w:b/>
                <w:sz w:val="16"/>
                <w:szCs w:val="16"/>
              </w:rPr>
            </w:pPr>
            <w:r w:rsidRPr="00CC015F">
              <w:rPr>
                <w:rFonts w:cs="Arial"/>
                <w:b/>
                <w:sz w:val="16"/>
                <w:szCs w:val="16"/>
              </w:rPr>
              <w:t xml:space="preserve">(25,894)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46201FBD" w14:textId="77777777">
            <w:pPr>
              <w:spacing w:after="0"/>
              <w:jc w:val="right"/>
              <w:rPr>
                <w:rFonts w:cs="Arial"/>
                <w:b/>
                <w:sz w:val="16"/>
                <w:szCs w:val="16"/>
              </w:rPr>
            </w:pPr>
            <w:r w:rsidRPr="00CC015F">
              <w:rPr>
                <w:rFonts w:cs="Arial"/>
                <w:b/>
                <w:sz w:val="16"/>
                <w:szCs w:val="16"/>
              </w:rPr>
              <w:t xml:space="preserve">29,824 </w:t>
            </w:r>
          </w:p>
        </w:tc>
      </w:tr>
      <w:tr w:rsidRPr="00CC015F" w:rsidR="00CC015F" w:rsidTr="001F0679" w14:paraId="57F61160" w14:textId="77777777">
        <w:tc>
          <w:tcPr>
            <w:tcW w:w="9921" w:type="dxa"/>
            <w:gridSpan w:val="5"/>
            <w:tcBorders>
              <w:top w:val="single" w:color="000000" w:sz="12" w:space="0"/>
              <w:left w:val="nil"/>
              <w:bottom w:val="nil"/>
              <w:right w:val="nil"/>
            </w:tcBorders>
            <w:tcMar>
              <w:top w:w="57" w:type="dxa"/>
              <w:left w:w="0" w:type="dxa"/>
              <w:bottom w:w="57" w:type="dxa"/>
              <w:right w:w="0" w:type="dxa"/>
            </w:tcMar>
          </w:tcPr>
          <w:p w:rsidRPr="00CC015F" w:rsidR="00CC015F" w:rsidP="00CC015F" w:rsidRDefault="00CC015F" w14:paraId="7D704AE4" w14:textId="77777777">
            <w:pPr>
              <w:spacing w:after="0"/>
              <w:rPr>
                <w:rFonts w:cs="Arial"/>
                <w:b/>
                <w:sz w:val="16"/>
                <w:szCs w:val="16"/>
              </w:rPr>
            </w:pPr>
            <w:r w:rsidRPr="00CC015F">
              <w:rPr>
                <w:rFonts w:cs="Arial"/>
                <w:b/>
                <w:sz w:val="16"/>
                <w:szCs w:val="16"/>
              </w:rPr>
              <w:t>Other economic flows - other comprehensive income</w:t>
            </w:r>
          </w:p>
        </w:tc>
      </w:tr>
      <w:tr w:rsidRPr="00CC015F" w:rsidR="00CC015F" w:rsidTr="001F0679" w14:paraId="7DB299E3" w14:textId="77777777">
        <w:tc>
          <w:tcPr>
            <w:tcW w:w="283" w:type="dxa"/>
            <w:tcBorders>
              <w:top w:val="nil"/>
              <w:left w:val="nil"/>
              <w:bottom w:val="nil"/>
              <w:right w:val="nil"/>
            </w:tcBorders>
            <w:tcMar>
              <w:top w:w="57" w:type="dxa"/>
              <w:left w:w="0" w:type="dxa"/>
              <w:bottom w:w="57" w:type="dxa"/>
              <w:right w:w="0" w:type="dxa"/>
            </w:tcMar>
          </w:tcPr>
          <w:p w:rsidRPr="00CC015F" w:rsidR="00CC015F" w:rsidP="00CC015F" w:rsidRDefault="00CC015F" w14:paraId="16057628"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tcPr>
          <w:p w:rsidRPr="00CC015F" w:rsidR="00CC015F" w:rsidP="00CC015F" w:rsidRDefault="00CC015F" w14:paraId="6A928DAF" w14:textId="77777777">
            <w:pPr>
              <w:spacing w:after="0"/>
              <w:rPr>
                <w:rFonts w:cs="Arial"/>
                <w:sz w:val="16"/>
                <w:szCs w:val="16"/>
              </w:rPr>
            </w:pPr>
            <w:r w:rsidRPr="00CC015F">
              <w:rPr>
                <w:rFonts w:cs="Arial"/>
                <w:sz w:val="16"/>
                <w:szCs w:val="16"/>
              </w:rPr>
              <w:t>Items that will not be reclassified to net result</w:t>
            </w:r>
          </w:p>
        </w:tc>
        <w:tc>
          <w:tcPr>
            <w:tcW w:w="567" w:type="dxa"/>
            <w:tcBorders>
              <w:top w:val="nil"/>
              <w:left w:val="nil"/>
              <w:bottom w:val="nil"/>
              <w:right w:val="nil"/>
            </w:tcBorders>
            <w:tcMar>
              <w:top w:w="57" w:type="dxa"/>
              <w:left w:w="0" w:type="dxa"/>
              <w:bottom w:w="57" w:type="dxa"/>
              <w:right w:w="0" w:type="dxa"/>
            </w:tcMar>
          </w:tcPr>
          <w:p w:rsidRPr="00CC015F" w:rsidR="00CC015F" w:rsidP="00CC015F" w:rsidRDefault="00CC015F" w14:paraId="13525269"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583045D5" w14:textId="77777777">
            <w:pPr>
              <w:spacing w:after="0"/>
              <w:jc w:val="right"/>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tcPr>
          <w:p w:rsidRPr="00CC015F" w:rsidR="00CC015F" w:rsidP="00CC015F" w:rsidRDefault="00CC015F" w14:paraId="4EF3E55A" w14:textId="77777777">
            <w:pPr>
              <w:spacing w:after="0"/>
              <w:jc w:val="right"/>
              <w:rPr>
                <w:rFonts w:cs="Arial"/>
                <w:sz w:val="16"/>
                <w:szCs w:val="16"/>
                <w:lang w:val="en-US"/>
              </w:rPr>
            </w:pPr>
          </w:p>
        </w:tc>
      </w:tr>
      <w:tr w:rsidRPr="00CC015F" w:rsidR="00CC015F" w:rsidTr="001F0679" w14:paraId="680B51D5" w14:textId="77777777">
        <w:tc>
          <w:tcPr>
            <w:tcW w:w="283"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47C6A4C2"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2AAB73BB" w14:textId="77777777">
            <w:pPr>
              <w:spacing w:after="0"/>
              <w:rPr>
                <w:rFonts w:cs="Arial"/>
                <w:sz w:val="16"/>
                <w:szCs w:val="16"/>
              </w:rPr>
            </w:pPr>
            <w:r w:rsidRPr="00CC015F">
              <w:rPr>
                <w:rFonts w:cs="Arial"/>
                <w:sz w:val="16"/>
                <w:szCs w:val="16"/>
              </w:rPr>
              <w:t>Changes in physical asset revaluation surplus (iii)</w:t>
            </w:r>
          </w:p>
        </w:tc>
        <w:tc>
          <w:tcPr>
            <w:tcW w:w="56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0E838AD4" w14:textId="77777777">
            <w:pPr>
              <w:spacing w:after="0"/>
              <w:jc w:val="center"/>
              <w:rPr>
                <w:rFonts w:cs="Arial"/>
                <w:sz w:val="16"/>
                <w:szCs w:val="16"/>
              </w:rPr>
            </w:pPr>
            <w:r w:rsidRPr="00CC015F">
              <w:rPr>
                <w:rFonts w:cs="Arial"/>
                <w:sz w:val="16"/>
                <w:szCs w:val="16"/>
              </w:rPr>
              <w:t>9.4</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67719BD7" w14:textId="77777777">
            <w:pPr>
              <w:spacing w:after="0"/>
              <w:jc w:val="right"/>
              <w:rPr>
                <w:rFonts w:cs="Arial"/>
                <w:sz w:val="16"/>
                <w:szCs w:val="16"/>
              </w:rPr>
            </w:pPr>
            <w:r w:rsidRPr="00CC015F">
              <w:rPr>
                <w:rFonts w:cs="Arial"/>
                <w:sz w:val="16"/>
                <w:szCs w:val="16"/>
              </w:rPr>
              <w:t xml:space="preserve">0 </w:t>
            </w:r>
          </w:p>
        </w:tc>
        <w:tc>
          <w:tcPr>
            <w:tcW w:w="1417" w:type="dxa"/>
            <w:tcBorders>
              <w:top w:val="nil"/>
              <w:left w:val="nil"/>
              <w:bottom w:val="single" w:color="000000" w:sz="6" w:space="0"/>
              <w:right w:val="nil"/>
            </w:tcBorders>
            <w:tcMar>
              <w:top w:w="57" w:type="dxa"/>
              <w:left w:w="0" w:type="dxa"/>
              <w:bottom w:w="57" w:type="dxa"/>
              <w:right w:w="0" w:type="dxa"/>
            </w:tcMar>
          </w:tcPr>
          <w:p w:rsidRPr="00CC015F" w:rsidR="00CC015F" w:rsidP="00CC015F" w:rsidRDefault="00CC015F" w14:paraId="0C74631F" w14:textId="77777777">
            <w:pPr>
              <w:spacing w:after="0"/>
              <w:jc w:val="right"/>
              <w:rPr>
                <w:rFonts w:cs="Arial"/>
                <w:sz w:val="16"/>
                <w:szCs w:val="16"/>
              </w:rPr>
            </w:pPr>
            <w:r w:rsidRPr="00CC015F">
              <w:rPr>
                <w:rFonts w:cs="Arial"/>
                <w:sz w:val="16"/>
                <w:szCs w:val="16"/>
              </w:rPr>
              <w:t xml:space="preserve">(48,984) </w:t>
            </w:r>
          </w:p>
        </w:tc>
      </w:tr>
      <w:tr w:rsidRPr="00CC015F" w:rsidR="00CC015F" w:rsidTr="001F0679" w14:paraId="1908E45C" w14:textId="77777777">
        <w:tc>
          <w:tcPr>
            <w:tcW w:w="6520" w:type="dxa"/>
            <w:gridSpan w:val="2"/>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154F53B7" w14:textId="77777777">
            <w:pPr>
              <w:spacing w:after="0"/>
              <w:rPr>
                <w:rFonts w:cs="Arial"/>
                <w:b/>
                <w:sz w:val="16"/>
                <w:szCs w:val="16"/>
              </w:rPr>
            </w:pPr>
            <w:r w:rsidRPr="00CC015F">
              <w:rPr>
                <w:rFonts w:cs="Arial"/>
                <w:b/>
                <w:sz w:val="16"/>
                <w:szCs w:val="16"/>
              </w:rPr>
              <w:t>Total other economic flows - other comprehensive income</w:t>
            </w:r>
          </w:p>
        </w:tc>
        <w:tc>
          <w:tcPr>
            <w:tcW w:w="56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1F4B4636"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25D137F9" w14:textId="77777777">
            <w:pPr>
              <w:spacing w:after="0"/>
              <w:jc w:val="right"/>
              <w:rPr>
                <w:rFonts w:cs="Arial"/>
                <w:b/>
                <w:sz w:val="16"/>
                <w:szCs w:val="16"/>
              </w:rPr>
            </w:pPr>
            <w:r w:rsidRPr="00CC015F">
              <w:rPr>
                <w:rFonts w:cs="Arial"/>
                <w:b/>
                <w:sz w:val="16"/>
                <w:szCs w:val="16"/>
              </w:rPr>
              <w:t xml:space="preserve">0 </w:t>
            </w: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CC015F" w:rsidR="00CC015F" w:rsidP="00CC015F" w:rsidRDefault="00CC015F" w14:paraId="665D0154" w14:textId="77777777">
            <w:pPr>
              <w:spacing w:after="0"/>
              <w:jc w:val="right"/>
              <w:rPr>
                <w:rFonts w:cs="Arial"/>
                <w:b/>
                <w:sz w:val="16"/>
                <w:szCs w:val="16"/>
              </w:rPr>
            </w:pPr>
            <w:r w:rsidRPr="00CC015F">
              <w:rPr>
                <w:rFonts w:cs="Arial"/>
                <w:b/>
                <w:sz w:val="16"/>
                <w:szCs w:val="16"/>
              </w:rPr>
              <w:t xml:space="preserve">(48,984) </w:t>
            </w:r>
          </w:p>
        </w:tc>
      </w:tr>
      <w:tr w:rsidRPr="00CC015F" w:rsidR="00CC015F" w:rsidTr="001F0679" w14:paraId="02CD2288"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052D6608" w14:textId="77777777">
            <w:pPr>
              <w:spacing w:after="0"/>
              <w:rPr>
                <w:rFonts w:cs="Arial"/>
                <w:b/>
                <w:sz w:val="16"/>
                <w:szCs w:val="16"/>
              </w:rPr>
            </w:pPr>
            <w:r w:rsidRPr="00CC015F">
              <w:rPr>
                <w:rFonts w:cs="Arial"/>
                <w:b/>
                <w:sz w:val="16"/>
                <w:szCs w:val="16"/>
              </w:rPr>
              <w:t>Comprehensive result</w:t>
            </w:r>
          </w:p>
        </w:tc>
        <w:tc>
          <w:tcPr>
            <w:tcW w:w="56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39AFF4C2"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2E4D84A1" w14:textId="77777777">
            <w:pPr>
              <w:spacing w:after="0"/>
              <w:jc w:val="right"/>
              <w:rPr>
                <w:rFonts w:cs="Arial"/>
                <w:b/>
                <w:sz w:val="16"/>
                <w:szCs w:val="16"/>
              </w:rPr>
            </w:pPr>
            <w:r w:rsidRPr="00CC015F">
              <w:rPr>
                <w:rFonts w:cs="Arial"/>
                <w:b/>
                <w:sz w:val="16"/>
                <w:szCs w:val="16"/>
              </w:rPr>
              <w:t xml:space="preserve">(25,894)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tcPr>
          <w:p w:rsidRPr="00CC015F" w:rsidR="00CC015F" w:rsidP="00CC015F" w:rsidRDefault="00CC015F" w14:paraId="6EE5D945" w14:textId="77777777">
            <w:pPr>
              <w:spacing w:after="0"/>
              <w:jc w:val="right"/>
              <w:rPr>
                <w:rFonts w:cs="Arial"/>
                <w:b/>
                <w:sz w:val="16"/>
                <w:szCs w:val="16"/>
              </w:rPr>
            </w:pPr>
            <w:r w:rsidRPr="00CC015F">
              <w:rPr>
                <w:rFonts w:cs="Arial"/>
                <w:b/>
                <w:sz w:val="16"/>
                <w:szCs w:val="16"/>
              </w:rPr>
              <w:t xml:space="preserve">(19,160) </w:t>
            </w:r>
          </w:p>
        </w:tc>
      </w:tr>
    </w:tbl>
    <w:p w:rsidRPr="00CC015F" w:rsidR="00CC015F" w:rsidP="00CC015F" w:rsidRDefault="00CC015F" w14:paraId="12B275A1" w14:textId="77777777">
      <w:pPr>
        <w:pStyle w:val="notes"/>
        <w:spacing w:after="0"/>
      </w:pPr>
    </w:p>
    <w:p w:rsidRPr="00CC015F" w:rsidR="00CC015F" w:rsidP="00CC015F" w:rsidRDefault="00CC015F" w14:paraId="63575A22" w14:textId="77777777">
      <w:pPr>
        <w:pStyle w:val="notes"/>
        <w:spacing w:after="0"/>
      </w:pPr>
      <w:r w:rsidRPr="00CC015F">
        <w:t>(i) Includes gains/(losses) from impairments and disposals of property, plant and equipment and intangible assets.</w:t>
      </w:r>
    </w:p>
    <w:p w:rsidRPr="00CC015F" w:rsidR="00CC015F" w:rsidP="00CC015F" w:rsidRDefault="00CC015F" w14:paraId="2929C77C" w14:textId="77777777">
      <w:pPr>
        <w:pStyle w:val="notes"/>
        <w:spacing w:after="0"/>
      </w:pPr>
      <w:r w:rsidRPr="00CC015F">
        <w:t>(ii) Includes bad and doubtful debts from other economic flows, and gains/(losses) from investments.</w:t>
      </w:r>
    </w:p>
    <w:p w:rsidRPr="00CC015F" w:rsidR="00CC015F" w:rsidP="00CC015F" w:rsidRDefault="00CC015F" w14:paraId="42D6A08F" w14:textId="77777777">
      <w:pPr>
        <w:pStyle w:val="notes"/>
        <w:spacing w:after="0"/>
      </w:pPr>
      <w:r w:rsidRPr="00CC015F">
        <w:t>(iii) The 2017-18 movement includes a realignment of prior year assets under construction and a building impairment.</w:t>
      </w:r>
    </w:p>
    <w:p w:rsidRPr="00CC015F" w:rsidR="00CC015F" w:rsidP="00CC015F" w:rsidRDefault="00CC015F" w14:paraId="3EDA76D9" w14:textId="77777777">
      <w:pPr>
        <w:pStyle w:val="notes"/>
        <w:spacing w:after="0"/>
      </w:pPr>
      <w:r w:rsidRPr="00CC015F">
        <w:t>The above comprehensive operating statement should be read in conjunction with the notes to the financial statements.</w:t>
      </w:r>
    </w:p>
    <w:p w:rsidR="00CC015F" w:rsidRDefault="00CC015F" w14:paraId="3BD8D5EA" w14:textId="45704B4F">
      <w:pPr>
        <w:spacing w:after="0"/>
        <w:rPr>
          <w:lang w:val="en-AU"/>
        </w:rPr>
      </w:pPr>
      <w:r>
        <w:rPr>
          <w:lang w:val="en-AU"/>
        </w:rPr>
        <w:br w:type="page"/>
      </w:r>
    </w:p>
    <w:p w:rsidRPr="00CC015F" w:rsidR="00CC015F" w:rsidP="00CC015F" w:rsidRDefault="00CC015F" w14:paraId="493EAE01" w14:textId="77777777">
      <w:pPr>
        <w:pStyle w:val="Heading1"/>
      </w:pPr>
      <w:bookmarkStart w:id="11" w:name="_Toc21870899"/>
      <w:r w:rsidRPr="00CC015F">
        <w:lastRenderedPageBreak/>
        <w:t>Balance sheet</w:t>
      </w:r>
      <w:bookmarkEnd w:id="11"/>
    </w:p>
    <w:p w:rsidRPr="00CC015F" w:rsidR="00CC015F" w:rsidP="00CC015F" w:rsidRDefault="00CC015F" w14:paraId="791DE7AD" w14:textId="1661C3D4">
      <w:r w:rsidRPr="00CC015F">
        <w:t>As at 30 June 2019</w:t>
      </w:r>
    </w:p>
    <w:tbl>
      <w:tblPr>
        <w:tblW w:w="0" w:type="auto"/>
        <w:tblLayout w:type="fixed"/>
        <w:tblCellMar>
          <w:left w:w="0" w:type="dxa"/>
          <w:right w:w="0" w:type="dxa"/>
        </w:tblCellMar>
        <w:tblLook w:firstRow="1" w:lastRow="0" w:firstColumn="0" w:lastColumn="0" w:noHBand="0" w:noVBand="0" w:val="0020"/>
      </w:tblPr>
      <w:tblGrid>
        <w:gridCol w:w="283"/>
        <w:gridCol w:w="6237"/>
        <w:gridCol w:w="567"/>
        <w:gridCol w:w="1417"/>
        <w:gridCol w:w="1417"/>
      </w:tblGrid>
      <w:tr w:rsidRPr="00CC015F" w:rsidR="00CC015F" w:rsidTr="001F0679" w14:paraId="49DE21D0" w14:textId="77777777">
        <w:trPr>
          <w:tblHeader/>
        </w:trPr>
        <w:tc>
          <w:tcPr>
            <w:tcW w:w="283"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B4DE3BE" w14:textId="77777777">
            <w:pPr>
              <w:spacing w:after="0"/>
              <w:rPr>
                <w:rFonts w:cs="Arial"/>
                <w:b/>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626A84B" w14:textId="77777777">
            <w:pPr>
              <w:spacing w:after="0"/>
              <w:rPr>
                <w:rFonts w:cs="Arial"/>
                <w:b/>
                <w:sz w:val="16"/>
                <w:szCs w:val="16"/>
                <w:lang w:val="en-US"/>
              </w:rPr>
            </w:pP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4132EE5" w14:textId="77777777">
            <w:pPr>
              <w:spacing w:after="0"/>
              <w:jc w:val="center"/>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EFAE55F" w14:textId="77777777">
            <w:pPr>
              <w:spacing w:after="0"/>
              <w:jc w:val="right"/>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A3E7A13" w14:textId="77777777">
            <w:pPr>
              <w:spacing w:after="0"/>
              <w:jc w:val="right"/>
              <w:rPr>
                <w:rFonts w:cs="Arial"/>
                <w:b/>
                <w:sz w:val="16"/>
                <w:szCs w:val="16"/>
              </w:rPr>
            </w:pPr>
            <w:r w:rsidRPr="00CC015F">
              <w:rPr>
                <w:rFonts w:cs="Arial"/>
                <w:b/>
                <w:sz w:val="16"/>
                <w:szCs w:val="16"/>
              </w:rPr>
              <w:t>($ thousand)</w:t>
            </w:r>
          </w:p>
        </w:tc>
      </w:tr>
      <w:tr w:rsidRPr="00CC015F" w:rsidR="00CC015F" w:rsidTr="001F0679" w14:paraId="78EB5DA2"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69C40C97" w14:textId="77777777">
            <w:pPr>
              <w:spacing w:after="0"/>
              <w:rPr>
                <w:rFonts w:cs="Arial"/>
                <w:b/>
                <w:sz w:val="16"/>
                <w:szCs w:val="16"/>
                <w:lang w:val="en-US"/>
              </w:rPr>
            </w:pPr>
          </w:p>
        </w:tc>
        <w:tc>
          <w:tcPr>
            <w:tcW w:w="623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123E981" w14:textId="77777777">
            <w:pPr>
              <w:spacing w:after="0"/>
              <w:rPr>
                <w:rFonts w:cs="Arial"/>
                <w:b/>
                <w:sz w:val="16"/>
                <w:szCs w:val="16"/>
                <w:lang w:val="en-US"/>
              </w:rPr>
            </w:pP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9C1BBDF" w14:textId="77777777">
            <w:pPr>
              <w:spacing w:after="0"/>
              <w:jc w:val="center"/>
              <w:rPr>
                <w:rFonts w:cs="Arial"/>
                <w:b/>
                <w:sz w:val="16"/>
                <w:szCs w:val="16"/>
              </w:rPr>
            </w:pPr>
            <w:r w:rsidRPr="00CC015F">
              <w:rPr>
                <w:rFonts w:cs="Arial"/>
                <w:b/>
                <w:sz w:val="16"/>
                <w:szCs w:val="16"/>
              </w:rPr>
              <w:t>Note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8515B31" w14:textId="77777777">
            <w:pPr>
              <w:spacing w:after="0"/>
              <w:jc w:val="right"/>
              <w:rPr>
                <w:rFonts w:cs="Arial"/>
                <w:b/>
                <w:sz w:val="16"/>
                <w:szCs w:val="16"/>
              </w:rPr>
            </w:pPr>
            <w:r w:rsidRPr="00CC015F">
              <w:rPr>
                <w:rFonts w:cs="Arial"/>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4241FFA" w14:textId="77777777">
            <w:pPr>
              <w:spacing w:after="0"/>
              <w:jc w:val="right"/>
              <w:rPr>
                <w:rFonts w:cs="Arial"/>
                <w:b/>
                <w:sz w:val="16"/>
                <w:szCs w:val="16"/>
              </w:rPr>
            </w:pPr>
            <w:r w:rsidRPr="00CC015F">
              <w:rPr>
                <w:rFonts w:cs="Arial"/>
                <w:b/>
                <w:sz w:val="16"/>
                <w:szCs w:val="16"/>
              </w:rPr>
              <w:t>2018</w:t>
            </w:r>
          </w:p>
        </w:tc>
      </w:tr>
      <w:tr w:rsidRPr="00CC015F" w:rsidR="00CC015F" w:rsidTr="001F0679" w14:paraId="1696067A" w14:textId="77777777">
        <w:tc>
          <w:tcPr>
            <w:tcW w:w="9921" w:type="dxa"/>
            <w:gridSpan w:val="5"/>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874094F" w14:textId="77777777">
            <w:pPr>
              <w:spacing w:after="0"/>
              <w:rPr>
                <w:rFonts w:cs="Arial"/>
                <w:b/>
                <w:sz w:val="16"/>
                <w:szCs w:val="16"/>
              </w:rPr>
            </w:pPr>
            <w:r w:rsidRPr="00CC015F">
              <w:rPr>
                <w:rFonts w:cs="Arial"/>
                <w:b/>
                <w:sz w:val="16"/>
                <w:szCs w:val="16"/>
              </w:rPr>
              <w:t>Assets</w:t>
            </w:r>
          </w:p>
        </w:tc>
      </w:tr>
      <w:tr w:rsidRPr="00CC015F" w:rsidR="00CC015F" w:rsidTr="001F0679" w14:paraId="05FB9364" w14:textId="77777777">
        <w:tc>
          <w:tcPr>
            <w:tcW w:w="9921" w:type="dxa"/>
            <w:gridSpan w:val="5"/>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148323A8" w14:textId="77777777">
            <w:pPr>
              <w:spacing w:after="0"/>
              <w:rPr>
                <w:rFonts w:cs="Arial"/>
                <w:b/>
                <w:sz w:val="16"/>
                <w:szCs w:val="16"/>
              </w:rPr>
            </w:pPr>
            <w:r w:rsidRPr="00CC015F">
              <w:rPr>
                <w:rFonts w:cs="Arial"/>
                <w:b/>
                <w:sz w:val="16"/>
                <w:szCs w:val="16"/>
              </w:rPr>
              <w:t>Financial assets</w:t>
            </w:r>
          </w:p>
        </w:tc>
      </w:tr>
      <w:tr w:rsidRPr="00CC015F" w:rsidR="00CC015F" w:rsidTr="001F0679" w14:paraId="09932B73"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F520F03"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A16BBF6" w14:textId="77777777">
            <w:pPr>
              <w:spacing w:after="0"/>
              <w:rPr>
                <w:rFonts w:cs="Arial"/>
                <w:sz w:val="16"/>
                <w:szCs w:val="16"/>
              </w:rPr>
            </w:pPr>
            <w:r w:rsidRPr="00CC015F">
              <w:rPr>
                <w:rFonts w:cs="Arial"/>
                <w:sz w:val="16"/>
                <w:szCs w:val="16"/>
              </w:rPr>
              <w:t>Cash and deposits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53585FD" w14:textId="77777777">
            <w:pPr>
              <w:spacing w:after="0"/>
              <w:jc w:val="center"/>
              <w:rPr>
                <w:rFonts w:cs="Arial"/>
                <w:sz w:val="16"/>
                <w:szCs w:val="16"/>
              </w:rPr>
            </w:pPr>
            <w:r w:rsidRPr="00CC015F">
              <w:rPr>
                <w:rFonts w:cs="Arial"/>
                <w:sz w:val="16"/>
                <w:szCs w:val="16"/>
              </w:rPr>
              <w:t>7.3</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1620889" w14:textId="77777777">
            <w:pPr>
              <w:spacing w:after="0"/>
              <w:jc w:val="right"/>
              <w:rPr>
                <w:rFonts w:cs="Arial"/>
                <w:sz w:val="16"/>
                <w:szCs w:val="16"/>
              </w:rPr>
            </w:pPr>
            <w:r w:rsidRPr="00CC015F">
              <w:rPr>
                <w:rFonts w:cs="Arial"/>
                <w:sz w:val="16"/>
                <w:szCs w:val="16"/>
              </w:rPr>
              <w:t xml:space="preserve">161,083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8EE5081" w14:textId="77777777">
            <w:pPr>
              <w:spacing w:after="0"/>
              <w:jc w:val="right"/>
              <w:rPr>
                <w:rFonts w:cs="Arial"/>
                <w:sz w:val="16"/>
                <w:szCs w:val="16"/>
              </w:rPr>
            </w:pPr>
            <w:r w:rsidRPr="00CC015F">
              <w:rPr>
                <w:rFonts w:cs="Arial"/>
                <w:sz w:val="16"/>
                <w:szCs w:val="16"/>
              </w:rPr>
              <w:t xml:space="preserve">90,767 </w:t>
            </w:r>
          </w:p>
        </w:tc>
      </w:tr>
      <w:tr w:rsidRPr="00CC015F" w:rsidR="00CC015F" w:rsidTr="001F0679" w14:paraId="31D58021"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DF6924C"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7575E4E" w14:textId="77777777">
            <w:pPr>
              <w:spacing w:after="0"/>
              <w:rPr>
                <w:rFonts w:cs="Arial"/>
                <w:sz w:val="16"/>
                <w:szCs w:val="16"/>
              </w:rPr>
            </w:pPr>
            <w:r w:rsidRPr="00CC015F">
              <w:rPr>
                <w:rFonts w:cs="Arial"/>
                <w:sz w:val="16"/>
                <w:szCs w:val="16"/>
              </w:rPr>
              <w:t>Receivables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DC99101" w14:textId="77777777">
            <w:pPr>
              <w:spacing w:after="0"/>
              <w:jc w:val="center"/>
              <w:rPr>
                <w:rFonts w:cs="Arial"/>
                <w:sz w:val="16"/>
                <w:szCs w:val="16"/>
              </w:rPr>
            </w:pPr>
            <w:r w:rsidRPr="00CC015F">
              <w:rPr>
                <w:rFonts w:cs="Arial"/>
                <w:sz w:val="16"/>
                <w:szCs w:val="16"/>
              </w:rPr>
              <w:t>6.2</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8CCB5D2" w14:textId="77777777">
            <w:pPr>
              <w:spacing w:after="0"/>
              <w:jc w:val="right"/>
              <w:rPr>
                <w:rFonts w:cs="Arial"/>
                <w:sz w:val="16"/>
                <w:szCs w:val="16"/>
              </w:rPr>
            </w:pPr>
            <w:r w:rsidRPr="00CC015F">
              <w:rPr>
                <w:rFonts w:cs="Arial"/>
                <w:sz w:val="16"/>
                <w:szCs w:val="16"/>
              </w:rPr>
              <w:t xml:space="preserve">1,120,685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06806B2" w14:textId="77777777">
            <w:pPr>
              <w:spacing w:after="0"/>
              <w:jc w:val="right"/>
              <w:rPr>
                <w:rFonts w:cs="Arial"/>
                <w:sz w:val="16"/>
                <w:szCs w:val="16"/>
              </w:rPr>
            </w:pPr>
            <w:r w:rsidRPr="00CC015F">
              <w:rPr>
                <w:rFonts w:cs="Arial"/>
                <w:sz w:val="16"/>
                <w:szCs w:val="16"/>
              </w:rPr>
              <w:t xml:space="preserve">1,061,645 </w:t>
            </w:r>
          </w:p>
        </w:tc>
      </w:tr>
      <w:tr w:rsidRPr="00CC015F" w:rsidR="00CC015F" w:rsidTr="001F0679" w14:paraId="265853BA"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66A144EF"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3DE6FF9" w14:textId="77777777">
            <w:pPr>
              <w:spacing w:after="0"/>
              <w:rPr>
                <w:rFonts w:cs="Arial"/>
                <w:sz w:val="16"/>
                <w:szCs w:val="16"/>
              </w:rPr>
            </w:pPr>
            <w:r w:rsidRPr="00CC015F">
              <w:rPr>
                <w:rFonts w:cs="Arial"/>
                <w:sz w:val="16"/>
                <w:szCs w:val="16"/>
              </w:rPr>
              <w:t>Investments and other financial assets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77A738F" w14:textId="77777777">
            <w:pPr>
              <w:spacing w:after="0"/>
              <w:jc w:val="center"/>
              <w:rPr>
                <w:rFonts w:cs="Arial"/>
                <w:sz w:val="16"/>
                <w:szCs w:val="16"/>
              </w:rPr>
            </w:pPr>
            <w:r w:rsidRPr="00CC015F">
              <w:rPr>
                <w:rFonts w:cs="Arial"/>
                <w:sz w:val="16"/>
                <w:szCs w:val="16"/>
              </w:rPr>
              <w:t>5.4</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FAFEF18" w14:textId="77777777">
            <w:pPr>
              <w:spacing w:after="0"/>
              <w:jc w:val="right"/>
              <w:rPr>
                <w:rFonts w:cs="Arial"/>
                <w:sz w:val="16"/>
                <w:szCs w:val="16"/>
              </w:rPr>
            </w:pPr>
            <w:r w:rsidRPr="00CC015F">
              <w:rPr>
                <w:rFonts w:cs="Arial"/>
                <w:sz w:val="16"/>
                <w:szCs w:val="16"/>
              </w:rPr>
              <w:t xml:space="preserve">205,629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B7443C3" w14:textId="77777777">
            <w:pPr>
              <w:spacing w:after="0"/>
              <w:jc w:val="right"/>
              <w:rPr>
                <w:rFonts w:cs="Arial"/>
                <w:sz w:val="16"/>
                <w:szCs w:val="16"/>
              </w:rPr>
            </w:pPr>
            <w:r w:rsidRPr="00CC015F">
              <w:rPr>
                <w:rFonts w:cs="Arial"/>
                <w:sz w:val="16"/>
                <w:szCs w:val="16"/>
              </w:rPr>
              <w:t xml:space="preserve">246,703 </w:t>
            </w:r>
          </w:p>
        </w:tc>
      </w:tr>
      <w:tr w:rsidRPr="00CC015F" w:rsidR="00CC015F" w:rsidTr="001F0679" w14:paraId="700AFF80" w14:textId="77777777">
        <w:tc>
          <w:tcPr>
            <w:tcW w:w="6520"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590CFC7" w14:textId="77777777">
            <w:pPr>
              <w:spacing w:after="0"/>
              <w:rPr>
                <w:rFonts w:cs="Arial"/>
                <w:b/>
                <w:sz w:val="16"/>
                <w:szCs w:val="16"/>
              </w:rPr>
            </w:pPr>
            <w:r w:rsidRPr="00CC015F">
              <w:rPr>
                <w:rFonts w:cs="Arial"/>
                <w:b/>
                <w:sz w:val="16"/>
                <w:szCs w:val="16"/>
              </w:rPr>
              <w:t>Total financial assets</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3F7FCA87" w14:textId="77777777">
            <w:pPr>
              <w:spacing w:after="0"/>
              <w:jc w:val="center"/>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4897097" w14:textId="77777777">
            <w:pPr>
              <w:spacing w:after="0"/>
              <w:jc w:val="right"/>
              <w:rPr>
                <w:rFonts w:cs="Arial"/>
                <w:b/>
                <w:sz w:val="16"/>
                <w:szCs w:val="16"/>
              </w:rPr>
            </w:pPr>
            <w:r w:rsidRPr="00CC015F">
              <w:rPr>
                <w:rFonts w:cs="Arial"/>
                <w:b/>
                <w:sz w:val="16"/>
                <w:szCs w:val="16"/>
              </w:rPr>
              <w:t xml:space="preserve">1,487,397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7B118A3" w14:textId="77777777">
            <w:pPr>
              <w:spacing w:after="0"/>
              <w:jc w:val="right"/>
              <w:rPr>
                <w:rFonts w:cs="Arial"/>
                <w:b/>
                <w:sz w:val="16"/>
                <w:szCs w:val="16"/>
              </w:rPr>
            </w:pPr>
            <w:r w:rsidRPr="00CC015F">
              <w:rPr>
                <w:rFonts w:cs="Arial"/>
                <w:b/>
                <w:sz w:val="16"/>
                <w:szCs w:val="16"/>
              </w:rPr>
              <w:t xml:space="preserve">1,399,115 </w:t>
            </w:r>
          </w:p>
        </w:tc>
      </w:tr>
      <w:tr w:rsidRPr="00CC015F" w:rsidR="00CC015F" w:rsidTr="001F0679" w14:paraId="13DCA037" w14:textId="77777777">
        <w:tc>
          <w:tcPr>
            <w:tcW w:w="9921" w:type="dxa"/>
            <w:gridSpan w:val="5"/>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70F8CCFB" w14:textId="77777777">
            <w:pPr>
              <w:spacing w:after="0"/>
              <w:rPr>
                <w:rFonts w:cs="Arial"/>
                <w:b/>
                <w:sz w:val="16"/>
                <w:szCs w:val="16"/>
              </w:rPr>
            </w:pPr>
            <w:r w:rsidRPr="00CC015F">
              <w:rPr>
                <w:rFonts w:cs="Arial"/>
                <w:b/>
                <w:sz w:val="16"/>
                <w:szCs w:val="16"/>
              </w:rPr>
              <w:t>Non-financial assets</w:t>
            </w:r>
          </w:p>
        </w:tc>
      </w:tr>
      <w:tr w:rsidRPr="00CC015F" w:rsidR="00CC015F" w:rsidTr="001F0679" w14:paraId="649AA1EC"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1FB082B"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6751736" w14:textId="77777777">
            <w:pPr>
              <w:spacing w:after="0"/>
              <w:rPr>
                <w:rFonts w:cs="Arial"/>
                <w:sz w:val="16"/>
                <w:szCs w:val="16"/>
              </w:rPr>
            </w:pPr>
            <w:r w:rsidRPr="00CC015F">
              <w:rPr>
                <w:rFonts w:cs="Arial"/>
                <w:sz w:val="16"/>
                <w:szCs w:val="16"/>
              </w:rPr>
              <w:t>Prepayments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508584C"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C3021BF" w14:textId="77777777">
            <w:pPr>
              <w:spacing w:after="0"/>
              <w:jc w:val="right"/>
              <w:rPr>
                <w:rFonts w:cs="Arial"/>
                <w:sz w:val="16"/>
                <w:szCs w:val="16"/>
              </w:rPr>
            </w:pPr>
            <w:r w:rsidRPr="00CC015F">
              <w:rPr>
                <w:rFonts w:cs="Arial"/>
                <w:sz w:val="16"/>
                <w:szCs w:val="16"/>
              </w:rPr>
              <w:t xml:space="preserve">27,284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D8B5075" w14:textId="77777777">
            <w:pPr>
              <w:spacing w:after="0"/>
              <w:jc w:val="right"/>
              <w:rPr>
                <w:rFonts w:cs="Arial"/>
                <w:sz w:val="16"/>
                <w:szCs w:val="16"/>
              </w:rPr>
            </w:pPr>
            <w:r w:rsidRPr="00CC015F">
              <w:rPr>
                <w:rFonts w:cs="Arial"/>
                <w:sz w:val="16"/>
                <w:szCs w:val="16"/>
              </w:rPr>
              <w:t xml:space="preserve">13,821 </w:t>
            </w:r>
          </w:p>
        </w:tc>
      </w:tr>
      <w:tr w:rsidRPr="00CC015F" w:rsidR="00CC015F" w:rsidTr="001F0679" w14:paraId="60CCDABB"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B42B9AC"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9D9B447" w14:textId="77777777">
            <w:pPr>
              <w:spacing w:after="0"/>
              <w:rPr>
                <w:rFonts w:cs="Arial"/>
                <w:sz w:val="16"/>
                <w:szCs w:val="16"/>
              </w:rPr>
            </w:pPr>
            <w:r w:rsidRPr="00CC015F">
              <w:rPr>
                <w:rFonts w:cs="Arial"/>
                <w:sz w:val="16"/>
                <w:szCs w:val="16"/>
              </w:rPr>
              <w:t>Inventories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FE5FBDB"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4FBE843" w14:textId="77777777">
            <w:pPr>
              <w:spacing w:after="0"/>
              <w:jc w:val="right"/>
              <w:rPr>
                <w:rFonts w:cs="Arial"/>
                <w:sz w:val="16"/>
                <w:szCs w:val="16"/>
              </w:rPr>
            </w:pPr>
            <w:r w:rsidRPr="00CC015F">
              <w:rPr>
                <w:rFonts w:cs="Arial"/>
                <w:sz w:val="16"/>
                <w:szCs w:val="16"/>
              </w:rPr>
              <w:t xml:space="preserve">9,341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F0A14CE" w14:textId="77777777">
            <w:pPr>
              <w:spacing w:after="0"/>
              <w:jc w:val="right"/>
              <w:rPr>
                <w:rFonts w:cs="Arial"/>
                <w:sz w:val="16"/>
                <w:szCs w:val="16"/>
              </w:rPr>
            </w:pPr>
            <w:r w:rsidRPr="00CC015F">
              <w:rPr>
                <w:rFonts w:cs="Arial"/>
                <w:sz w:val="16"/>
                <w:szCs w:val="16"/>
              </w:rPr>
              <w:t xml:space="preserve">10,393 </w:t>
            </w:r>
          </w:p>
        </w:tc>
      </w:tr>
      <w:tr w:rsidRPr="00CC015F" w:rsidR="00CC015F" w:rsidTr="001F0679" w14:paraId="7193A90F"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DF0251B"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0CC493C" w14:textId="77777777">
            <w:pPr>
              <w:spacing w:after="0"/>
              <w:rPr>
                <w:rFonts w:cs="Arial"/>
                <w:sz w:val="16"/>
                <w:szCs w:val="16"/>
              </w:rPr>
            </w:pPr>
            <w:r w:rsidRPr="00CC015F">
              <w:rPr>
                <w:rFonts w:cs="Arial"/>
                <w:sz w:val="16"/>
                <w:szCs w:val="16"/>
              </w:rPr>
              <w:t>Non-financial assets classified as held for sale</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8226720"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ADB18DC" w14:textId="77777777">
            <w:pPr>
              <w:spacing w:after="0"/>
              <w:jc w:val="right"/>
              <w:rPr>
                <w:rFonts w:cs="Arial"/>
                <w:sz w:val="16"/>
                <w:szCs w:val="16"/>
              </w:rPr>
            </w:pPr>
            <w:r w:rsidRPr="00CC015F">
              <w:rPr>
                <w:rFonts w:cs="Arial"/>
                <w:sz w:val="16"/>
                <w:szCs w:val="16"/>
              </w:rPr>
              <w:t xml:space="preserve">519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255686C" w14:textId="77777777">
            <w:pPr>
              <w:spacing w:after="0"/>
              <w:jc w:val="right"/>
              <w:rPr>
                <w:rFonts w:cs="Arial"/>
                <w:sz w:val="16"/>
                <w:szCs w:val="16"/>
              </w:rPr>
            </w:pPr>
            <w:r w:rsidRPr="00CC015F">
              <w:rPr>
                <w:rFonts w:cs="Arial"/>
                <w:sz w:val="16"/>
                <w:szCs w:val="16"/>
              </w:rPr>
              <w:t xml:space="preserve">377 </w:t>
            </w:r>
          </w:p>
        </w:tc>
      </w:tr>
      <w:tr w:rsidRPr="00CC015F" w:rsidR="00CC015F" w:rsidTr="001F0679" w14:paraId="3F44E48D"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8C99CA2"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98ADA2D" w14:textId="77777777">
            <w:pPr>
              <w:spacing w:after="0"/>
              <w:rPr>
                <w:rFonts w:cs="Arial"/>
                <w:sz w:val="16"/>
                <w:szCs w:val="16"/>
              </w:rPr>
            </w:pPr>
            <w:r w:rsidRPr="00CC015F">
              <w:rPr>
                <w:rFonts w:cs="Arial"/>
                <w:sz w:val="16"/>
                <w:szCs w:val="16"/>
              </w:rPr>
              <w:t>Property, plant and equipment</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EE0DCB1" w14:textId="77777777">
            <w:pPr>
              <w:spacing w:after="0"/>
              <w:jc w:val="center"/>
              <w:rPr>
                <w:rFonts w:cs="Arial"/>
                <w:sz w:val="16"/>
                <w:szCs w:val="16"/>
              </w:rPr>
            </w:pPr>
            <w:r w:rsidRPr="00CC015F">
              <w:rPr>
                <w:rFonts w:cs="Arial"/>
                <w:sz w:val="16"/>
                <w:szCs w:val="16"/>
              </w:rPr>
              <w:t>5.2</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37F6550" w14:textId="77777777">
            <w:pPr>
              <w:spacing w:after="0"/>
              <w:jc w:val="right"/>
              <w:rPr>
                <w:rFonts w:cs="Arial"/>
                <w:sz w:val="16"/>
                <w:szCs w:val="16"/>
              </w:rPr>
            </w:pPr>
            <w:r w:rsidRPr="00CC015F">
              <w:rPr>
                <w:rFonts w:cs="Arial"/>
                <w:sz w:val="16"/>
                <w:szCs w:val="16"/>
              </w:rPr>
              <w:t xml:space="preserve">3,546,552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95EA74B" w14:textId="77777777">
            <w:pPr>
              <w:spacing w:after="0"/>
              <w:jc w:val="right"/>
              <w:rPr>
                <w:rFonts w:cs="Arial"/>
                <w:sz w:val="16"/>
                <w:szCs w:val="16"/>
              </w:rPr>
            </w:pPr>
            <w:r w:rsidRPr="00CC015F">
              <w:rPr>
                <w:rFonts w:cs="Arial"/>
                <w:sz w:val="16"/>
                <w:szCs w:val="16"/>
              </w:rPr>
              <w:t xml:space="preserve">3,315,225 </w:t>
            </w:r>
          </w:p>
        </w:tc>
      </w:tr>
      <w:tr w:rsidRPr="00CC015F" w:rsidR="00CC015F" w:rsidTr="001F0679" w14:paraId="0659665B"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100DC40"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90E53BA" w14:textId="77777777">
            <w:pPr>
              <w:spacing w:after="0"/>
              <w:rPr>
                <w:rFonts w:cs="Arial"/>
                <w:sz w:val="16"/>
                <w:szCs w:val="16"/>
              </w:rPr>
            </w:pPr>
            <w:r w:rsidRPr="00CC015F">
              <w:rPr>
                <w:rFonts w:cs="Arial"/>
                <w:sz w:val="16"/>
                <w:szCs w:val="16"/>
              </w:rPr>
              <w:t>Intangible assets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5AEBD32" w14:textId="77777777">
            <w:pPr>
              <w:spacing w:after="0"/>
              <w:jc w:val="center"/>
              <w:rPr>
                <w:rFonts w:cs="Arial"/>
                <w:sz w:val="16"/>
                <w:szCs w:val="16"/>
              </w:rPr>
            </w:pPr>
            <w:r w:rsidRPr="00CC015F">
              <w:rPr>
                <w:rFonts w:cs="Arial"/>
                <w:sz w:val="16"/>
                <w:szCs w:val="16"/>
              </w:rPr>
              <w:t>5.3</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3B9CEA9A" w14:textId="77777777">
            <w:pPr>
              <w:spacing w:after="0"/>
              <w:jc w:val="right"/>
              <w:rPr>
                <w:rFonts w:cs="Arial"/>
                <w:sz w:val="16"/>
                <w:szCs w:val="16"/>
              </w:rPr>
            </w:pPr>
            <w:r w:rsidRPr="00CC015F">
              <w:rPr>
                <w:rFonts w:cs="Arial"/>
                <w:sz w:val="16"/>
                <w:szCs w:val="16"/>
              </w:rPr>
              <w:t xml:space="preserve">57,417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DE0DBB5" w14:textId="77777777">
            <w:pPr>
              <w:spacing w:after="0"/>
              <w:jc w:val="right"/>
              <w:rPr>
                <w:rFonts w:cs="Arial"/>
                <w:sz w:val="16"/>
                <w:szCs w:val="16"/>
              </w:rPr>
            </w:pPr>
            <w:r w:rsidRPr="00CC015F">
              <w:rPr>
                <w:rFonts w:cs="Arial"/>
                <w:sz w:val="16"/>
                <w:szCs w:val="16"/>
              </w:rPr>
              <w:t xml:space="preserve">70,499 </w:t>
            </w:r>
          </w:p>
        </w:tc>
      </w:tr>
      <w:tr w:rsidRPr="00CC015F" w:rsidR="00CC015F" w:rsidTr="001F0679" w14:paraId="2F54795A" w14:textId="77777777">
        <w:tc>
          <w:tcPr>
            <w:tcW w:w="6520"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EB85BFE" w14:textId="77777777">
            <w:pPr>
              <w:spacing w:after="0"/>
              <w:rPr>
                <w:rFonts w:cs="Arial"/>
                <w:b/>
                <w:sz w:val="16"/>
                <w:szCs w:val="16"/>
              </w:rPr>
            </w:pPr>
            <w:r w:rsidRPr="00CC015F">
              <w:rPr>
                <w:rFonts w:cs="Arial"/>
                <w:b/>
                <w:sz w:val="16"/>
                <w:szCs w:val="16"/>
              </w:rPr>
              <w:t>Total non-financial assets</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1ADFC2F" w14:textId="77777777">
            <w:pPr>
              <w:spacing w:after="0"/>
              <w:jc w:val="center"/>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3AB079E8" w14:textId="77777777">
            <w:pPr>
              <w:spacing w:after="0"/>
              <w:jc w:val="right"/>
              <w:rPr>
                <w:rFonts w:cs="Arial"/>
                <w:b/>
                <w:sz w:val="16"/>
                <w:szCs w:val="16"/>
              </w:rPr>
            </w:pPr>
            <w:r w:rsidRPr="00CC015F">
              <w:rPr>
                <w:rFonts w:cs="Arial"/>
                <w:b/>
                <w:sz w:val="16"/>
                <w:szCs w:val="16"/>
              </w:rPr>
              <w:t xml:space="preserve">3,641,113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F41833D" w14:textId="77777777">
            <w:pPr>
              <w:spacing w:after="0"/>
              <w:jc w:val="right"/>
              <w:rPr>
                <w:rFonts w:cs="Arial"/>
                <w:b/>
                <w:sz w:val="16"/>
                <w:szCs w:val="16"/>
              </w:rPr>
            </w:pPr>
            <w:r w:rsidRPr="00CC015F">
              <w:rPr>
                <w:rFonts w:cs="Arial"/>
                <w:b/>
                <w:sz w:val="16"/>
                <w:szCs w:val="16"/>
              </w:rPr>
              <w:t xml:space="preserve">3,410,315 </w:t>
            </w:r>
          </w:p>
        </w:tc>
      </w:tr>
      <w:tr w:rsidRPr="00CC015F" w:rsidR="00CC015F" w:rsidTr="001F0679" w14:paraId="36AF7587" w14:textId="77777777">
        <w:tc>
          <w:tcPr>
            <w:tcW w:w="6520" w:type="dxa"/>
            <w:gridSpan w:val="2"/>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56C04264" w14:textId="77777777">
            <w:pPr>
              <w:spacing w:after="0"/>
              <w:rPr>
                <w:rFonts w:cs="Arial"/>
                <w:b/>
                <w:sz w:val="16"/>
                <w:szCs w:val="16"/>
              </w:rPr>
            </w:pPr>
            <w:r w:rsidRPr="00CC015F">
              <w:rPr>
                <w:rFonts w:cs="Arial"/>
                <w:b/>
                <w:sz w:val="16"/>
                <w:szCs w:val="16"/>
              </w:rPr>
              <w:t>Total assets</w:t>
            </w:r>
          </w:p>
        </w:tc>
        <w:tc>
          <w:tcPr>
            <w:tcW w:w="56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8BFE839"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53C89C7" w14:textId="77777777">
            <w:pPr>
              <w:spacing w:after="0"/>
              <w:jc w:val="right"/>
              <w:rPr>
                <w:rFonts w:cs="Arial"/>
                <w:b/>
                <w:sz w:val="16"/>
                <w:szCs w:val="16"/>
              </w:rPr>
            </w:pPr>
            <w:r w:rsidRPr="00CC015F">
              <w:rPr>
                <w:rFonts w:cs="Arial"/>
                <w:b/>
                <w:sz w:val="16"/>
                <w:szCs w:val="16"/>
              </w:rPr>
              <w:t xml:space="preserve">5,128,510 </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5E7E8489" w14:textId="77777777">
            <w:pPr>
              <w:spacing w:after="0"/>
              <w:jc w:val="right"/>
              <w:rPr>
                <w:rFonts w:cs="Arial"/>
                <w:b/>
                <w:sz w:val="16"/>
                <w:szCs w:val="16"/>
              </w:rPr>
            </w:pPr>
            <w:r w:rsidRPr="00CC015F">
              <w:rPr>
                <w:rFonts w:cs="Arial"/>
                <w:b/>
                <w:sz w:val="16"/>
                <w:szCs w:val="16"/>
              </w:rPr>
              <w:t xml:space="preserve">4,809,430 </w:t>
            </w:r>
          </w:p>
        </w:tc>
      </w:tr>
      <w:tr w:rsidRPr="00CC015F" w:rsidR="00CC015F" w:rsidTr="001F0679" w14:paraId="244325C8" w14:textId="77777777">
        <w:tc>
          <w:tcPr>
            <w:tcW w:w="9921" w:type="dxa"/>
            <w:gridSpan w:val="5"/>
            <w:tcBorders>
              <w:top w:val="single" w:color="000000" w:sz="12" w:space="0"/>
              <w:left w:val="nil"/>
              <w:bottom w:val="nil"/>
              <w:right w:val="nil"/>
            </w:tcBorders>
            <w:tcMar>
              <w:top w:w="57" w:type="dxa"/>
              <w:left w:w="0" w:type="dxa"/>
              <w:bottom w:w="57" w:type="dxa"/>
              <w:right w:w="0" w:type="dxa"/>
            </w:tcMar>
            <w:vAlign w:val="bottom"/>
          </w:tcPr>
          <w:p w:rsidRPr="00CC015F" w:rsidR="00CC015F" w:rsidP="00CC015F" w:rsidRDefault="00CC015F" w14:paraId="043C9C41" w14:textId="77777777">
            <w:pPr>
              <w:spacing w:after="0"/>
              <w:rPr>
                <w:rFonts w:cs="Arial"/>
                <w:b/>
                <w:sz w:val="16"/>
                <w:szCs w:val="16"/>
              </w:rPr>
            </w:pPr>
            <w:r w:rsidRPr="00CC015F">
              <w:rPr>
                <w:rFonts w:cs="Arial"/>
                <w:b/>
                <w:sz w:val="16"/>
                <w:szCs w:val="16"/>
              </w:rPr>
              <w:t>Liabilities</w:t>
            </w:r>
          </w:p>
        </w:tc>
      </w:tr>
      <w:tr w:rsidRPr="00CC015F" w:rsidR="00CC015F" w:rsidTr="001F0679" w14:paraId="745DA168"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F0D3E07"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A115A3F" w14:textId="77777777">
            <w:pPr>
              <w:spacing w:after="0"/>
              <w:rPr>
                <w:rFonts w:cs="Arial"/>
                <w:sz w:val="16"/>
                <w:szCs w:val="16"/>
              </w:rPr>
            </w:pPr>
            <w:r w:rsidRPr="00CC015F">
              <w:rPr>
                <w:rFonts w:cs="Arial"/>
                <w:sz w:val="16"/>
                <w:szCs w:val="16"/>
              </w:rPr>
              <w:t>Payables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6C01C93" w14:textId="77777777">
            <w:pPr>
              <w:spacing w:after="0"/>
              <w:jc w:val="center"/>
              <w:rPr>
                <w:rFonts w:cs="Arial"/>
                <w:sz w:val="16"/>
                <w:szCs w:val="16"/>
              </w:rPr>
            </w:pPr>
            <w:r w:rsidRPr="00CC015F">
              <w:rPr>
                <w:rFonts w:cs="Arial"/>
                <w:sz w:val="16"/>
                <w:szCs w:val="16"/>
              </w:rPr>
              <w:t>6.3</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314E648" w14:textId="77777777">
            <w:pPr>
              <w:spacing w:after="0"/>
              <w:jc w:val="right"/>
              <w:rPr>
                <w:rFonts w:cs="Arial"/>
                <w:sz w:val="16"/>
                <w:szCs w:val="16"/>
              </w:rPr>
            </w:pPr>
            <w:r w:rsidRPr="00CC015F">
              <w:rPr>
                <w:rFonts w:cs="Arial"/>
                <w:sz w:val="16"/>
                <w:szCs w:val="16"/>
              </w:rPr>
              <w:t xml:space="preserve">876,391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3D31872" w14:textId="77777777">
            <w:pPr>
              <w:spacing w:after="0"/>
              <w:jc w:val="right"/>
              <w:rPr>
                <w:rFonts w:cs="Arial"/>
                <w:sz w:val="16"/>
                <w:szCs w:val="16"/>
              </w:rPr>
            </w:pPr>
            <w:r w:rsidRPr="00CC015F">
              <w:rPr>
                <w:rFonts w:cs="Arial"/>
                <w:sz w:val="16"/>
                <w:szCs w:val="16"/>
              </w:rPr>
              <w:t xml:space="preserve">865,066 </w:t>
            </w:r>
          </w:p>
        </w:tc>
      </w:tr>
      <w:tr w:rsidRPr="00CC015F" w:rsidR="00CC015F" w:rsidTr="001F0679" w14:paraId="514FA18B"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706045F"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CE29870" w14:textId="77777777">
            <w:pPr>
              <w:spacing w:after="0"/>
              <w:rPr>
                <w:rFonts w:cs="Arial"/>
                <w:sz w:val="16"/>
                <w:szCs w:val="16"/>
              </w:rPr>
            </w:pPr>
            <w:r w:rsidRPr="00CC015F">
              <w:rPr>
                <w:rFonts w:cs="Arial"/>
                <w:sz w:val="16"/>
                <w:szCs w:val="16"/>
              </w:rPr>
              <w:t>Borrowings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BFED80E" w14:textId="77777777">
            <w:pPr>
              <w:spacing w:after="0"/>
              <w:jc w:val="center"/>
              <w:rPr>
                <w:rFonts w:cs="Arial"/>
                <w:sz w:val="16"/>
                <w:szCs w:val="16"/>
              </w:rPr>
            </w:pPr>
            <w:r w:rsidRPr="00CC015F">
              <w:rPr>
                <w:rFonts w:cs="Arial"/>
                <w:sz w:val="16"/>
                <w:szCs w:val="16"/>
              </w:rPr>
              <w:t>7.2</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AB362FB" w14:textId="77777777">
            <w:pPr>
              <w:spacing w:after="0"/>
              <w:jc w:val="right"/>
              <w:rPr>
                <w:rFonts w:cs="Arial"/>
                <w:sz w:val="16"/>
                <w:szCs w:val="16"/>
              </w:rPr>
            </w:pPr>
            <w:r w:rsidRPr="00CC015F">
              <w:rPr>
                <w:rFonts w:cs="Arial"/>
                <w:sz w:val="16"/>
                <w:szCs w:val="16"/>
              </w:rPr>
              <w:t xml:space="preserve">696,207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EE92579" w14:textId="77777777">
            <w:pPr>
              <w:spacing w:after="0"/>
              <w:jc w:val="right"/>
              <w:rPr>
                <w:rFonts w:cs="Arial"/>
                <w:sz w:val="16"/>
                <w:szCs w:val="16"/>
              </w:rPr>
            </w:pPr>
            <w:r w:rsidRPr="00CC015F">
              <w:rPr>
                <w:rFonts w:cs="Arial"/>
                <w:sz w:val="16"/>
                <w:szCs w:val="16"/>
              </w:rPr>
              <w:t xml:space="preserve">651,888 </w:t>
            </w:r>
          </w:p>
        </w:tc>
      </w:tr>
      <w:tr w:rsidRPr="00CC015F" w:rsidR="00CC015F" w:rsidTr="001F0679" w14:paraId="0305B839"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6F544CF"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A5DA7F2" w14:textId="77777777">
            <w:pPr>
              <w:spacing w:after="0"/>
              <w:rPr>
                <w:rFonts w:cs="Arial"/>
                <w:sz w:val="16"/>
                <w:szCs w:val="16"/>
              </w:rPr>
            </w:pPr>
            <w:r w:rsidRPr="00CC015F">
              <w:rPr>
                <w:rFonts w:cs="Arial"/>
                <w:sz w:val="16"/>
                <w:szCs w:val="16"/>
              </w:rPr>
              <w:t>Employee benefit provisions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600B460" w14:textId="77777777">
            <w:pPr>
              <w:spacing w:after="0"/>
              <w:jc w:val="center"/>
              <w:rPr>
                <w:rFonts w:cs="Arial"/>
                <w:sz w:val="16"/>
                <w:szCs w:val="16"/>
              </w:rPr>
            </w:pPr>
            <w:r w:rsidRPr="00CC015F">
              <w:rPr>
                <w:rFonts w:cs="Arial"/>
                <w:sz w:val="16"/>
                <w:szCs w:val="16"/>
              </w:rPr>
              <w:t>3.2.2</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41488F6" w14:textId="77777777">
            <w:pPr>
              <w:spacing w:after="0"/>
              <w:jc w:val="right"/>
              <w:rPr>
                <w:rFonts w:cs="Arial"/>
                <w:sz w:val="16"/>
                <w:szCs w:val="16"/>
              </w:rPr>
            </w:pPr>
            <w:r w:rsidRPr="00CC015F">
              <w:rPr>
                <w:rFonts w:cs="Arial"/>
                <w:sz w:val="16"/>
                <w:szCs w:val="16"/>
              </w:rPr>
              <w:t xml:space="preserve">270,315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2D72726" w14:textId="77777777">
            <w:pPr>
              <w:spacing w:after="0"/>
              <w:jc w:val="right"/>
              <w:rPr>
                <w:rFonts w:cs="Arial"/>
                <w:sz w:val="16"/>
                <w:szCs w:val="16"/>
              </w:rPr>
            </w:pPr>
            <w:r w:rsidRPr="00CC015F">
              <w:rPr>
                <w:rFonts w:cs="Arial"/>
                <w:sz w:val="16"/>
                <w:szCs w:val="16"/>
              </w:rPr>
              <w:t xml:space="preserve">228,763 </w:t>
            </w:r>
          </w:p>
        </w:tc>
      </w:tr>
      <w:tr w:rsidRPr="00CC015F" w:rsidR="00CC015F" w:rsidTr="001F0679" w14:paraId="08B8DFDB"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D7906E7"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70A7521" w14:textId="77777777">
            <w:pPr>
              <w:spacing w:after="0"/>
              <w:rPr>
                <w:rFonts w:cs="Arial"/>
                <w:sz w:val="16"/>
                <w:szCs w:val="16"/>
              </w:rPr>
            </w:pPr>
            <w:r w:rsidRPr="00CC015F">
              <w:rPr>
                <w:rFonts w:cs="Arial"/>
                <w:sz w:val="16"/>
                <w:szCs w:val="16"/>
              </w:rPr>
              <w:t>Other provisions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673C6015" w14:textId="77777777">
            <w:pPr>
              <w:spacing w:after="0"/>
              <w:jc w:val="center"/>
              <w:rPr>
                <w:rFonts w:cs="Arial"/>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23EF174" w14:textId="77777777">
            <w:pPr>
              <w:spacing w:after="0"/>
              <w:jc w:val="right"/>
              <w:rPr>
                <w:rFonts w:cs="Arial"/>
                <w:sz w:val="16"/>
                <w:szCs w:val="16"/>
              </w:rPr>
            </w:pPr>
            <w:r w:rsidRPr="00CC015F">
              <w:rPr>
                <w:rFonts w:cs="Arial"/>
                <w:sz w:val="16"/>
                <w:szCs w:val="16"/>
              </w:rPr>
              <w:t xml:space="preserve">10,911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3C1B13B" w14:textId="77777777">
            <w:pPr>
              <w:spacing w:after="0"/>
              <w:jc w:val="right"/>
              <w:rPr>
                <w:rFonts w:cs="Arial"/>
                <w:sz w:val="16"/>
                <w:szCs w:val="16"/>
              </w:rPr>
            </w:pPr>
            <w:r w:rsidRPr="00CC015F">
              <w:rPr>
                <w:rFonts w:cs="Arial"/>
                <w:sz w:val="16"/>
                <w:szCs w:val="16"/>
              </w:rPr>
              <w:t xml:space="preserve">8,213 </w:t>
            </w:r>
          </w:p>
        </w:tc>
      </w:tr>
      <w:tr w:rsidRPr="00CC015F" w:rsidR="00CC015F" w:rsidTr="001F0679" w14:paraId="12C6678A" w14:textId="77777777">
        <w:tc>
          <w:tcPr>
            <w:tcW w:w="6520" w:type="dxa"/>
            <w:gridSpan w:val="2"/>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770899C" w14:textId="77777777">
            <w:pPr>
              <w:spacing w:after="0"/>
              <w:rPr>
                <w:rFonts w:cs="Arial"/>
                <w:b/>
                <w:sz w:val="16"/>
                <w:szCs w:val="16"/>
              </w:rPr>
            </w:pPr>
            <w:r w:rsidRPr="00CC015F">
              <w:rPr>
                <w:rFonts w:cs="Arial"/>
                <w:b/>
                <w:sz w:val="16"/>
                <w:szCs w:val="16"/>
              </w:rPr>
              <w:t>Total liabilities</w:t>
            </w:r>
          </w:p>
        </w:tc>
        <w:tc>
          <w:tcPr>
            <w:tcW w:w="56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35BF039"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91BB0A5" w14:textId="77777777">
            <w:pPr>
              <w:spacing w:after="0"/>
              <w:jc w:val="right"/>
              <w:rPr>
                <w:rFonts w:cs="Arial"/>
                <w:b/>
                <w:sz w:val="16"/>
                <w:szCs w:val="16"/>
              </w:rPr>
            </w:pPr>
            <w:r w:rsidRPr="00CC015F">
              <w:rPr>
                <w:rFonts w:cs="Arial"/>
                <w:b/>
                <w:sz w:val="16"/>
                <w:szCs w:val="16"/>
              </w:rPr>
              <w:t xml:space="preserve">1,853,824 </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6548030" w14:textId="77777777">
            <w:pPr>
              <w:spacing w:after="0"/>
              <w:jc w:val="right"/>
              <w:rPr>
                <w:rFonts w:cs="Arial"/>
                <w:b/>
                <w:sz w:val="16"/>
                <w:szCs w:val="16"/>
              </w:rPr>
            </w:pPr>
            <w:r w:rsidRPr="00CC015F">
              <w:rPr>
                <w:rFonts w:cs="Arial"/>
                <w:b/>
                <w:sz w:val="16"/>
                <w:szCs w:val="16"/>
              </w:rPr>
              <w:t xml:space="preserve">1,753,930 </w:t>
            </w:r>
          </w:p>
        </w:tc>
      </w:tr>
      <w:tr w:rsidRPr="00CC015F" w:rsidR="00CC015F" w:rsidTr="001F0679" w14:paraId="582D3F3B"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07ED227" w14:textId="77777777">
            <w:pPr>
              <w:spacing w:after="0"/>
              <w:rPr>
                <w:rFonts w:cs="Arial"/>
                <w:b/>
                <w:sz w:val="16"/>
                <w:szCs w:val="16"/>
              </w:rPr>
            </w:pPr>
            <w:r w:rsidRPr="00CC015F">
              <w:rPr>
                <w:rFonts w:cs="Arial"/>
                <w:b/>
                <w:sz w:val="16"/>
                <w:szCs w:val="16"/>
              </w:rPr>
              <w:t>Net assets</w:t>
            </w:r>
          </w:p>
        </w:tc>
        <w:tc>
          <w:tcPr>
            <w:tcW w:w="56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C5104C5"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4B30FB44" w14:textId="77777777">
            <w:pPr>
              <w:spacing w:after="0"/>
              <w:jc w:val="right"/>
              <w:rPr>
                <w:rFonts w:cs="Arial"/>
                <w:b/>
                <w:sz w:val="16"/>
                <w:szCs w:val="16"/>
              </w:rPr>
            </w:pPr>
            <w:r w:rsidRPr="00CC015F">
              <w:rPr>
                <w:rFonts w:cs="Arial"/>
                <w:b/>
                <w:sz w:val="16"/>
                <w:szCs w:val="16"/>
              </w:rPr>
              <w:t xml:space="preserve">3,274,686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12449BA" w14:textId="77777777">
            <w:pPr>
              <w:spacing w:after="0"/>
              <w:jc w:val="right"/>
              <w:rPr>
                <w:rFonts w:cs="Arial"/>
                <w:b/>
                <w:sz w:val="16"/>
                <w:szCs w:val="16"/>
              </w:rPr>
            </w:pPr>
            <w:r w:rsidRPr="00CC015F">
              <w:rPr>
                <w:rFonts w:cs="Arial"/>
                <w:b/>
                <w:sz w:val="16"/>
                <w:szCs w:val="16"/>
              </w:rPr>
              <w:t xml:space="preserve">3,055,500 </w:t>
            </w:r>
          </w:p>
        </w:tc>
      </w:tr>
      <w:tr w:rsidRPr="00CC015F" w:rsidR="00CC015F" w:rsidTr="001F0679" w14:paraId="52CB9F1D" w14:textId="77777777">
        <w:tc>
          <w:tcPr>
            <w:tcW w:w="9921" w:type="dxa"/>
            <w:gridSpan w:val="5"/>
            <w:tcBorders>
              <w:top w:val="single" w:color="000000" w:sz="12" w:space="0"/>
              <w:left w:val="nil"/>
              <w:bottom w:val="nil"/>
              <w:right w:val="nil"/>
            </w:tcBorders>
            <w:tcMar>
              <w:top w:w="57" w:type="dxa"/>
              <w:left w:w="0" w:type="dxa"/>
              <w:bottom w:w="57" w:type="dxa"/>
              <w:right w:w="0" w:type="dxa"/>
            </w:tcMar>
            <w:vAlign w:val="bottom"/>
          </w:tcPr>
          <w:p w:rsidRPr="00CC015F" w:rsidR="00CC015F" w:rsidP="00CC015F" w:rsidRDefault="00CC015F" w14:paraId="5ADFB264" w14:textId="77777777">
            <w:pPr>
              <w:spacing w:after="0"/>
              <w:rPr>
                <w:rFonts w:cs="Arial"/>
                <w:b/>
                <w:sz w:val="16"/>
                <w:szCs w:val="16"/>
              </w:rPr>
            </w:pPr>
            <w:r w:rsidRPr="00CC015F">
              <w:rPr>
                <w:rFonts w:cs="Arial"/>
                <w:b/>
                <w:sz w:val="16"/>
                <w:szCs w:val="16"/>
              </w:rPr>
              <w:t>Equity</w:t>
            </w:r>
          </w:p>
        </w:tc>
      </w:tr>
      <w:tr w:rsidRPr="00CC015F" w:rsidR="00CC015F" w:rsidTr="001F0679" w14:paraId="72ECE620"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8A3EDE1"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3E9C27A" w14:textId="77777777">
            <w:pPr>
              <w:spacing w:after="0"/>
              <w:rPr>
                <w:rFonts w:cs="Arial"/>
                <w:sz w:val="16"/>
                <w:szCs w:val="16"/>
              </w:rPr>
            </w:pPr>
            <w:r w:rsidRPr="00CC015F">
              <w:rPr>
                <w:rFonts w:cs="Arial"/>
                <w:sz w:val="16"/>
                <w:szCs w:val="16"/>
              </w:rPr>
              <w:t>Accumulated surplus/(deficit)</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9D6B82E"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D64B245" w14:textId="77777777">
            <w:pPr>
              <w:spacing w:after="0"/>
              <w:jc w:val="right"/>
              <w:rPr>
                <w:rFonts w:cs="Arial"/>
                <w:sz w:val="16"/>
                <w:szCs w:val="16"/>
              </w:rPr>
            </w:pPr>
            <w:r w:rsidRPr="00CC015F">
              <w:rPr>
                <w:rFonts w:cs="Arial"/>
                <w:sz w:val="16"/>
                <w:szCs w:val="16"/>
              </w:rPr>
              <w:t xml:space="preserve">1,087,603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B18010B" w14:textId="77777777">
            <w:pPr>
              <w:spacing w:after="0"/>
              <w:jc w:val="right"/>
              <w:rPr>
                <w:rFonts w:cs="Arial"/>
                <w:sz w:val="16"/>
                <w:szCs w:val="16"/>
              </w:rPr>
            </w:pPr>
            <w:r w:rsidRPr="00CC015F">
              <w:rPr>
                <w:rFonts w:cs="Arial"/>
                <w:sz w:val="16"/>
                <w:szCs w:val="16"/>
              </w:rPr>
              <w:t xml:space="preserve">1,114,608 </w:t>
            </w:r>
          </w:p>
        </w:tc>
      </w:tr>
      <w:tr w:rsidRPr="00CC015F" w:rsidR="00CC015F" w:rsidTr="001F0679" w14:paraId="46DF3B09"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5453F62"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C9D397D" w14:textId="77777777">
            <w:pPr>
              <w:spacing w:after="0"/>
              <w:rPr>
                <w:rFonts w:cs="Arial"/>
                <w:sz w:val="16"/>
                <w:szCs w:val="16"/>
              </w:rPr>
            </w:pPr>
            <w:r w:rsidRPr="00CC015F">
              <w:rPr>
                <w:rFonts w:cs="Arial"/>
                <w:sz w:val="16"/>
                <w:szCs w:val="16"/>
              </w:rPr>
              <w:t>Physical asset revaluation surplus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6B354AA" w14:textId="77777777">
            <w:pPr>
              <w:spacing w:after="0"/>
              <w:jc w:val="center"/>
              <w:rPr>
                <w:rFonts w:cs="Arial"/>
                <w:sz w:val="16"/>
                <w:szCs w:val="16"/>
              </w:rPr>
            </w:pPr>
            <w:r w:rsidRPr="00CC015F">
              <w:rPr>
                <w:rFonts w:cs="Arial"/>
                <w:sz w:val="16"/>
                <w:szCs w:val="16"/>
              </w:rPr>
              <w:t>9.4</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8C3D8F2" w14:textId="77777777">
            <w:pPr>
              <w:spacing w:after="0"/>
              <w:jc w:val="right"/>
              <w:rPr>
                <w:rFonts w:cs="Arial"/>
                <w:sz w:val="16"/>
                <w:szCs w:val="16"/>
              </w:rPr>
            </w:pPr>
            <w:r w:rsidRPr="00CC015F">
              <w:rPr>
                <w:rFonts w:cs="Arial"/>
                <w:sz w:val="16"/>
                <w:szCs w:val="16"/>
              </w:rPr>
              <w:t xml:space="preserve">611,550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C6697ED" w14:textId="77777777">
            <w:pPr>
              <w:spacing w:after="0"/>
              <w:jc w:val="right"/>
              <w:rPr>
                <w:rFonts w:cs="Arial"/>
                <w:sz w:val="16"/>
                <w:szCs w:val="16"/>
              </w:rPr>
            </w:pPr>
            <w:r w:rsidRPr="00CC015F">
              <w:rPr>
                <w:rFonts w:cs="Arial"/>
                <w:sz w:val="16"/>
                <w:szCs w:val="16"/>
              </w:rPr>
              <w:t xml:space="preserve">611,550 </w:t>
            </w:r>
          </w:p>
        </w:tc>
      </w:tr>
      <w:tr w:rsidRPr="00CC015F" w:rsidR="00CC015F" w:rsidTr="001F0679" w14:paraId="47966482" w14:textId="77777777">
        <w:tc>
          <w:tcPr>
            <w:tcW w:w="283"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CE89D3C" w14:textId="77777777">
            <w:pPr>
              <w:spacing w:after="0"/>
              <w:rPr>
                <w:rFonts w:cs="Arial"/>
                <w:sz w:val="16"/>
                <w:szCs w:val="16"/>
                <w:lang w:val="en-US"/>
              </w:rPr>
            </w:pPr>
          </w:p>
        </w:tc>
        <w:tc>
          <w:tcPr>
            <w:tcW w:w="6237"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02E50641" w14:textId="77777777">
            <w:pPr>
              <w:spacing w:after="0"/>
              <w:rPr>
                <w:rFonts w:cs="Arial"/>
                <w:sz w:val="16"/>
                <w:szCs w:val="16"/>
              </w:rPr>
            </w:pPr>
            <w:r w:rsidRPr="00CC015F">
              <w:rPr>
                <w:rFonts w:cs="Arial"/>
                <w:sz w:val="16"/>
                <w:szCs w:val="16"/>
              </w:rPr>
              <w:t>Contributed capital</w:t>
            </w:r>
          </w:p>
        </w:tc>
        <w:tc>
          <w:tcPr>
            <w:tcW w:w="567"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72D9E0B" w14:textId="77777777">
            <w:pPr>
              <w:spacing w:after="0"/>
              <w:jc w:val="center"/>
              <w:rPr>
                <w:rFonts w:cs="Arial"/>
                <w:sz w:val="16"/>
                <w:szCs w:val="16"/>
                <w:lang w:val="en-US"/>
              </w:rPr>
            </w:pPr>
          </w:p>
        </w:tc>
        <w:tc>
          <w:tcPr>
            <w:tcW w:w="1417"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1C14C8D8" w14:textId="77777777">
            <w:pPr>
              <w:spacing w:after="0"/>
              <w:jc w:val="right"/>
              <w:rPr>
                <w:rFonts w:cs="Arial"/>
                <w:sz w:val="16"/>
                <w:szCs w:val="16"/>
              </w:rPr>
            </w:pPr>
            <w:r w:rsidRPr="00CC015F">
              <w:rPr>
                <w:rFonts w:cs="Arial"/>
                <w:sz w:val="16"/>
                <w:szCs w:val="16"/>
              </w:rPr>
              <w:t xml:space="preserve">1,575,533 </w:t>
            </w:r>
          </w:p>
        </w:tc>
        <w:tc>
          <w:tcPr>
            <w:tcW w:w="1417"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469BD77" w14:textId="77777777">
            <w:pPr>
              <w:spacing w:after="0"/>
              <w:jc w:val="right"/>
              <w:rPr>
                <w:rFonts w:cs="Arial"/>
                <w:sz w:val="16"/>
                <w:szCs w:val="16"/>
              </w:rPr>
            </w:pPr>
            <w:r w:rsidRPr="00CC015F">
              <w:rPr>
                <w:rFonts w:cs="Arial"/>
                <w:sz w:val="16"/>
                <w:szCs w:val="16"/>
              </w:rPr>
              <w:t xml:space="preserve">1,329,342 </w:t>
            </w:r>
          </w:p>
        </w:tc>
      </w:tr>
      <w:tr w:rsidRPr="00CC015F" w:rsidR="00CC015F" w:rsidTr="001F0679" w14:paraId="5B0A8207"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F9AA6BD" w14:textId="77777777">
            <w:pPr>
              <w:spacing w:after="0"/>
              <w:rPr>
                <w:rFonts w:cs="Arial"/>
                <w:b/>
                <w:sz w:val="16"/>
                <w:szCs w:val="16"/>
              </w:rPr>
            </w:pPr>
            <w:r w:rsidRPr="00CC015F">
              <w:rPr>
                <w:rFonts w:cs="Arial"/>
                <w:b/>
                <w:sz w:val="16"/>
                <w:szCs w:val="16"/>
              </w:rPr>
              <w:t>Net worth</w:t>
            </w:r>
          </w:p>
        </w:tc>
        <w:tc>
          <w:tcPr>
            <w:tcW w:w="56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1AFBA6DC"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433D05B0" w14:textId="77777777">
            <w:pPr>
              <w:spacing w:after="0"/>
              <w:jc w:val="right"/>
              <w:rPr>
                <w:rFonts w:cs="Arial"/>
                <w:b/>
                <w:sz w:val="16"/>
                <w:szCs w:val="16"/>
              </w:rPr>
            </w:pPr>
            <w:r w:rsidRPr="00CC015F">
              <w:rPr>
                <w:rFonts w:cs="Arial"/>
                <w:b/>
                <w:sz w:val="16"/>
                <w:szCs w:val="16"/>
              </w:rPr>
              <w:t xml:space="preserve">3,274,686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170FFA85" w14:textId="77777777">
            <w:pPr>
              <w:spacing w:after="0"/>
              <w:jc w:val="right"/>
              <w:rPr>
                <w:rFonts w:cs="Arial"/>
                <w:b/>
                <w:sz w:val="16"/>
                <w:szCs w:val="16"/>
              </w:rPr>
            </w:pPr>
            <w:r w:rsidRPr="00CC015F">
              <w:rPr>
                <w:rFonts w:cs="Arial"/>
                <w:b/>
                <w:sz w:val="16"/>
                <w:szCs w:val="16"/>
              </w:rPr>
              <w:t xml:space="preserve">3,055,500 </w:t>
            </w:r>
          </w:p>
        </w:tc>
      </w:tr>
    </w:tbl>
    <w:p w:rsidRPr="00CC015F" w:rsidR="00CC015F" w:rsidP="00CC015F" w:rsidRDefault="00CC015F" w14:paraId="3D2B2BD9" w14:textId="77777777">
      <w:pPr>
        <w:pStyle w:val="notes"/>
        <w:spacing w:after="0"/>
      </w:pPr>
    </w:p>
    <w:p w:rsidRPr="00CC015F" w:rsidR="00CC015F" w:rsidP="00CC015F" w:rsidRDefault="00CC015F" w14:paraId="3C3DED7D" w14:textId="77777777">
      <w:pPr>
        <w:pStyle w:val="notes"/>
        <w:spacing w:after="0"/>
      </w:pPr>
      <w:r w:rsidRPr="00CC015F">
        <w:t>The above balance sheet should be read in conjunction with the notes to the financial statements.</w:t>
      </w:r>
    </w:p>
    <w:p w:rsidR="00CC015F" w:rsidRDefault="00CC015F" w14:paraId="0005EEDE" w14:textId="251FB41D">
      <w:pPr>
        <w:spacing w:after="0"/>
        <w:rPr>
          <w:lang w:val="en-AU"/>
        </w:rPr>
      </w:pPr>
      <w:r>
        <w:rPr>
          <w:lang w:val="en-AU"/>
        </w:rPr>
        <w:br w:type="page"/>
      </w:r>
    </w:p>
    <w:p w:rsidRPr="00CC015F" w:rsidR="00CC015F" w:rsidP="00CC015F" w:rsidRDefault="00CC015F" w14:paraId="450E897B" w14:textId="77777777">
      <w:pPr>
        <w:pStyle w:val="Heading1"/>
      </w:pPr>
      <w:bookmarkStart w:id="12" w:name="_Toc21870900"/>
      <w:r w:rsidRPr="00CC015F">
        <w:lastRenderedPageBreak/>
        <w:t>Cash flow statement</w:t>
      </w:r>
      <w:bookmarkEnd w:id="12"/>
      <w:r w:rsidRPr="00CC015F">
        <w:t xml:space="preserve"> </w:t>
      </w:r>
    </w:p>
    <w:p w:rsidRPr="00CC015F" w:rsidR="00CC015F" w:rsidP="00CC015F" w:rsidRDefault="00CC015F" w14:paraId="42135E01" w14:textId="68CCE423">
      <w:r w:rsidRPr="00CC015F">
        <w:t>For the financial year ended 30 June 2019</w:t>
      </w:r>
    </w:p>
    <w:tbl>
      <w:tblPr>
        <w:tblW w:w="0" w:type="auto"/>
        <w:tblLayout w:type="fixed"/>
        <w:tblCellMar>
          <w:left w:w="0" w:type="dxa"/>
          <w:right w:w="0" w:type="dxa"/>
        </w:tblCellMar>
        <w:tblLook w:firstRow="1" w:lastRow="0" w:firstColumn="0" w:lastColumn="0" w:noHBand="0" w:noVBand="0" w:val="0020"/>
      </w:tblPr>
      <w:tblGrid>
        <w:gridCol w:w="283"/>
        <w:gridCol w:w="6237"/>
        <w:gridCol w:w="567"/>
        <w:gridCol w:w="1417"/>
        <w:gridCol w:w="1417"/>
      </w:tblGrid>
      <w:tr w:rsidRPr="00CC015F" w:rsidR="00CC015F" w:rsidTr="001F0679" w14:paraId="4C67DCE6" w14:textId="77777777">
        <w:trPr>
          <w:tblHeader/>
        </w:trPr>
        <w:tc>
          <w:tcPr>
            <w:tcW w:w="283"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C0A10FF" w14:textId="77777777">
            <w:pPr>
              <w:spacing w:after="0"/>
              <w:rPr>
                <w:rFonts w:cs="Arial"/>
                <w:b/>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93AEF2A" w14:textId="77777777">
            <w:pPr>
              <w:spacing w:after="0"/>
              <w:rPr>
                <w:rFonts w:cs="Arial"/>
                <w:b/>
                <w:sz w:val="16"/>
                <w:szCs w:val="16"/>
                <w:lang w:val="en-US"/>
              </w:rPr>
            </w:pP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4F5E0B8" w14:textId="77777777">
            <w:pPr>
              <w:spacing w:after="0"/>
              <w:jc w:val="center"/>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7BAD11A" w14:textId="77777777">
            <w:pPr>
              <w:spacing w:after="0"/>
              <w:jc w:val="right"/>
              <w:rPr>
                <w:rFonts w:cs="Arial"/>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4F4BF9D" w14:textId="77777777">
            <w:pPr>
              <w:spacing w:after="0"/>
              <w:jc w:val="right"/>
              <w:rPr>
                <w:rFonts w:cs="Arial"/>
                <w:b/>
                <w:sz w:val="16"/>
                <w:szCs w:val="16"/>
              </w:rPr>
            </w:pPr>
            <w:r w:rsidRPr="00CC015F">
              <w:rPr>
                <w:rFonts w:cs="Arial"/>
                <w:b/>
                <w:sz w:val="16"/>
                <w:szCs w:val="16"/>
              </w:rPr>
              <w:t>($ thousand)</w:t>
            </w:r>
          </w:p>
        </w:tc>
      </w:tr>
      <w:tr w:rsidRPr="00CC015F" w:rsidR="00CC015F" w:rsidTr="001F0679" w14:paraId="498DDCB5"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7924EDA" w14:textId="77777777">
            <w:pPr>
              <w:spacing w:after="0"/>
              <w:rPr>
                <w:rFonts w:cs="Arial"/>
                <w:b/>
                <w:sz w:val="16"/>
                <w:szCs w:val="16"/>
                <w:lang w:val="en-US"/>
              </w:rPr>
            </w:pPr>
          </w:p>
        </w:tc>
        <w:tc>
          <w:tcPr>
            <w:tcW w:w="623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2E7DF3B" w14:textId="77777777">
            <w:pPr>
              <w:spacing w:after="0"/>
              <w:rPr>
                <w:rFonts w:cs="Arial"/>
                <w:b/>
                <w:sz w:val="16"/>
                <w:szCs w:val="16"/>
                <w:lang w:val="en-US"/>
              </w:rPr>
            </w:pP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46BB2B3" w14:textId="77777777">
            <w:pPr>
              <w:spacing w:after="0"/>
              <w:jc w:val="center"/>
              <w:rPr>
                <w:rFonts w:cs="Arial"/>
                <w:b/>
                <w:sz w:val="16"/>
                <w:szCs w:val="16"/>
              </w:rPr>
            </w:pPr>
            <w:r w:rsidRPr="00CC015F">
              <w:rPr>
                <w:rFonts w:cs="Arial"/>
                <w:b/>
                <w:sz w:val="16"/>
                <w:szCs w:val="16"/>
              </w:rPr>
              <w:t>Note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2B355D1" w14:textId="77777777">
            <w:pPr>
              <w:spacing w:after="0"/>
              <w:jc w:val="right"/>
              <w:rPr>
                <w:rFonts w:cs="Arial"/>
                <w:b/>
                <w:sz w:val="16"/>
                <w:szCs w:val="16"/>
              </w:rPr>
            </w:pPr>
            <w:r w:rsidRPr="00CC015F">
              <w:rPr>
                <w:rFonts w:cs="Arial"/>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4F01622" w14:textId="77777777">
            <w:pPr>
              <w:spacing w:after="0"/>
              <w:jc w:val="right"/>
              <w:rPr>
                <w:rFonts w:cs="Arial"/>
                <w:b/>
                <w:sz w:val="16"/>
                <w:szCs w:val="16"/>
              </w:rPr>
            </w:pPr>
            <w:r w:rsidRPr="00CC015F">
              <w:rPr>
                <w:rFonts w:cs="Arial"/>
                <w:b/>
                <w:sz w:val="16"/>
                <w:szCs w:val="16"/>
              </w:rPr>
              <w:t>2018</w:t>
            </w:r>
          </w:p>
        </w:tc>
      </w:tr>
      <w:tr w:rsidRPr="00CC015F" w:rsidR="00CC015F" w:rsidTr="001F0679" w14:paraId="0AA5C4C7" w14:textId="77777777">
        <w:tc>
          <w:tcPr>
            <w:tcW w:w="9921" w:type="dxa"/>
            <w:gridSpan w:val="5"/>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6258FB18" w14:textId="77777777">
            <w:pPr>
              <w:spacing w:after="0"/>
              <w:rPr>
                <w:rFonts w:cs="Arial"/>
                <w:b/>
                <w:sz w:val="16"/>
                <w:szCs w:val="16"/>
              </w:rPr>
            </w:pPr>
            <w:r w:rsidRPr="00CC015F">
              <w:rPr>
                <w:rFonts w:cs="Arial"/>
                <w:b/>
                <w:sz w:val="16"/>
                <w:szCs w:val="16"/>
              </w:rPr>
              <w:t>Cash flows from operating activities</w:t>
            </w:r>
          </w:p>
        </w:tc>
      </w:tr>
      <w:tr w:rsidRPr="00CC015F" w:rsidR="00CC015F" w:rsidTr="001F0679" w14:paraId="24A7C7CF"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47ABFD7" w14:textId="77777777">
            <w:pPr>
              <w:spacing w:after="0"/>
              <w:rPr>
                <w:rFonts w:cs="Arial"/>
                <w:b/>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41E61C3" w14:textId="77777777">
            <w:pPr>
              <w:spacing w:after="0"/>
              <w:rPr>
                <w:rFonts w:cs="Arial"/>
                <w:b/>
                <w:sz w:val="16"/>
                <w:szCs w:val="16"/>
              </w:rPr>
            </w:pPr>
            <w:r w:rsidRPr="00CC015F">
              <w:rPr>
                <w:rFonts w:cs="Arial"/>
                <w:b/>
                <w:sz w:val="16"/>
                <w:szCs w:val="16"/>
              </w:rPr>
              <w:t>Receipts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C995AB1" w14:textId="77777777">
            <w:pPr>
              <w:spacing w:after="0"/>
              <w:jc w:val="center"/>
              <w:rPr>
                <w:rFonts w:cs="Arial"/>
                <w:b/>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23924E0" w14:textId="77777777">
            <w:pPr>
              <w:spacing w:after="0"/>
              <w:jc w:val="right"/>
              <w:rPr>
                <w:rFonts w:cs="Arial"/>
                <w:b/>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548606B" w14:textId="77777777">
            <w:pPr>
              <w:spacing w:after="0"/>
              <w:jc w:val="right"/>
              <w:rPr>
                <w:rFonts w:cs="Arial"/>
                <w:b/>
                <w:sz w:val="16"/>
                <w:szCs w:val="16"/>
                <w:lang w:val="en-US"/>
              </w:rPr>
            </w:pPr>
          </w:p>
        </w:tc>
      </w:tr>
      <w:tr w:rsidRPr="00CC015F" w:rsidR="00CC015F" w:rsidTr="001F0679" w14:paraId="431C32CD"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3A91FFF"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A3D64A3" w14:textId="77777777">
            <w:pPr>
              <w:spacing w:after="0"/>
              <w:rPr>
                <w:rFonts w:cs="Arial"/>
                <w:sz w:val="16"/>
                <w:szCs w:val="16"/>
              </w:rPr>
            </w:pPr>
            <w:r w:rsidRPr="00CC015F">
              <w:rPr>
                <w:rFonts w:cs="Arial"/>
                <w:sz w:val="16"/>
                <w:szCs w:val="16"/>
              </w:rPr>
              <w:t>Receipts from government</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04A8360"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59EE2A1" w14:textId="77777777">
            <w:pPr>
              <w:spacing w:after="0"/>
              <w:jc w:val="right"/>
              <w:rPr>
                <w:rFonts w:cs="Arial"/>
                <w:sz w:val="16"/>
                <w:szCs w:val="16"/>
              </w:rPr>
            </w:pPr>
            <w:r w:rsidRPr="00CC015F">
              <w:rPr>
                <w:rFonts w:cs="Arial"/>
                <w:sz w:val="16"/>
                <w:szCs w:val="16"/>
              </w:rPr>
              <w:t xml:space="preserve">7,511,288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B68EB6B" w14:textId="77777777">
            <w:pPr>
              <w:spacing w:after="0"/>
              <w:jc w:val="right"/>
              <w:rPr>
                <w:rFonts w:cs="Arial"/>
                <w:sz w:val="16"/>
                <w:szCs w:val="16"/>
              </w:rPr>
            </w:pPr>
            <w:r w:rsidRPr="00CC015F">
              <w:rPr>
                <w:rFonts w:cs="Arial"/>
                <w:sz w:val="16"/>
                <w:szCs w:val="16"/>
              </w:rPr>
              <w:t xml:space="preserve">6,716,352 </w:t>
            </w:r>
          </w:p>
        </w:tc>
      </w:tr>
      <w:tr w:rsidRPr="00CC015F" w:rsidR="00CC015F" w:rsidTr="001F0679" w14:paraId="2D65F449"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BD5AE87"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F953288" w14:textId="77777777">
            <w:pPr>
              <w:spacing w:after="0"/>
              <w:rPr>
                <w:rFonts w:cs="Arial"/>
                <w:sz w:val="16"/>
                <w:szCs w:val="16"/>
              </w:rPr>
            </w:pPr>
            <w:r w:rsidRPr="00CC015F">
              <w:rPr>
                <w:rFonts w:cs="Arial"/>
                <w:sz w:val="16"/>
                <w:szCs w:val="16"/>
              </w:rPr>
              <w:t>Receipts from other entities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9C05BCE"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38EC3DB" w14:textId="77777777">
            <w:pPr>
              <w:spacing w:after="0"/>
              <w:jc w:val="right"/>
              <w:rPr>
                <w:rFonts w:cs="Arial"/>
                <w:sz w:val="16"/>
                <w:szCs w:val="16"/>
              </w:rPr>
            </w:pPr>
            <w:r w:rsidRPr="00CC015F">
              <w:rPr>
                <w:rFonts w:cs="Arial"/>
                <w:sz w:val="16"/>
                <w:szCs w:val="16"/>
              </w:rPr>
              <w:t xml:space="preserve">31,950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6FC701D" w14:textId="77777777">
            <w:pPr>
              <w:spacing w:after="0"/>
              <w:jc w:val="right"/>
              <w:rPr>
                <w:rFonts w:cs="Arial"/>
                <w:sz w:val="16"/>
                <w:szCs w:val="16"/>
              </w:rPr>
            </w:pPr>
            <w:r w:rsidRPr="00CC015F">
              <w:rPr>
                <w:rFonts w:cs="Arial"/>
                <w:sz w:val="16"/>
                <w:szCs w:val="16"/>
              </w:rPr>
              <w:t xml:space="preserve">21,308 </w:t>
            </w:r>
          </w:p>
        </w:tc>
      </w:tr>
      <w:tr w:rsidRPr="00CC015F" w:rsidR="00CC015F" w:rsidTr="001F0679" w14:paraId="553CD24C"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B594FA3"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C51061D" w14:textId="77777777">
            <w:pPr>
              <w:spacing w:after="0"/>
              <w:rPr>
                <w:rFonts w:cs="Arial"/>
                <w:sz w:val="16"/>
                <w:szCs w:val="16"/>
              </w:rPr>
            </w:pPr>
            <w:r w:rsidRPr="00CC015F">
              <w:rPr>
                <w:rFonts w:cs="Arial"/>
                <w:sz w:val="16"/>
                <w:szCs w:val="16"/>
              </w:rPr>
              <w:t>Goods and services tax recovered from Australian Tax Office (i)</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B6487EF"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ABFD056" w14:textId="77777777">
            <w:pPr>
              <w:spacing w:after="0"/>
              <w:jc w:val="right"/>
              <w:rPr>
                <w:rFonts w:cs="Arial"/>
                <w:sz w:val="16"/>
                <w:szCs w:val="16"/>
              </w:rPr>
            </w:pPr>
            <w:r w:rsidRPr="00CC015F">
              <w:rPr>
                <w:rFonts w:cs="Arial"/>
                <w:sz w:val="16"/>
                <w:szCs w:val="16"/>
              </w:rPr>
              <w:t xml:space="preserve">151,893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BA85E78" w14:textId="77777777">
            <w:pPr>
              <w:spacing w:after="0"/>
              <w:jc w:val="right"/>
              <w:rPr>
                <w:rFonts w:cs="Arial"/>
                <w:sz w:val="16"/>
                <w:szCs w:val="16"/>
              </w:rPr>
            </w:pPr>
            <w:r w:rsidRPr="00CC015F">
              <w:rPr>
                <w:rFonts w:cs="Arial"/>
                <w:sz w:val="16"/>
                <w:szCs w:val="16"/>
              </w:rPr>
              <w:t xml:space="preserve">182,294 </w:t>
            </w:r>
          </w:p>
        </w:tc>
      </w:tr>
      <w:tr w:rsidRPr="00CC015F" w:rsidR="00CC015F" w:rsidTr="001F0679" w14:paraId="2C3CC84B"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95C8A00"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E26D40E" w14:textId="77777777">
            <w:pPr>
              <w:spacing w:after="0"/>
              <w:rPr>
                <w:rFonts w:cs="Arial"/>
                <w:sz w:val="16"/>
                <w:szCs w:val="16"/>
              </w:rPr>
            </w:pPr>
            <w:r w:rsidRPr="00CC015F">
              <w:rPr>
                <w:rFonts w:cs="Arial"/>
                <w:sz w:val="16"/>
                <w:szCs w:val="16"/>
              </w:rPr>
              <w:t>Interest received</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2A1DD74"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6B95FBE" w14:textId="77777777">
            <w:pPr>
              <w:spacing w:after="0"/>
              <w:jc w:val="right"/>
              <w:rPr>
                <w:rFonts w:cs="Arial"/>
                <w:sz w:val="16"/>
                <w:szCs w:val="16"/>
              </w:rPr>
            </w:pPr>
            <w:r w:rsidRPr="00CC015F">
              <w:rPr>
                <w:rFonts w:cs="Arial"/>
                <w:sz w:val="16"/>
                <w:szCs w:val="16"/>
              </w:rPr>
              <w:t xml:space="preserve">23,806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09AC322" w14:textId="77777777">
            <w:pPr>
              <w:spacing w:after="0"/>
              <w:jc w:val="right"/>
              <w:rPr>
                <w:rFonts w:cs="Arial"/>
                <w:sz w:val="16"/>
                <w:szCs w:val="16"/>
              </w:rPr>
            </w:pPr>
            <w:r w:rsidRPr="00CC015F">
              <w:rPr>
                <w:rFonts w:cs="Arial"/>
                <w:sz w:val="16"/>
                <w:szCs w:val="16"/>
              </w:rPr>
              <w:t xml:space="preserve">28,487 </w:t>
            </w:r>
          </w:p>
        </w:tc>
      </w:tr>
      <w:tr w:rsidRPr="00CC015F" w:rsidR="00CC015F" w:rsidTr="001F0679" w14:paraId="2EB67C2E"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2DCB007"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759BAA8" w14:textId="77777777">
            <w:pPr>
              <w:spacing w:after="0"/>
              <w:rPr>
                <w:rFonts w:cs="Arial"/>
                <w:sz w:val="16"/>
                <w:szCs w:val="16"/>
              </w:rPr>
            </w:pPr>
            <w:r w:rsidRPr="00CC015F">
              <w:rPr>
                <w:rFonts w:cs="Arial"/>
                <w:sz w:val="16"/>
                <w:szCs w:val="16"/>
              </w:rPr>
              <w:t>Dividends received</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85AAF20"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9FD2E46" w14:textId="77777777">
            <w:pPr>
              <w:spacing w:after="0"/>
              <w:jc w:val="right"/>
              <w:rPr>
                <w:rFonts w:cs="Arial"/>
                <w:sz w:val="16"/>
                <w:szCs w:val="16"/>
              </w:rPr>
            </w:pPr>
            <w:r w:rsidRPr="00CC015F">
              <w:rPr>
                <w:rFonts w:cs="Arial"/>
                <w:sz w:val="16"/>
                <w:szCs w:val="16"/>
              </w:rPr>
              <w:t xml:space="preserve">14,061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0E5107E" w14:textId="77777777">
            <w:pPr>
              <w:spacing w:after="0"/>
              <w:jc w:val="right"/>
              <w:rPr>
                <w:rFonts w:cs="Arial"/>
                <w:sz w:val="16"/>
                <w:szCs w:val="16"/>
              </w:rPr>
            </w:pPr>
            <w:r w:rsidRPr="00CC015F">
              <w:rPr>
                <w:rFonts w:cs="Arial"/>
                <w:sz w:val="16"/>
                <w:szCs w:val="16"/>
              </w:rPr>
              <w:t xml:space="preserve">7,416 </w:t>
            </w:r>
          </w:p>
        </w:tc>
      </w:tr>
      <w:tr w:rsidRPr="00CC015F" w:rsidR="00CC015F" w:rsidTr="001F0679" w14:paraId="26F49AC3"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9C6B25A"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6B4DEAB" w14:textId="77777777">
            <w:pPr>
              <w:spacing w:after="0"/>
              <w:rPr>
                <w:rFonts w:cs="Arial"/>
                <w:sz w:val="16"/>
                <w:szCs w:val="16"/>
              </w:rPr>
            </w:pPr>
            <w:r w:rsidRPr="00CC015F">
              <w:rPr>
                <w:rFonts w:cs="Arial"/>
                <w:sz w:val="16"/>
                <w:szCs w:val="16"/>
              </w:rPr>
              <w:t>Other receipts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3CF13E6" w14:textId="77777777">
            <w:pPr>
              <w:spacing w:after="0"/>
              <w:jc w:val="center"/>
              <w:rPr>
                <w:rFonts w:cs="Arial"/>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A3B26DC" w14:textId="77777777">
            <w:pPr>
              <w:spacing w:after="0"/>
              <w:jc w:val="right"/>
              <w:rPr>
                <w:rFonts w:cs="Arial"/>
                <w:sz w:val="16"/>
                <w:szCs w:val="16"/>
              </w:rPr>
            </w:pPr>
            <w:r w:rsidRPr="00CC015F">
              <w:rPr>
                <w:rFonts w:cs="Arial"/>
                <w:sz w:val="16"/>
                <w:szCs w:val="16"/>
              </w:rPr>
              <w:t xml:space="preserve">59,651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A4EAAA1" w14:textId="77777777">
            <w:pPr>
              <w:spacing w:after="0"/>
              <w:jc w:val="right"/>
              <w:rPr>
                <w:rFonts w:cs="Arial"/>
                <w:sz w:val="16"/>
                <w:szCs w:val="16"/>
              </w:rPr>
            </w:pPr>
            <w:r w:rsidRPr="00CC015F">
              <w:rPr>
                <w:rFonts w:cs="Arial"/>
                <w:sz w:val="16"/>
                <w:szCs w:val="16"/>
              </w:rPr>
              <w:t xml:space="preserve">64,190 </w:t>
            </w:r>
          </w:p>
        </w:tc>
      </w:tr>
      <w:tr w:rsidRPr="00CC015F" w:rsidR="00CC015F" w:rsidTr="001F0679" w14:paraId="36116741"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0E1EE21" w14:textId="77777777">
            <w:pPr>
              <w:spacing w:after="0"/>
              <w:rPr>
                <w:rFonts w:cs="Arial"/>
                <w:b/>
                <w:sz w:val="16"/>
                <w:szCs w:val="16"/>
                <w:lang w:val="en-US"/>
              </w:rPr>
            </w:pPr>
          </w:p>
        </w:tc>
        <w:tc>
          <w:tcPr>
            <w:tcW w:w="623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6791FCF" w14:textId="77777777">
            <w:pPr>
              <w:spacing w:after="0"/>
              <w:rPr>
                <w:rFonts w:cs="Arial"/>
                <w:b/>
                <w:sz w:val="16"/>
                <w:szCs w:val="16"/>
              </w:rPr>
            </w:pPr>
            <w:r w:rsidRPr="00CC015F">
              <w:rPr>
                <w:rFonts w:cs="Arial"/>
                <w:b/>
                <w:sz w:val="16"/>
                <w:szCs w:val="16"/>
              </w:rPr>
              <w:t>Total receipts</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FC62E67" w14:textId="77777777">
            <w:pPr>
              <w:spacing w:after="0"/>
              <w:jc w:val="center"/>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60EEF5F7" w14:textId="77777777">
            <w:pPr>
              <w:spacing w:after="0"/>
              <w:jc w:val="right"/>
              <w:rPr>
                <w:rFonts w:cs="Arial"/>
                <w:b/>
                <w:sz w:val="16"/>
                <w:szCs w:val="16"/>
              </w:rPr>
            </w:pPr>
            <w:r w:rsidRPr="00CC015F">
              <w:rPr>
                <w:rFonts w:cs="Arial"/>
                <w:b/>
                <w:sz w:val="16"/>
                <w:szCs w:val="16"/>
              </w:rPr>
              <w:t xml:space="preserve">7,792,649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4A5EE8AF" w14:textId="77777777">
            <w:pPr>
              <w:spacing w:after="0"/>
              <w:jc w:val="right"/>
              <w:rPr>
                <w:rFonts w:cs="Arial"/>
                <w:b/>
                <w:sz w:val="16"/>
                <w:szCs w:val="16"/>
              </w:rPr>
            </w:pPr>
            <w:r w:rsidRPr="00CC015F">
              <w:rPr>
                <w:rFonts w:cs="Arial"/>
                <w:b/>
                <w:sz w:val="16"/>
                <w:szCs w:val="16"/>
              </w:rPr>
              <w:t xml:space="preserve">7,020,047 </w:t>
            </w:r>
          </w:p>
        </w:tc>
      </w:tr>
      <w:tr w:rsidRPr="00CC015F" w:rsidR="00CC015F" w:rsidTr="001F0679" w14:paraId="573881C8"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4B2EEBF" w14:textId="77777777">
            <w:pPr>
              <w:spacing w:after="0"/>
              <w:rPr>
                <w:rFonts w:cs="Arial"/>
                <w:b/>
                <w:sz w:val="16"/>
                <w:szCs w:val="16"/>
                <w:lang w:val="en-US"/>
              </w:rPr>
            </w:pPr>
          </w:p>
        </w:tc>
        <w:tc>
          <w:tcPr>
            <w:tcW w:w="6237" w:type="dxa"/>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6F7DEFD3" w14:textId="77777777">
            <w:pPr>
              <w:spacing w:after="0"/>
              <w:rPr>
                <w:rFonts w:cs="Arial"/>
                <w:b/>
                <w:sz w:val="16"/>
                <w:szCs w:val="16"/>
              </w:rPr>
            </w:pPr>
            <w:r w:rsidRPr="00CC015F">
              <w:rPr>
                <w:rFonts w:cs="Arial"/>
                <w:b/>
                <w:sz w:val="16"/>
                <w:szCs w:val="16"/>
              </w:rPr>
              <w:t>Payments</w:t>
            </w:r>
          </w:p>
        </w:tc>
        <w:tc>
          <w:tcPr>
            <w:tcW w:w="567" w:type="dxa"/>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4D6654B5" w14:textId="77777777">
            <w:pPr>
              <w:spacing w:after="0"/>
              <w:jc w:val="center"/>
              <w:rPr>
                <w:rFonts w:cs="Arial"/>
                <w:b/>
                <w:sz w:val="16"/>
                <w:szCs w:val="16"/>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69CC82B0" w14:textId="77777777">
            <w:pPr>
              <w:spacing w:after="0"/>
              <w:jc w:val="right"/>
              <w:rPr>
                <w:rFonts w:cs="Arial"/>
                <w:b/>
                <w:sz w:val="16"/>
                <w:szCs w:val="16"/>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CC015F" w:rsidR="00CC015F" w:rsidP="00CC015F" w:rsidRDefault="00CC015F" w14:paraId="65BE7918" w14:textId="77777777">
            <w:pPr>
              <w:spacing w:after="0"/>
              <w:jc w:val="right"/>
              <w:rPr>
                <w:rFonts w:cs="Arial"/>
                <w:b/>
                <w:sz w:val="16"/>
                <w:szCs w:val="16"/>
                <w:lang w:val="en-US"/>
              </w:rPr>
            </w:pPr>
          </w:p>
        </w:tc>
      </w:tr>
      <w:tr w:rsidRPr="00CC015F" w:rsidR="00CC015F" w:rsidTr="001F0679" w14:paraId="0C230B46"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DD7BD5C"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88834E2" w14:textId="77777777">
            <w:pPr>
              <w:spacing w:after="0"/>
              <w:rPr>
                <w:rFonts w:cs="Arial"/>
                <w:sz w:val="16"/>
                <w:szCs w:val="16"/>
              </w:rPr>
            </w:pPr>
            <w:r w:rsidRPr="00CC015F">
              <w:rPr>
                <w:rFonts w:cs="Arial"/>
                <w:sz w:val="16"/>
                <w:szCs w:val="16"/>
              </w:rPr>
              <w:t>Payments of grant expenses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C61A05D"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851D698" w14:textId="77777777">
            <w:pPr>
              <w:spacing w:after="0"/>
              <w:jc w:val="right"/>
              <w:rPr>
                <w:rFonts w:cs="Arial"/>
                <w:sz w:val="16"/>
                <w:szCs w:val="16"/>
              </w:rPr>
            </w:pPr>
            <w:r w:rsidRPr="00CC015F">
              <w:rPr>
                <w:rFonts w:cs="Arial"/>
                <w:sz w:val="16"/>
                <w:szCs w:val="16"/>
              </w:rPr>
              <w:t xml:space="preserve">(5,043,501)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6A251A6" w14:textId="77777777">
            <w:pPr>
              <w:spacing w:after="0"/>
              <w:jc w:val="right"/>
              <w:rPr>
                <w:rFonts w:cs="Arial"/>
                <w:sz w:val="16"/>
                <w:szCs w:val="16"/>
              </w:rPr>
            </w:pPr>
            <w:r w:rsidRPr="00CC015F">
              <w:rPr>
                <w:rFonts w:cs="Arial"/>
                <w:sz w:val="16"/>
                <w:szCs w:val="16"/>
              </w:rPr>
              <w:t xml:space="preserve">(4,634,117) </w:t>
            </w:r>
          </w:p>
        </w:tc>
      </w:tr>
      <w:tr w:rsidRPr="00CC015F" w:rsidR="00CC015F" w:rsidTr="001F0679" w14:paraId="64D97DB0"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7743839"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09DBA9A" w14:textId="77777777">
            <w:pPr>
              <w:spacing w:after="0"/>
              <w:rPr>
                <w:rFonts w:cs="Arial"/>
                <w:sz w:val="16"/>
                <w:szCs w:val="16"/>
              </w:rPr>
            </w:pPr>
            <w:r w:rsidRPr="00CC015F">
              <w:rPr>
                <w:rFonts w:cs="Arial"/>
                <w:sz w:val="16"/>
                <w:szCs w:val="16"/>
              </w:rPr>
              <w:t>Payments to suppliers and employees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E0C5BE5"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B2E31A3" w14:textId="77777777">
            <w:pPr>
              <w:spacing w:after="0"/>
              <w:jc w:val="right"/>
              <w:rPr>
                <w:rFonts w:cs="Arial"/>
                <w:sz w:val="16"/>
                <w:szCs w:val="16"/>
              </w:rPr>
            </w:pPr>
            <w:r w:rsidRPr="00CC015F">
              <w:rPr>
                <w:rFonts w:cs="Arial"/>
                <w:sz w:val="16"/>
                <w:szCs w:val="16"/>
              </w:rPr>
              <w:t xml:space="preserve">(2,345,329)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6333087" w14:textId="77777777">
            <w:pPr>
              <w:spacing w:after="0"/>
              <w:jc w:val="right"/>
              <w:rPr>
                <w:rFonts w:cs="Arial"/>
                <w:sz w:val="16"/>
                <w:szCs w:val="16"/>
              </w:rPr>
            </w:pPr>
            <w:r w:rsidRPr="00CC015F">
              <w:rPr>
                <w:rFonts w:cs="Arial"/>
                <w:sz w:val="16"/>
                <w:szCs w:val="16"/>
              </w:rPr>
              <w:t xml:space="preserve">(2,076,410) </w:t>
            </w:r>
          </w:p>
        </w:tc>
      </w:tr>
      <w:tr w:rsidRPr="00CC015F" w:rsidR="00CC015F" w:rsidTr="001F0679" w14:paraId="3AAA937D"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6B7B031"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FEF06D1" w14:textId="77777777">
            <w:pPr>
              <w:spacing w:after="0"/>
              <w:rPr>
                <w:rFonts w:cs="Arial"/>
                <w:sz w:val="16"/>
                <w:szCs w:val="16"/>
              </w:rPr>
            </w:pPr>
            <w:r w:rsidRPr="00CC015F">
              <w:rPr>
                <w:rFonts w:cs="Arial"/>
                <w:sz w:val="16"/>
                <w:szCs w:val="16"/>
              </w:rPr>
              <w:t>Capital asset charge payments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FE5508D"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B4FF5C8" w14:textId="77777777">
            <w:pPr>
              <w:spacing w:after="0"/>
              <w:jc w:val="right"/>
              <w:rPr>
                <w:rFonts w:cs="Arial"/>
                <w:sz w:val="16"/>
                <w:szCs w:val="16"/>
              </w:rPr>
            </w:pPr>
            <w:r w:rsidRPr="00CC015F">
              <w:rPr>
                <w:rFonts w:cs="Arial"/>
                <w:sz w:val="16"/>
                <w:szCs w:val="16"/>
              </w:rPr>
              <w:t xml:space="preserve">(185,884)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594DB37" w14:textId="77777777">
            <w:pPr>
              <w:spacing w:after="0"/>
              <w:jc w:val="right"/>
              <w:rPr>
                <w:rFonts w:cs="Arial"/>
                <w:sz w:val="16"/>
                <w:szCs w:val="16"/>
              </w:rPr>
            </w:pPr>
            <w:r w:rsidRPr="00CC015F">
              <w:rPr>
                <w:rFonts w:cs="Arial"/>
                <w:sz w:val="16"/>
                <w:szCs w:val="16"/>
              </w:rPr>
              <w:t xml:space="preserve">(169,878) </w:t>
            </w:r>
          </w:p>
        </w:tc>
      </w:tr>
      <w:tr w:rsidRPr="00CC015F" w:rsidR="00CC015F" w:rsidTr="001F0679" w14:paraId="06384AE8"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CE8F954"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0B1D9F7" w14:textId="77777777">
            <w:pPr>
              <w:spacing w:after="0"/>
              <w:rPr>
                <w:rFonts w:cs="Arial"/>
                <w:sz w:val="16"/>
                <w:szCs w:val="16"/>
              </w:rPr>
            </w:pPr>
            <w:r w:rsidRPr="00CC015F">
              <w:rPr>
                <w:rFonts w:cs="Arial"/>
                <w:sz w:val="16"/>
                <w:szCs w:val="16"/>
              </w:rPr>
              <w:t>Interest and other costs of finance paid</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5203B963" w14:textId="77777777">
            <w:pPr>
              <w:spacing w:after="0"/>
              <w:jc w:val="center"/>
              <w:rPr>
                <w:rFonts w:cs="Arial"/>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3EBF0F0" w14:textId="77777777">
            <w:pPr>
              <w:spacing w:after="0"/>
              <w:jc w:val="right"/>
              <w:rPr>
                <w:rFonts w:cs="Arial"/>
                <w:sz w:val="16"/>
                <w:szCs w:val="16"/>
              </w:rPr>
            </w:pPr>
            <w:r w:rsidRPr="00CC015F">
              <w:rPr>
                <w:rFonts w:cs="Arial"/>
                <w:sz w:val="16"/>
                <w:szCs w:val="16"/>
              </w:rPr>
              <w:t xml:space="preserve">(63,635)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3D872F8F" w14:textId="77777777">
            <w:pPr>
              <w:spacing w:after="0"/>
              <w:jc w:val="right"/>
              <w:rPr>
                <w:rFonts w:cs="Arial"/>
                <w:sz w:val="16"/>
                <w:szCs w:val="16"/>
              </w:rPr>
            </w:pPr>
            <w:r w:rsidRPr="00CC015F">
              <w:rPr>
                <w:rFonts w:cs="Arial"/>
                <w:sz w:val="16"/>
                <w:szCs w:val="16"/>
              </w:rPr>
              <w:t xml:space="preserve">(50,676) </w:t>
            </w:r>
          </w:p>
        </w:tc>
      </w:tr>
      <w:tr w:rsidRPr="00CC015F" w:rsidR="00CC015F" w:rsidTr="001F0679" w14:paraId="46DAE53A"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89E6479" w14:textId="77777777">
            <w:pPr>
              <w:spacing w:after="0"/>
              <w:rPr>
                <w:rFonts w:cs="Arial"/>
                <w:b/>
                <w:sz w:val="16"/>
                <w:szCs w:val="16"/>
                <w:lang w:val="en-US"/>
              </w:rPr>
            </w:pPr>
          </w:p>
        </w:tc>
        <w:tc>
          <w:tcPr>
            <w:tcW w:w="623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F8146A8" w14:textId="77777777">
            <w:pPr>
              <w:spacing w:after="0"/>
              <w:rPr>
                <w:rFonts w:cs="Arial"/>
                <w:b/>
                <w:sz w:val="16"/>
                <w:szCs w:val="16"/>
              </w:rPr>
            </w:pPr>
            <w:r w:rsidRPr="00CC015F">
              <w:rPr>
                <w:rFonts w:cs="Arial"/>
                <w:b/>
                <w:sz w:val="16"/>
                <w:szCs w:val="16"/>
              </w:rPr>
              <w:t>Total payments</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D806690" w14:textId="77777777">
            <w:pPr>
              <w:spacing w:after="0"/>
              <w:jc w:val="center"/>
              <w:rPr>
                <w:rFonts w:cs="Arial"/>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1EB5963" w14:textId="77777777">
            <w:pPr>
              <w:spacing w:after="0"/>
              <w:jc w:val="right"/>
              <w:rPr>
                <w:rFonts w:cs="Arial"/>
                <w:b/>
                <w:sz w:val="16"/>
                <w:szCs w:val="16"/>
              </w:rPr>
            </w:pPr>
            <w:r w:rsidRPr="00CC015F">
              <w:rPr>
                <w:rFonts w:cs="Arial"/>
                <w:b/>
                <w:sz w:val="16"/>
                <w:szCs w:val="16"/>
              </w:rPr>
              <w:t xml:space="preserve">(7,638,349)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CD0F1DA" w14:textId="77777777">
            <w:pPr>
              <w:spacing w:after="0"/>
              <w:jc w:val="right"/>
              <w:rPr>
                <w:rFonts w:cs="Arial"/>
                <w:b/>
                <w:sz w:val="16"/>
                <w:szCs w:val="16"/>
              </w:rPr>
            </w:pPr>
            <w:r w:rsidRPr="00CC015F">
              <w:rPr>
                <w:rFonts w:cs="Arial"/>
                <w:b/>
                <w:sz w:val="16"/>
                <w:szCs w:val="16"/>
              </w:rPr>
              <w:t xml:space="preserve">(6,931,081) </w:t>
            </w:r>
          </w:p>
        </w:tc>
      </w:tr>
      <w:tr w:rsidRPr="00CC015F" w:rsidR="00CC015F" w:rsidTr="001F0679" w14:paraId="1E161EA2" w14:textId="77777777">
        <w:tc>
          <w:tcPr>
            <w:tcW w:w="283"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5698C247" w14:textId="77777777">
            <w:pPr>
              <w:spacing w:after="0"/>
              <w:rPr>
                <w:rFonts w:cs="Arial"/>
                <w:b/>
                <w:sz w:val="16"/>
                <w:szCs w:val="16"/>
                <w:lang w:val="en-US"/>
              </w:rPr>
            </w:pPr>
          </w:p>
        </w:tc>
        <w:tc>
          <w:tcPr>
            <w:tcW w:w="623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D620053" w14:textId="77777777">
            <w:pPr>
              <w:spacing w:after="0"/>
              <w:rPr>
                <w:rFonts w:cs="Arial"/>
                <w:b/>
                <w:sz w:val="16"/>
                <w:szCs w:val="16"/>
              </w:rPr>
            </w:pPr>
            <w:r w:rsidRPr="00CC015F">
              <w:rPr>
                <w:rFonts w:cs="Arial"/>
                <w:b/>
                <w:sz w:val="16"/>
                <w:szCs w:val="16"/>
              </w:rPr>
              <w:t>Net cash flows from/(used in) operating activities</w:t>
            </w:r>
          </w:p>
        </w:tc>
        <w:tc>
          <w:tcPr>
            <w:tcW w:w="56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3B34485" w14:textId="77777777">
            <w:pPr>
              <w:spacing w:after="0"/>
              <w:jc w:val="center"/>
              <w:rPr>
                <w:rFonts w:cs="Arial"/>
                <w:b/>
                <w:sz w:val="16"/>
                <w:szCs w:val="16"/>
              </w:rPr>
            </w:pPr>
            <w:r w:rsidRPr="00CC015F">
              <w:rPr>
                <w:rFonts w:cs="Arial"/>
                <w:b/>
                <w:sz w:val="16"/>
                <w:szCs w:val="16"/>
              </w:rPr>
              <w:t>7.3.1</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F589063" w14:textId="77777777">
            <w:pPr>
              <w:spacing w:after="0"/>
              <w:jc w:val="right"/>
              <w:rPr>
                <w:rFonts w:cs="Arial"/>
                <w:b/>
                <w:sz w:val="16"/>
                <w:szCs w:val="16"/>
              </w:rPr>
            </w:pPr>
            <w:r w:rsidRPr="00CC015F">
              <w:rPr>
                <w:rFonts w:cs="Arial"/>
                <w:b/>
                <w:sz w:val="16"/>
                <w:szCs w:val="16"/>
              </w:rPr>
              <w:t xml:space="preserve">154,300 </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43A7F95C" w14:textId="77777777">
            <w:pPr>
              <w:spacing w:after="0"/>
              <w:jc w:val="right"/>
              <w:rPr>
                <w:rFonts w:cs="Arial"/>
                <w:b/>
                <w:sz w:val="16"/>
                <w:szCs w:val="16"/>
              </w:rPr>
            </w:pPr>
            <w:r w:rsidRPr="00CC015F">
              <w:rPr>
                <w:rFonts w:cs="Arial"/>
                <w:b/>
                <w:sz w:val="16"/>
                <w:szCs w:val="16"/>
              </w:rPr>
              <w:t xml:space="preserve">88,966 </w:t>
            </w:r>
          </w:p>
        </w:tc>
      </w:tr>
      <w:tr w:rsidRPr="00CC015F" w:rsidR="00CC015F" w:rsidTr="001F0679" w14:paraId="4B75392F" w14:textId="77777777">
        <w:tc>
          <w:tcPr>
            <w:tcW w:w="9921" w:type="dxa"/>
            <w:gridSpan w:val="5"/>
            <w:tcBorders>
              <w:top w:val="single" w:color="000000" w:sz="12" w:space="0"/>
              <w:left w:val="nil"/>
              <w:bottom w:val="nil"/>
              <w:right w:val="nil"/>
            </w:tcBorders>
            <w:tcMar>
              <w:top w:w="57" w:type="dxa"/>
              <w:left w:w="0" w:type="dxa"/>
              <w:bottom w:w="57" w:type="dxa"/>
              <w:right w:w="0" w:type="dxa"/>
            </w:tcMar>
            <w:vAlign w:val="bottom"/>
          </w:tcPr>
          <w:p w:rsidRPr="00CC015F" w:rsidR="00CC015F" w:rsidP="00CC015F" w:rsidRDefault="00CC015F" w14:paraId="51A1E905" w14:textId="77777777">
            <w:pPr>
              <w:spacing w:after="0"/>
              <w:rPr>
                <w:rFonts w:cs="Arial"/>
                <w:b/>
                <w:sz w:val="16"/>
                <w:szCs w:val="16"/>
              </w:rPr>
            </w:pPr>
            <w:r w:rsidRPr="00CC015F">
              <w:rPr>
                <w:rFonts w:cs="Arial"/>
                <w:b/>
                <w:sz w:val="16"/>
                <w:szCs w:val="16"/>
              </w:rPr>
              <w:t>Cash flows from investing activities</w:t>
            </w:r>
          </w:p>
        </w:tc>
      </w:tr>
      <w:tr w:rsidRPr="00CC015F" w:rsidR="00CC015F" w:rsidTr="001F0679" w14:paraId="21919B32"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B1FAE24"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96894C3" w14:textId="77777777">
            <w:pPr>
              <w:spacing w:after="0"/>
              <w:rPr>
                <w:rFonts w:cs="Arial"/>
                <w:sz w:val="16"/>
                <w:szCs w:val="16"/>
              </w:rPr>
            </w:pPr>
            <w:r w:rsidRPr="00CC015F">
              <w:rPr>
                <w:rFonts w:cs="Arial"/>
                <w:sz w:val="16"/>
                <w:szCs w:val="16"/>
              </w:rPr>
              <w:t>Payments for investments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C1FD613"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C64A3EA" w14:textId="77777777">
            <w:pPr>
              <w:spacing w:after="0"/>
              <w:jc w:val="right"/>
              <w:rPr>
                <w:rFonts w:cs="Arial"/>
                <w:sz w:val="16"/>
                <w:szCs w:val="16"/>
              </w:rPr>
            </w:pPr>
            <w:r w:rsidRPr="00CC015F">
              <w:rPr>
                <w:rFonts w:cs="Arial"/>
                <w:sz w:val="16"/>
                <w:szCs w:val="16"/>
              </w:rPr>
              <w:t xml:space="preserve">(14,061)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BF14283" w14:textId="77777777">
            <w:pPr>
              <w:spacing w:after="0"/>
              <w:jc w:val="right"/>
              <w:rPr>
                <w:rFonts w:cs="Arial"/>
                <w:sz w:val="16"/>
                <w:szCs w:val="16"/>
              </w:rPr>
            </w:pPr>
            <w:r w:rsidRPr="00CC015F">
              <w:rPr>
                <w:rFonts w:cs="Arial"/>
                <w:sz w:val="16"/>
                <w:szCs w:val="16"/>
              </w:rPr>
              <w:t xml:space="preserve">(32,070) </w:t>
            </w:r>
          </w:p>
        </w:tc>
      </w:tr>
      <w:tr w:rsidRPr="00CC015F" w:rsidR="00CC015F" w:rsidTr="001F0679" w14:paraId="5420BA80"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9FB8D86"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2714F01" w14:textId="77777777">
            <w:pPr>
              <w:spacing w:after="0"/>
              <w:rPr>
                <w:rFonts w:cs="Arial"/>
                <w:sz w:val="16"/>
                <w:szCs w:val="16"/>
              </w:rPr>
            </w:pPr>
            <w:r w:rsidRPr="00CC015F">
              <w:rPr>
                <w:rFonts w:cs="Arial"/>
                <w:sz w:val="16"/>
                <w:szCs w:val="16"/>
              </w:rPr>
              <w:t>Proceeds from sale of investments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7FF0C6D4"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308C1C1" w14:textId="77777777">
            <w:pPr>
              <w:spacing w:after="0"/>
              <w:jc w:val="right"/>
              <w:rPr>
                <w:rFonts w:cs="Arial"/>
                <w:sz w:val="16"/>
                <w:szCs w:val="16"/>
              </w:rPr>
            </w:pPr>
            <w:r w:rsidRPr="00CC015F">
              <w:rPr>
                <w:rFonts w:cs="Arial"/>
                <w:sz w:val="16"/>
                <w:szCs w:val="16"/>
              </w:rPr>
              <w:t xml:space="preserve">52,654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1FDE401" w14:textId="77777777">
            <w:pPr>
              <w:spacing w:after="0"/>
              <w:jc w:val="right"/>
              <w:rPr>
                <w:rFonts w:cs="Arial"/>
                <w:sz w:val="16"/>
                <w:szCs w:val="16"/>
              </w:rPr>
            </w:pPr>
            <w:r w:rsidRPr="00CC015F">
              <w:rPr>
                <w:rFonts w:cs="Arial"/>
                <w:sz w:val="16"/>
                <w:szCs w:val="16"/>
              </w:rPr>
              <w:t xml:space="preserve">125,000 </w:t>
            </w:r>
          </w:p>
        </w:tc>
      </w:tr>
      <w:tr w:rsidRPr="00CC015F" w:rsidR="00CC015F" w:rsidTr="001F0679" w14:paraId="55A88C58"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69FACED"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6B9AD35" w14:textId="77777777">
            <w:pPr>
              <w:spacing w:after="0"/>
              <w:rPr>
                <w:rFonts w:cs="Arial"/>
                <w:sz w:val="16"/>
                <w:szCs w:val="16"/>
              </w:rPr>
            </w:pPr>
            <w:r w:rsidRPr="00CC015F">
              <w:rPr>
                <w:rFonts w:cs="Arial"/>
                <w:sz w:val="16"/>
                <w:szCs w:val="16"/>
              </w:rPr>
              <w:t>Purchases of non-financial assets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C368B12"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381E996" w14:textId="77777777">
            <w:pPr>
              <w:spacing w:after="0"/>
              <w:jc w:val="right"/>
              <w:rPr>
                <w:rFonts w:cs="Arial"/>
                <w:sz w:val="16"/>
                <w:szCs w:val="16"/>
              </w:rPr>
            </w:pPr>
            <w:r w:rsidRPr="00CC015F">
              <w:rPr>
                <w:rFonts w:cs="Arial"/>
                <w:sz w:val="16"/>
                <w:szCs w:val="16"/>
              </w:rPr>
              <w:t xml:space="preserve">(354,065)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9EAF43C" w14:textId="77777777">
            <w:pPr>
              <w:spacing w:after="0"/>
              <w:jc w:val="right"/>
              <w:rPr>
                <w:rFonts w:cs="Arial"/>
                <w:sz w:val="16"/>
                <w:szCs w:val="16"/>
              </w:rPr>
            </w:pPr>
            <w:r w:rsidRPr="00CC015F">
              <w:rPr>
                <w:rFonts w:cs="Arial"/>
                <w:sz w:val="16"/>
                <w:szCs w:val="16"/>
              </w:rPr>
              <w:t xml:space="preserve">(223,965) </w:t>
            </w:r>
          </w:p>
        </w:tc>
      </w:tr>
      <w:tr w:rsidRPr="00CC015F" w:rsidR="00CC015F" w:rsidTr="001F0679" w14:paraId="32C45780"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E1CF10C"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77583478" w14:textId="77777777">
            <w:pPr>
              <w:spacing w:after="0"/>
              <w:rPr>
                <w:rFonts w:cs="Arial"/>
                <w:sz w:val="16"/>
                <w:szCs w:val="16"/>
              </w:rPr>
            </w:pPr>
            <w:r w:rsidRPr="00CC015F">
              <w:rPr>
                <w:rFonts w:cs="Arial"/>
                <w:sz w:val="16"/>
                <w:szCs w:val="16"/>
              </w:rPr>
              <w:t>Sales of non-financial assets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0DE1DB01" w14:textId="77777777">
            <w:pPr>
              <w:spacing w:after="0"/>
              <w:jc w:val="center"/>
              <w:rPr>
                <w:rFonts w:cs="Arial"/>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C9B6F22" w14:textId="77777777">
            <w:pPr>
              <w:spacing w:after="0"/>
              <w:jc w:val="right"/>
              <w:rPr>
                <w:rFonts w:cs="Arial"/>
                <w:sz w:val="16"/>
                <w:szCs w:val="16"/>
              </w:rPr>
            </w:pPr>
            <w:r w:rsidRPr="00CC015F">
              <w:rPr>
                <w:rFonts w:cs="Arial"/>
                <w:sz w:val="16"/>
                <w:szCs w:val="16"/>
              </w:rPr>
              <w:t xml:space="preserve">5,206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620346EA" w14:textId="77777777">
            <w:pPr>
              <w:spacing w:after="0"/>
              <w:jc w:val="right"/>
              <w:rPr>
                <w:rFonts w:cs="Arial"/>
                <w:sz w:val="16"/>
                <w:szCs w:val="16"/>
              </w:rPr>
            </w:pPr>
            <w:r w:rsidRPr="00CC015F">
              <w:rPr>
                <w:rFonts w:cs="Arial"/>
                <w:sz w:val="16"/>
                <w:szCs w:val="16"/>
              </w:rPr>
              <w:t xml:space="preserve">4,271 </w:t>
            </w:r>
          </w:p>
        </w:tc>
      </w:tr>
      <w:tr w:rsidRPr="00CC015F" w:rsidR="00CC015F" w:rsidTr="001F0679" w14:paraId="73045696" w14:textId="77777777">
        <w:tc>
          <w:tcPr>
            <w:tcW w:w="283"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15D90D5" w14:textId="77777777">
            <w:pPr>
              <w:spacing w:after="0"/>
              <w:rPr>
                <w:rFonts w:cs="Arial"/>
                <w:b/>
                <w:sz w:val="16"/>
                <w:szCs w:val="16"/>
                <w:lang w:val="en-US"/>
              </w:rPr>
            </w:pPr>
          </w:p>
        </w:tc>
        <w:tc>
          <w:tcPr>
            <w:tcW w:w="623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D8A1238" w14:textId="77777777">
            <w:pPr>
              <w:spacing w:after="0"/>
              <w:rPr>
                <w:rFonts w:cs="Arial"/>
                <w:b/>
                <w:sz w:val="16"/>
                <w:szCs w:val="16"/>
              </w:rPr>
            </w:pPr>
            <w:r w:rsidRPr="00CC015F">
              <w:rPr>
                <w:rFonts w:cs="Arial"/>
                <w:b/>
                <w:sz w:val="16"/>
                <w:szCs w:val="16"/>
              </w:rPr>
              <w:t>Net cash flows from/(used in) investing activities</w:t>
            </w:r>
          </w:p>
        </w:tc>
        <w:tc>
          <w:tcPr>
            <w:tcW w:w="56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4E9DC30"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AB1025D" w14:textId="77777777">
            <w:pPr>
              <w:spacing w:after="0"/>
              <w:jc w:val="right"/>
              <w:rPr>
                <w:rFonts w:cs="Arial"/>
                <w:b/>
                <w:sz w:val="16"/>
                <w:szCs w:val="16"/>
              </w:rPr>
            </w:pPr>
            <w:r w:rsidRPr="00CC015F">
              <w:rPr>
                <w:rFonts w:cs="Arial"/>
                <w:b/>
                <w:sz w:val="16"/>
                <w:szCs w:val="16"/>
              </w:rPr>
              <w:t xml:space="preserve">(310,266) </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3B49D52" w14:textId="77777777">
            <w:pPr>
              <w:spacing w:after="0"/>
              <w:jc w:val="right"/>
              <w:rPr>
                <w:rFonts w:cs="Arial"/>
                <w:b/>
                <w:sz w:val="16"/>
                <w:szCs w:val="16"/>
              </w:rPr>
            </w:pPr>
            <w:r w:rsidRPr="00CC015F">
              <w:rPr>
                <w:rFonts w:cs="Arial"/>
                <w:b/>
                <w:sz w:val="16"/>
                <w:szCs w:val="16"/>
              </w:rPr>
              <w:t xml:space="preserve">(126,764) </w:t>
            </w:r>
          </w:p>
        </w:tc>
      </w:tr>
      <w:tr w:rsidRPr="00CC015F" w:rsidR="00CC015F" w:rsidTr="001F0679" w14:paraId="6437F700" w14:textId="77777777">
        <w:tc>
          <w:tcPr>
            <w:tcW w:w="9921" w:type="dxa"/>
            <w:gridSpan w:val="5"/>
            <w:tcBorders>
              <w:top w:val="single" w:color="000000" w:sz="12" w:space="0"/>
              <w:left w:val="nil"/>
              <w:bottom w:val="nil"/>
              <w:right w:val="nil"/>
            </w:tcBorders>
            <w:tcMar>
              <w:top w:w="57" w:type="dxa"/>
              <w:left w:w="0" w:type="dxa"/>
              <w:bottom w:w="57" w:type="dxa"/>
              <w:right w:w="0" w:type="dxa"/>
            </w:tcMar>
            <w:vAlign w:val="bottom"/>
          </w:tcPr>
          <w:p w:rsidRPr="00CC015F" w:rsidR="00CC015F" w:rsidP="00CC015F" w:rsidRDefault="00CC015F" w14:paraId="087AA5D1" w14:textId="77777777">
            <w:pPr>
              <w:spacing w:after="0"/>
              <w:rPr>
                <w:rFonts w:cs="Arial"/>
                <w:b/>
                <w:sz w:val="16"/>
                <w:szCs w:val="16"/>
              </w:rPr>
            </w:pPr>
            <w:r w:rsidRPr="00CC015F">
              <w:rPr>
                <w:rFonts w:cs="Arial"/>
                <w:b/>
                <w:sz w:val="16"/>
                <w:szCs w:val="16"/>
              </w:rPr>
              <w:t>Cash flows from financing activities</w:t>
            </w:r>
          </w:p>
        </w:tc>
      </w:tr>
      <w:tr w:rsidRPr="00CC015F" w:rsidR="00CC015F" w:rsidTr="001F0679" w14:paraId="5DA6C98A"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20B9E0E"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2BB5DDF" w14:textId="77777777">
            <w:pPr>
              <w:spacing w:after="0"/>
              <w:rPr>
                <w:rFonts w:cs="Arial"/>
                <w:sz w:val="16"/>
                <w:szCs w:val="16"/>
              </w:rPr>
            </w:pPr>
            <w:r w:rsidRPr="00CC015F">
              <w:rPr>
                <w:rFonts w:cs="Arial"/>
                <w:sz w:val="16"/>
                <w:szCs w:val="16"/>
              </w:rPr>
              <w:t>Cash received from capital appropriations</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090D053D"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538EA4BD" w14:textId="77777777">
            <w:pPr>
              <w:spacing w:after="0"/>
              <w:jc w:val="right"/>
              <w:rPr>
                <w:rFonts w:cs="Arial"/>
                <w:sz w:val="16"/>
                <w:szCs w:val="16"/>
              </w:rPr>
            </w:pPr>
            <w:r w:rsidRPr="00CC015F">
              <w:rPr>
                <w:rFonts w:cs="Arial"/>
                <w:sz w:val="16"/>
                <w:szCs w:val="16"/>
              </w:rPr>
              <w:t xml:space="preserve">340,045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252CD9D" w14:textId="77777777">
            <w:pPr>
              <w:spacing w:after="0"/>
              <w:jc w:val="right"/>
              <w:rPr>
                <w:rFonts w:cs="Arial"/>
                <w:sz w:val="16"/>
                <w:szCs w:val="16"/>
              </w:rPr>
            </w:pPr>
            <w:r w:rsidRPr="00CC015F">
              <w:rPr>
                <w:rFonts w:cs="Arial"/>
                <w:sz w:val="16"/>
                <w:szCs w:val="16"/>
              </w:rPr>
              <w:t xml:space="preserve">611,379 </w:t>
            </w:r>
          </w:p>
        </w:tc>
      </w:tr>
      <w:tr w:rsidRPr="00CC015F" w:rsidR="00CC015F" w:rsidTr="001F0679" w14:paraId="43D8AD73"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28E943D"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2D9D196" w14:textId="77777777">
            <w:pPr>
              <w:spacing w:after="0"/>
              <w:rPr>
                <w:rFonts w:cs="Arial"/>
                <w:sz w:val="16"/>
                <w:szCs w:val="16"/>
              </w:rPr>
            </w:pPr>
            <w:r w:rsidRPr="00CC015F">
              <w:rPr>
                <w:rFonts w:cs="Arial"/>
                <w:sz w:val="16"/>
                <w:szCs w:val="16"/>
              </w:rPr>
              <w:t>Capital contribution passed on to agencies within government</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94A30C6"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E3DE822" w14:textId="77777777">
            <w:pPr>
              <w:spacing w:after="0"/>
              <w:jc w:val="right"/>
              <w:rPr>
                <w:rFonts w:cs="Arial"/>
                <w:sz w:val="16"/>
                <w:szCs w:val="16"/>
              </w:rPr>
            </w:pPr>
            <w:r w:rsidRPr="00CC015F">
              <w:rPr>
                <w:rFonts w:cs="Arial"/>
                <w:sz w:val="16"/>
                <w:szCs w:val="16"/>
              </w:rPr>
              <w:t xml:space="preserve">(49,962)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7FF2FC6" w14:textId="77777777">
            <w:pPr>
              <w:spacing w:after="0"/>
              <w:jc w:val="right"/>
              <w:rPr>
                <w:rFonts w:cs="Arial"/>
                <w:sz w:val="16"/>
                <w:szCs w:val="16"/>
              </w:rPr>
            </w:pPr>
            <w:r w:rsidRPr="00CC015F">
              <w:rPr>
                <w:rFonts w:cs="Arial"/>
                <w:sz w:val="16"/>
                <w:szCs w:val="16"/>
              </w:rPr>
              <w:t xml:space="preserve">(53,727) </w:t>
            </w:r>
          </w:p>
        </w:tc>
      </w:tr>
      <w:tr w:rsidRPr="00CC015F" w:rsidR="00CC015F" w:rsidTr="001F0679" w14:paraId="54D22E1D"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6A82EB8B" w14:textId="77777777">
            <w:pPr>
              <w:spacing w:after="0"/>
              <w:rPr>
                <w:rFonts w:cs="Arial"/>
                <w:sz w:val="16"/>
                <w:szCs w:val="16"/>
                <w:lang w:val="en-US"/>
              </w:rPr>
            </w:pPr>
          </w:p>
        </w:tc>
        <w:tc>
          <w:tcPr>
            <w:tcW w:w="623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3B931A60" w14:textId="77777777">
            <w:pPr>
              <w:spacing w:after="0"/>
              <w:rPr>
                <w:rFonts w:cs="Arial"/>
                <w:sz w:val="16"/>
                <w:szCs w:val="16"/>
              </w:rPr>
            </w:pPr>
            <w:r w:rsidRPr="00CC015F">
              <w:rPr>
                <w:rFonts w:cs="Arial"/>
                <w:sz w:val="16"/>
                <w:szCs w:val="16"/>
              </w:rPr>
              <w:t>Equity transfers within government</w:t>
            </w:r>
          </w:p>
        </w:tc>
        <w:tc>
          <w:tcPr>
            <w:tcW w:w="56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567976A" w14:textId="77777777">
            <w:pPr>
              <w:spacing w:after="0"/>
              <w:jc w:val="center"/>
              <w:rPr>
                <w:rFonts w:cs="Arial"/>
                <w:sz w:val="16"/>
                <w:szCs w:val="16"/>
                <w:lang w:val="en-US"/>
              </w:rPr>
            </w:pP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42287C5F" w14:textId="77777777">
            <w:pPr>
              <w:spacing w:after="0"/>
              <w:jc w:val="right"/>
              <w:rPr>
                <w:rFonts w:cs="Arial"/>
                <w:sz w:val="16"/>
                <w:szCs w:val="16"/>
              </w:rPr>
            </w:pPr>
            <w:r w:rsidRPr="00CC015F">
              <w:rPr>
                <w:rFonts w:cs="Arial"/>
                <w:sz w:val="16"/>
                <w:szCs w:val="16"/>
              </w:rPr>
              <w:t xml:space="preserve">(43,779) </w:t>
            </w:r>
          </w:p>
        </w:tc>
        <w:tc>
          <w:tcPr>
            <w:tcW w:w="1417"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26383190" w14:textId="77777777">
            <w:pPr>
              <w:spacing w:after="0"/>
              <w:jc w:val="right"/>
              <w:rPr>
                <w:rFonts w:cs="Arial"/>
                <w:sz w:val="16"/>
                <w:szCs w:val="16"/>
              </w:rPr>
            </w:pPr>
            <w:r w:rsidRPr="00CC015F">
              <w:rPr>
                <w:rFonts w:cs="Arial"/>
                <w:sz w:val="16"/>
                <w:szCs w:val="16"/>
              </w:rPr>
              <w:t xml:space="preserve">(192,994) </w:t>
            </w:r>
          </w:p>
        </w:tc>
      </w:tr>
      <w:tr w:rsidRPr="00CC015F" w:rsidR="00CC015F" w:rsidTr="001F0679" w14:paraId="6B92E42D" w14:textId="77777777">
        <w:tc>
          <w:tcPr>
            <w:tcW w:w="283" w:type="dxa"/>
            <w:tcBorders>
              <w:top w:val="nil"/>
              <w:left w:val="nil"/>
              <w:bottom w:val="nil"/>
              <w:right w:val="nil"/>
            </w:tcBorders>
            <w:tcMar>
              <w:top w:w="57" w:type="dxa"/>
              <w:left w:w="0" w:type="dxa"/>
              <w:bottom w:w="57" w:type="dxa"/>
              <w:right w:w="0" w:type="dxa"/>
            </w:tcMar>
            <w:vAlign w:val="bottom"/>
          </w:tcPr>
          <w:p w:rsidRPr="00CC015F" w:rsidR="00CC015F" w:rsidP="00CC015F" w:rsidRDefault="00CC015F" w14:paraId="1E3FEF58" w14:textId="77777777">
            <w:pPr>
              <w:spacing w:after="0"/>
              <w:rPr>
                <w:rFonts w:cs="Arial"/>
                <w:sz w:val="16"/>
                <w:szCs w:val="16"/>
                <w:lang w:val="en-US"/>
              </w:rPr>
            </w:pPr>
          </w:p>
        </w:tc>
        <w:tc>
          <w:tcPr>
            <w:tcW w:w="623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5CDD086" w14:textId="77777777">
            <w:pPr>
              <w:spacing w:after="0"/>
              <w:rPr>
                <w:rFonts w:cs="Arial"/>
                <w:sz w:val="16"/>
                <w:szCs w:val="16"/>
              </w:rPr>
            </w:pPr>
            <w:r w:rsidRPr="00CC015F">
              <w:rPr>
                <w:rFonts w:cs="Arial"/>
                <w:sz w:val="16"/>
                <w:szCs w:val="16"/>
              </w:rPr>
              <w:t>Repayment of borrowings and finance leases</w:t>
            </w:r>
          </w:p>
        </w:tc>
        <w:tc>
          <w:tcPr>
            <w:tcW w:w="56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3C55815" w14:textId="77777777">
            <w:pPr>
              <w:spacing w:after="0"/>
              <w:jc w:val="center"/>
              <w:rPr>
                <w:rFonts w:cs="Arial"/>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14D0E856" w14:textId="77777777">
            <w:pPr>
              <w:spacing w:after="0"/>
              <w:jc w:val="right"/>
              <w:rPr>
                <w:rFonts w:cs="Arial"/>
                <w:sz w:val="16"/>
                <w:szCs w:val="16"/>
              </w:rPr>
            </w:pPr>
            <w:r w:rsidRPr="00CC015F">
              <w:rPr>
                <w:rFonts w:cs="Arial"/>
                <w:sz w:val="16"/>
                <w:szCs w:val="16"/>
              </w:rPr>
              <w:t xml:space="preserve">(20,022)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CC015F" w:rsidR="00CC015F" w:rsidP="00CC015F" w:rsidRDefault="00CC015F" w14:paraId="2D6DE264" w14:textId="77777777">
            <w:pPr>
              <w:spacing w:after="0"/>
              <w:jc w:val="right"/>
              <w:rPr>
                <w:rFonts w:cs="Arial"/>
                <w:sz w:val="16"/>
                <w:szCs w:val="16"/>
              </w:rPr>
            </w:pPr>
            <w:r w:rsidRPr="00CC015F">
              <w:rPr>
                <w:rFonts w:cs="Arial"/>
                <w:sz w:val="16"/>
                <w:szCs w:val="16"/>
              </w:rPr>
              <w:t xml:space="preserve">(326,129) </w:t>
            </w:r>
          </w:p>
        </w:tc>
      </w:tr>
      <w:tr w:rsidRPr="00CC015F" w:rsidR="00CC015F" w:rsidTr="001F0679" w14:paraId="3E3C52BF" w14:textId="77777777">
        <w:tc>
          <w:tcPr>
            <w:tcW w:w="283" w:type="dxa"/>
            <w:tcBorders>
              <w:top w:val="nil"/>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D4887FB" w14:textId="77777777">
            <w:pPr>
              <w:spacing w:after="0"/>
              <w:rPr>
                <w:rFonts w:cs="Arial"/>
                <w:b/>
                <w:sz w:val="16"/>
                <w:szCs w:val="16"/>
                <w:lang w:val="en-US"/>
              </w:rPr>
            </w:pPr>
          </w:p>
        </w:tc>
        <w:tc>
          <w:tcPr>
            <w:tcW w:w="623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295AF47" w14:textId="77777777">
            <w:pPr>
              <w:spacing w:after="0"/>
              <w:rPr>
                <w:rFonts w:cs="Arial"/>
                <w:b/>
                <w:sz w:val="16"/>
                <w:szCs w:val="16"/>
              </w:rPr>
            </w:pPr>
            <w:r w:rsidRPr="00CC015F">
              <w:rPr>
                <w:rFonts w:cs="Arial"/>
                <w:b/>
                <w:sz w:val="16"/>
                <w:szCs w:val="16"/>
              </w:rPr>
              <w:t>Net cash flows from/(used in) financing activities</w:t>
            </w:r>
          </w:p>
        </w:tc>
        <w:tc>
          <w:tcPr>
            <w:tcW w:w="56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37223D1" w14:textId="77777777">
            <w:pPr>
              <w:spacing w:after="0"/>
              <w:jc w:val="center"/>
              <w:rPr>
                <w:rFonts w:cs="Arial"/>
                <w:b/>
                <w:sz w:val="16"/>
                <w:szCs w:val="16"/>
                <w:lang w:val="en-US"/>
              </w:rPr>
            </w:pP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6CD4C76A" w14:textId="77777777">
            <w:pPr>
              <w:spacing w:after="0"/>
              <w:jc w:val="right"/>
              <w:rPr>
                <w:rFonts w:cs="Arial"/>
                <w:b/>
                <w:sz w:val="16"/>
                <w:szCs w:val="16"/>
              </w:rPr>
            </w:pPr>
            <w:r w:rsidRPr="00CC015F">
              <w:rPr>
                <w:rFonts w:cs="Arial"/>
                <w:b/>
                <w:sz w:val="16"/>
                <w:szCs w:val="16"/>
              </w:rPr>
              <w:t xml:space="preserve">226,282 </w:t>
            </w:r>
          </w:p>
        </w:tc>
        <w:tc>
          <w:tcPr>
            <w:tcW w:w="1417" w:type="dxa"/>
            <w:tcBorders>
              <w:top w:val="single" w:color="000000" w:sz="6"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9F31A14" w14:textId="77777777">
            <w:pPr>
              <w:spacing w:after="0"/>
              <w:jc w:val="right"/>
              <w:rPr>
                <w:rFonts w:cs="Arial"/>
                <w:b/>
                <w:sz w:val="16"/>
                <w:szCs w:val="16"/>
              </w:rPr>
            </w:pPr>
            <w:r w:rsidRPr="00CC015F">
              <w:rPr>
                <w:rFonts w:cs="Arial"/>
                <w:b/>
                <w:sz w:val="16"/>
                <w:szCs w:val="16"/>
              </w:rPr>
              <w:t xml:space="preserve">38,529 </w:t>
            </w:r>
          </w:p>
        </w:tc>
      </w:tr>
      <w:tr w:rsidRPr="00CC015F" w:rsidR="00CC015F" w:rsidTr="001F0679" w14:paraId="026DF976"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B3F4F4A" w14:textId="77777777">
            <w:pPr>
              <w:spacing w:after="0"/>
              <w:rPr>
                <w:rFonts w:cs="Arial"/>
                <w:b/>
                <w:sz w:val="16"/>
                <w:szCs w:val="16"/>
              </w:rPr>
            </w:pPr>
            <w:r w:rsidRPr="00CC015F">
              <w:rPr>
                <w:rFonts w:cs="Arial"/>
                <w:b/>
                <w:sz w:val="16"/>
                <w:szCs w:val="16"/>
              </w:rPr>
              <w:t>Net increase/(decrease) in cash and cash equivalents</w:t>
            </w:r>
          </w:p>
        </w:tc>
        <w:tc>
          <w:tcPr>
            <w:tcW w:w="56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6D1A4EC"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3B0BFD0" w14:textId="77777777">
            <w:pPr>
              <w:spacing w:after="0"/>
              <w:jc w:val="right"/>
              <w:rPr>
                <w:rFonts w:cs="Arial"/>
                <w:b/>
                <w:sz w:val="16"/>
                <w:szCs w:val="16"/>
              </w:rPr>
            </w:pPr>
            <w:r w:rsidRPr="00CC015F">
              <w:rPr>
                <w:rFonts w:cs="Arial"/>
                <w:b/>
                <w:sz w:val="16"/>
                <w:szCs w:val="16"/>
              </w:rPr>
              <w:t xml:space="preserve">70,316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4EBB4C61" w14:textId="77777777">
            <w:pPr>
              <w:spacing w:after="0"/>
              <w:jc w:val="right"/>
              <w:rPr>
                <w:rFonts w:cs="Arial"/>
                <w:b/>
                <w:sz w:val="16"/>
                <w:szCs w:val="16"/>
              </w:rPr>
            </w:pPr>
            <w:r w:rsidRPr="00CC015F">
              <w:rPr>
                <w:rFonts w:cs="Arial"/>
                <w:b/>
                <w:sz w:val="16"/>
                <w:szCs w:val="16"/>
              </w:rPr>
              <w:t xml:space="preserve">731 </w:t>
            </w:r>
          </w:p>
        </w:tc>
      </w:tr>
      <w:tr w:rsidRPr="00CC015F" w:rsidR="00CC015F" w:rsidTr="001F0679" w14:paraId="60972CF8"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5007DDA3" w14:textId="77777777">
            <w:pPr>
              <w:spacing w:after="0"/>
              <w:rPr>
                <w:rFonts w:cs="Arial"/>
                <w:b/>
                <w:sz w:val="16"/>
                <w:szCs w:val="16"/>
              </w:rPr>
            </w:pPr>
            <w:r w:rsidRPr="00CC015F">
              <w:rPr>
                <w:rFonts w:cs="Arial"/>
                <w:b/>
                <w:sz w:val="16"/>
                <w:szCs w:val="16"/>
              </w:rPr>
              <w:t>Cash and cash equivalents at beginning of financial year</w:t>
            </w:r>
          </w:p>
        </w:tc>
        <w:tc>
          <w:tcPr>
            <w:tcW w:w="56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58CE91C7" w14:textId="77777777">
            <w:pPr>
              <w:spacing w:after="0"/>
              <w:jc w:val="center"/>
              <w:rPr>
                <w:rFonts w:cs="Arial"/>
                <w:b/>
                <w:sz w:val="16"/>
                <w:szCs w:val="16"/>
                <w:lang w:val="en-US"/>
              </w:rPr>
            </w:pP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07BB6ECA" w14:textId="77777777">
            <w:pPr>
              <w:spacing w:after="0"/>
              <w:jc w:val="right"/>
              <w:rPr>
                <w:rFonts w:cs="Arial"/>
                <w:b/>
                <w:sz w:val="16"/>
                <w:szCs w:val="16"/>
              </w:rPr>
            </w:pPr>
            <w:r w:rsidRPr="00CC015F">
              <w:rPr>
                <w:rFonts w:cs="Arial"/>
                <w:b/>
                <w:sz w:val="16"/>
                <w:szCs w:val="16"/>
              </w:rPr>
              <w:t xml:space="preserve">90,767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C95F9A6" w14:textId="77777777">
            <w:pPr>
              <w:spacing w:after="0"/>
              <w:jc w:val="right"/>
              <w:rPr>
                <w:rFonts w:cs="Arial"/>
                <w:b/>
                <w:sz w:val="16"/>
                <w:szCs w:val="16"/>
              </w:rPr>
            </w:pPr>
            <w:r w:rsidRPr="00CC015F">
              <w:rPr>
                <w:rFonts w:cs="Arial"/>
                <w:b/>
                <w:sz w:val="16"/>
                <w:szCs w:val="16"/>
              </w:rPr>
              <w:t xml:space="preserve">90,036 </w:t>
            </w:r>
          </w:p>
        </w:tc>
      </w:tr>
      <w:tr w:rsidRPr="00CC015F" w:rsidR="00CC015F" w:rsidTr="001F0679" w14:paraId="0C8231FA" w14:textId="77777777">
        <w:tc>
          <w:tcPr>
            <w:tcW w:w="6520" w:type="dxa"/>
            <w:gridSpan w:val="2"/>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22A513DE" w14:textId="77777777">
            <w:pPr>
              <w:spacing w:after="0"/>
              <w:rPr>
                <w:rFonts w:cs="Arial"/>
                <w:b/>
                <w:sz w:val="16"/>
                <w:szCs w:val="16"/>
              </w:rPr>
            </w:pPr>
            <w:r w:rsidRPr="00CC015F">
              <w:rPr>
                <w:rFonts w:cs="Arial"/>
                <w:b/>
                <w:sz w:val="16"/>
                <w:szCs w:val="16"/>
              </w:rPr>
              <w:t>Cash and cash equivalents at end of financial year</w:t>
            </w:r>
          </w:p>
        </w:tc>
        <w:tc>
          <w:tcPr>
            <w:tcW w:w="56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31F7E319" w14:textId="77777777">
            <w:pPr>
              <w:spacing w:after="0"/>
              <w:jc w:val="center"/>
              <w:rPr>
                <w:rFonts w:cs="Arial"/>
                <w:b/>
                <w:sz w:val="16"/>
                <w:szCs w:val="16"/>
              </w:rPr>
            </w:pPr>
            <w:r w:rsidRPr="00CC015F">
              <w:rPr>
                <w:rFonts w:cs="Arial"/>
                <w:b/>
                <w:sz w:val="16"/>
                <w:szCs w:val="16"/>
              </w:rPr>
              <w:t>7.3</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0DCFF972" w14:textId="77777777">
            <w:pPr>
              <w:spacing w:after="0"/>
              <w:jc w:val="right"/>
              <w:rPr>
                <w:rFonts w:cs="Arial"/>
                <w:b/>
                <w:sz w:val="16"/>
                <w:szCs w:val="16"/>
              </w:rPr>
            </w:pPr>
            <w:r w:rsidRPr="00CC015F">
              <w:rPr>
                <w:rFonts w:cs="Arial"/>
                <w:b/>
                <w:sz w:val="16"/>
                <w:szCs w:val="16"/>
              </w:rPr>
              <w:t xml:space="preserve">161,083 </w:t>
            </w:r>
          </w:p>
        </w:tc>
        <w:tc>
          <w:tcPr>
            <w:tcW w:w="1417" w:type="dxa"/>
            <w:tcBorders>
              <w:top w:val="single" w:color="000000" w:sz="12" w:space="0"/>
              <w:left w:val="nil"/>
              <w:bottom w:val="single" w:color="000000" w:sz="12" w:space="0"/>
              <w:right w:val="nil"/>
            </w:tcBorders>
            <w:tcMar>
              <w:top w:w="57" w:type="dxa"/>
              <w:left w:w="0" w:type="dxa"/>
              <w:bottom w:w="57" w:type="dxa"/>
              <w:right w:w="0" w:type="dxa"/>
            </w:tcMar>
            <w:vAlign w:val="bottom"/>
          </w:tcPr>
          <w:p w:rsidRPr="00CC015F" w:rsidR="00CC015F" w:rsidP="00CC015F" w:rsidRDefault="00CC015F" w14:paraId="7EA14933" w14:textId="77777777">
            <w:pPr>
              <w:spacing w:after="0"/>
              <w:jc w:val="right"/>
              <w:rPr>
                <w:rFonts w:cs="Arial"/>
                <w:b/>
                <w:sz w:val="16"/>
                <w:szCs w:val="16"/>
              </w:rPr>
            </w:pPr>
            <w:r w:rsidRPr="00CC015F">
              <w:rPr>
                <w:rFonts w:cs="Arial"/>
                <w:b/>
                <w:sz w:val="16"/>
                <w:szCs w:val="16"/>
              </w:rPr>
              <w:t xml:space="preserve">90,767 </w:t>
            </w:r>
          </w:p>
        </w:tc>
      </w:tr>
    </w:tbl>
    <w:p w:rsidRPr="00CC015F" w:rsidR="00CC015F" w:rsidP="00CC015F" w:rsidRDefault="00CC015F" w14:paraId="79C3EE74" w14:textId="77777777">
      <w:pPr>
        <w:pStyle w:val="notes"/>
        <w:spacing w:after="0"/>
      </w:pPr>
    </w:p>
    <w:p w:rsidRPr="00CC015F" w:rsidR="00CC015F" w:rsidP="00CC015F" w:rsidRDefault="00CC015F" w14:paraId="6C9FBF8A" w14:textId="77777777">
      <w:pPr>
        <w:pStyle w:val="notes"/>
        <w:spacing w:after="0"/>
      </w:pPr>
      <w:r w:rsidRPr="00CC015F">
        <w:t>(i) GST received from ATO is presented on a net basis.</w:t>
      </w:r>
    </w:p>
    <w:p w:rsidRPr="00CC015F" w:rsidR="00CC015F" w:rsidP="00CC015F" w:rsidRDefault="00CC015F" w14:paraId="47840473" w14:textId="77777777">
      <w:pPr>
        <w:pStyle w:val="notes"/>
        <w:spacing w:after="0"/>
        <w:rPr>
          <w:b/>
        </w:rPr>
      </w:pPr>
      <w:r w:rsidRPr="00CC015F">
        <w:rPr>
          <w:b/>
        </w:rPr>
        <w:t>The above cash flow statement should be read in conjunction with notes to the financial statements.</w:t>
      </w:r>
    </w:p>
    <w:p w:rsidR="001F0679" w:rsidRDefault="001F0679" w14:paraId="4C4D776E" w14:textId="74DFD4C8">
      <w:pPr>
        <w:spacing w:after="0"/>
        <w:rPr>
          <w:lang w:val="en-AU"/>
        </w:rPr>
      </w:pPr>
      <w:r>
        <w:rPr>
          <w:lang w:val="en-AU"/>
        </w:rPr>
        <w:br w:type="page"/>
      </w:r>
    </w:p>
    <w:p w:rsidRPr="001F0679" w:rsidR="001F0679" w:rsidP="001F0679" w:rsidRDefault="001F0679" w14:paraId="23F16DC5" w14:textId="77777777">
      <w:pPr>
        <w:pStyle w:val="Heading1"/>
      </w:pPr>
      <w:bookmarkStart w:id="13" w:name="_Toc21870901"/>
      <w:r w:rsidRPr="001F0679">
        <w:lastRenderedPageBreak/>
        <w:t>Statement of changes in equity</w:t>
      </w:r>
      <w:bookmarkEnd w:id="13"/>
    </w:p>
    <w:p w:rsidRPr="001F0679" w:rsidR="001F0679" w:rsidP="001F0679" w:rsidRDefault="001F0679" w14:paraId="0A5539F8" w14:textId="4935F49A">
      <w:r w:rsidRPr="001F0679">
        <w:t>For the financial year ended 30 June 2019</w:t>
      </w:r>
    </w:p>
    <w:tbl>
      <w:tblPr>
        <w:tblW w:w="0" w:type="auto"/>
        <w:tblLayout w:type="fixed"/>
        <w:tblCellMar>
          <w:left w:w="0" w:type="dxa"/>
          <w:right w:w="0" w:type="dxa"/>
        </w:tblCellMar>
        <w:tblLook w:firstRow="1" w:lastRow="0" w:firstColumn="0" w:lastColumn="0" w:noHBand="0" w:noVBand="0" w:val="0020"/>
      </w:tblPr>
      <w:tblGrid>
        <w:gridCol w:w="283"/>
        <w:gridCol w:w="4536"/>
        <w:gridCol w:w="624"/>
        <w:gridCol w:w="1133"/>
        <w:gridCol w:w="1248"/>
        <w:gridCol w:w="1077"/>
        <w:gridCol w:w="1020"/>
      </w:tblGrid>
      <w:tr w:rsidRPr="001F0679" w:rsidR="001F0679" w:rsidTr="001F0679" w14:paraId="721B29B8" w14:textId="77777777">
        <w:trPr>
          <w:tblHeader/>
        </w:trPr>
        <w:tc>
          <w:tcPr>
            <w:tcW w:w="9921" w:type="dxa"/>
            <w:gridSpan w:val="7"/>
            <w:tcBorders>
              <w:top w:val="nil"/>
              <w:left w:val="nil"/>
              <w:bottom w:val="single" w:color="000000" w:sz="6" w:space="0"/>
              <w:right w:val="nil"/>
            </w:tcBorders>
            <w:tcMar>
              <w:top w:w="57" w:type="dxa"/>
              <w:left w:w="0" w:type="dxa"/>
              <w:bottom w:w="57" w:type="dxa"/>
              <w:right w:w="0" w:type="dxa"/>
            </w:tcMar>
            <w:vAlign w:val="bottom"/>
          </w:tcPr>
          <w:p w:rsidRPr="001F0679" w:rsidR="001F0679" w:rsidP="00CC210C" w:rsidRDefault="001F0679" w14:paraId="029D92F3" w14:textId="77777777">
            <w:pPr>
              <w:spacing w:after="0"/>
              <w:jc w:val="right"/>
              <w:rPr>
                <w:rFonts w:cs="Arial"/>
                <w:b/>
                <w:sz w:val="16"/>
                <w:szCs w:val="16"/>
              </w:rPr>
            </w:pPr>
            <w:r w:rsidRPr="001F0679">
              <w:rPr>
                <w:rFonts w:cs="Arial"/>
                <w:b/>
                <w:sz w:val="16"/>
                <w:szCs w:val="16"/>
              </w:rPr>
              <w:t>($ thousand)</w:t>
            </w:r>
          </w:p>
        </w:tc>
      </w:tr>
      <w:tr w:rsidRPr="001F0679" w:rsidR="001F0679" w:rsidTr="001F0679" w14:paraId="017E0C68"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71C5D65" w14:textId="77777777">
            <w:pPr>
              <w:spacing w:after="0"/>
              <w:rPr>
                <w:rFonts w:cs="Arial"/>
                <w:b/>
                <w:sz w:val="16"/>
                <w:szCs w:val="16"/>
                <w:lang w:val="en-US"/>
              </w:rPr>
            </w:pPr>
          </w:p>
        </w:tc>
        <w:tc>
          <w:tcPr>
            <w:tcW w:w="4536"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637B319" w14:textId="77777777">
            <w:pPr>
              <w:spacing w:after="0"/>
              <w:rPr>
                <w:rFonts w:cs="Arial"/>
                <w:b/>
                <w:sz w:val="16"/>
                <w:szCs w:val="16"/>
                <w:lang w:val="en-US"/>
              </w:rPr>
            </w:pP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1DEA3E5" w14:textId="77777777">
            <w:pPr>
              <w:spacing w:after="0"/>
              <w:jc w:val="center"/>
              <w:rPr>
                <w:rFonts w:cs="Arial"/>
                <w:b/>
                <w:sz w:val="16"/>
                <w:szCs w:val="16"/>
              </w:rPr>
            </w:pPr>
            <w:r w:rsidRPr="001F0679">
              <w:rPr>
                <w:rFonts w:cs="Arial"/>
                <w:b/>
                <w:sz w:val="16"/>
                <w:szCs w:val="16"/>
              </w:rPr>
              <w:t>Note</w:t>
            </w: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5424B8E" w14:textId="77777777">
            <w:pPr>
              <w:spacing w:after="0"/>
              <w:jc w:val="right"/>
              <w:rPr>
                <w:rFonts w:cs="Arial"/>
                <w:b/>
                <w:sz w:val="16"/>
                <w:szCs w:val="16"/>
              </w:rPr>
            </w:pPr>
            <w:r w:rsidRPr="001F0679">
              <w:rPr>
                <w:rFonts w:cs="Arial"/>
                <w:b/>
                <w:sz w:val="16"/>
                <w:szCs w:val="16"/>
              </w:rPr>
              <w:t>Accumulated surplus / (deficit)</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7B59455F" w14:textId="77777777">
            <w:pPr>
              <w:spacing w:after="0"/>
              <w:jc w:val="right"/>
              <w:rPr>
                <w:rFonts w:cs="Arial"/>
                <w:b/>
                <w:sz w:val="16"/>
                <w:szCs w:val="16"/>
              </w:rPr>
            </w:pPr>
            <w:r w:rsidRPr="001F0679">
              <w:rPr>
                <w:rFonts w:cs="Arial"/>
                <w:b/>
                <w:sz w:val="16"/>
                <w:szCs w:val="16"/>
              </w:rPr>
              <w:t>Physical asset revaluation surplus</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AC755F5" w14:textId="77777777">
            <w:pPr>
              <w:spacing w:after="0"/>
              <w:jc w:val="right"/>
              <w:rPr>
                <w:rFonts w:cs="Arial"/>
                <w:b/>
                <w:sz w:val="16"/>
                <w:szCs w:val="16"/>
              </w:rPr>
            </w:pPr>
            <w:r w:rsidRPr="001F0679">
              <w:rPr>
                <w:rFonts w:cs="Arial"/>
                <w:b/>
                <w:sz w:val="16"/>
                <w:szCs w:val="16"/>
              </w:rPr>
              <w:t>Contributed capital</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C396900" w14:textId="77777777">
            <w:pPr>
              <w:spacing w:after="0"/>
              <w:jc w:val="right"/>
              <w:rPr>
                <w:rFonts w:cs="Arial"/>
                <w:b/>
                <w:sz w:val="16"/>
                <w:szCs w:val="16"/>
              </w:rPr>
            </w:pPr>
            <w:r w:rsidRPr="001F0679">
              <w:rPr>
                <w:rFonts w:cs="Arial"/>
                <w:b/>
                <w:sz w:val="16"/>
                <w:szCs w:val="16"/>
              </w:rPr>
              <w:t>Total</w:t>
            </w:r>
          </w:p>
        </w:tc>
      </w:tr>
      <w:tr w:rsidRPr="001F0679" w:rsidR="001F0679" w:rsidTr="001F0679" w14:paraId="3DA06895" w14:textId="77777777">
        <w:tc>
          <w:tcPr>
            <w:tcW w:w="4819"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BAE985E" w14:textId="77777777">
            <w:pPr>
              <w:spacing w:after="0"/>
              <w:rPr>
                <w:rFonts w:cs="Arial"/>
                <w:sz w:val="16"/>
                <w:szCs w:val="16"/>
              </w:rPr>
            </w:pPr>
            <w:r w:rsidRPr="001F0679">
              <w:rPr>
                <w:rFonts w:cs="Arial"/>
                <w:sz w:val="16"/>
                <w:szCs w:val="16"/>
              </w:rPr>
              <w:t>Balance at 1 July 2017</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4183CE5" w14:textId="77777777">
            <w:pPr>
              <w:spacing w:after="0"/>
              <w:jc w:val="center"/>
              <w:rPr>
                <w:rFonts w:cs="Arial"/>
                <w:sz w:val="16"/>
                <w:szCs w:val="16"/>
                <w:lang w:val="en-US"/>
              </w:rPr>
            </w:pP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0E4EDF7" w14:textId="77777777">
            <w:pPr>
              <w:spacing w:after="0"/>
              <w:jc w:val="right"/>
              <w:rPr>
                <w:rFonts w:cs="Arial"/>
                <w:sz w:val="16"/>
                <w:szCs w:val="16"/>
              </w:rPr>
            </w:pPr>
            <w:r w:rsidRPr="001F0679">
              <w:rPr>
                <w:rFonts w:cs="Arial"/>
                <w:sz w:val="16"/>
                <w:szCs w:val="16"/>
              </w:rPr>
              <w:t xml:space="preserve">1,084,784 </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989EF3A" w14:textId="77777777">
            <w:pPr>
              <w:spacing w:after="0"/>
              <w:jc w:val="right"/>
              <w:rPr>
                <w:rFonts w:cs="Arial"/>
                <w:sz w:val="16"/>
                <w:szCs w:val="16"/>
              </w:rPr>
            </w:pPr>
            <w:r w:rsidRPr="001F0679">
              <w:rPr>
                <w:rFonts w:cs="Arial"/>
                <w:sz w:val="16"/>
                <w:szCs w:val="16"/>
              </w:rPr>
              <w:t xml:space="preserve">660,534 </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BAB5D63" w14:textId="77777777">
            <w:pPr>
              <w:spacing w:after="0"/>
              <w:jc w:val="right"/>
              <w:rPr>
                <w:rFonts w:cs="Arial"/>
                <w:sz w:val="16"/>
                <w:szCs w:val="16"/>
              </w:rPr>
            </w:pPr>
            <w:r w:rsidRPr="001F0679">
              <w:rPr>
                <w:rFonts w:cs="Arial"/>
                <w:sz w:val="16"/>
                <w:szCs w:val="16"/>
              </w:rPr>
              <w:t xml:space="preserve">964,684 </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682A6638" w14:textId="77777777">
            <w:pPr>
              <w:spacing w:after="0"/>
              <w:jc w:val="right"/>
              <w:rPr>
                <w:rFonts w:cs="Arial"/>
                <w:sz w:val="16"/>
                <w:szCs w:val="16"/>
              </w:rPr>
            </w:pPr>
            <w:r w:rsidRPr="001F0679">
              <w:rPr>
                <w:rFonts w:cs="Arial"/>
                <w:sz w:val="16"/>
                <w:szCs w:val="16"/>
              </w:rPr>
              <w:t xml:space="preserve">2,710,002 </w:t>
            </w:r>
          </w:p>
        </w:tc>
      </w:tr>
      <w:tr w:rsidRPr="001F0679" w:rsidR="001F0679" w:rsidTr="001F0679" w14:paraId="2F018B5C" w14:textId="77777777">
        <w:tc>
          <w:tcPr>
            <w:tcW w:w="283"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4DD8E7BB" w14:textId="77777777">
            <w:pPr>
              <w:spacing w:after="0"/>
              <w:rPr>
                <w:rFonts w:cs="Arial"/>
                <w:sz w:val="16"/>
                <w:szCs w:val="16"/>
                <w:lang w:val="en-US"/>
              </w:rPr>
            </w:pPr>
          </w:p>
        </w:tc>
        <w:tc>
          <w:tcPr>
            <w:tcW w:w="4536"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153ED557" w14:textId="77777777">
            <w:pPr>
              <w:spacing w:after="0"/>
              <w:rPr>
                <w:rFonts w:cs="Arial"/>
                <w:sz w:val="16"/>
                <w:szCs w:val="16"/>
              </w:rPr>
            </w:pPr>
            <w:r w:rsidRPr="001F0679">
              <w:rPr>
                <w:rFonts w:cs="Arial"/>
                <w:sz w:val="16"/>
                <w:szCs w:val="16"/>
              </w:rPr>
              <w:t>Net result for year</w:t>
            </w:r>
          </w:p>
        </w:tc>
        <w:tc>
          <w:tcPr>
            <w:tcW w:w="624"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268B2D5E" w14:textId="77777777">
            <w:pPr>
              <w:spacing w:after="0"/>
              <w:jc w:val="center"/>
              <w:rPr>
                <w:rFonts w:cs="Arial"/>
                <w:sz w:val="16"/>
                <w:szCs w:val="16"/>
                <w:lang w:val="en-US"/>
              </w:rPr>
            </w:pPr>
          </w:p>
        </w:tc>
        <w:tc>
          <w:tcPr>
            <w:tcW w:w="1133"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445842EB" w14:textId="77777777">
            <w:pPr>
              <w:spacing w:after="0"/>
              <w:jc w:val="right"/>
              <w:rPr>
                <w:rFonts w:cs="Arial"/>
                <w:sz w:val="16"/>
                <w:szCs w:val="16"/>
              </w:rPr>
            </w:pPr>
            <w:r w:rsidRPr="001F0679">
              <w:rPr>
                <w:rFonts w:cs="Arial"/>
                <w:sz w:val="16"/>
                <w:szCs w:val="16"/>
              </w:rPr>
              <w:t xml:space="preserve">29,824 </w:t>
            </w:r>
          </w:p>
        </w:tc>
        <w:tc>
          <w:tcPr>
            <w:tcW w:w="1248"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090C0E10" w14:textId="77777777">
            <w:pPr>
              <w:spacing w:after="0"/>
              <w:jc w:val="right"/>
              <w:rPr>
                <w:rFonts w:cs="Arial"/>
                <w:sz w:val="16"/>
                <w:szCs w:val="16"/>
              </w:rPr>
            </w:pPr>
            <w:r w:rsidRPr="001F0679">
              <w:rPr>
                <w:rFonts w:cs="Arial"/>
                <w:sz w:val="16"/>
                <w:szCs w:val="16"/>
              </w:rPr>
              <w:t xml:space="preserve">0 </w:t>
            </w:r>
          </w:p>
        </w:tc>
        <w:tc>
          <w:tcPr>
            <w:tcW w:w="1077"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2E842360" w14:textId="77777777">
            <w:pPr>
              <w:spacing w:after="0"/>
              <w:jc w:val="right"/>
              <w:rPr>
                <w:rFonts w:cs="Arial"/>
                <w:sz w:val="16"/>
                <w:szCs w:val="16"/>
              </w:rPr>
            </w:pPr>
            <w:r w:rsidRPr="001F0679">
              <w:rPr>
                <w:rFonts w:cs="Arial"/>
                <w:sz w:val="16"/>
                <w:szCs w:val="16"/>
              </w:rPr>
              <w:t xml:space="preserve">0 </w:t>
            </w:r>
          </w:p>
        </w:tc>
        <w:tc>
          <w:tcPr>
            <w:tcW w:w="1020"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1E4DF01F" w14:textId="77777777">
            <w:pPr>
              <w:spacing w:after="0"/>
              <w:jc w:val="right"/>
              <w:rPr>
                <w:rFonts w:cs="Arial"/>
                <w:sz w:val="16"/>
                <w:szCs w:val="16"/>
              </w:rPr>
            </w:pPr>
            <w:r w:rsidRPr="001F0679">
              <w:rPr>
                <w:rFonts w:cs="Arial"/>
                <w:sz w:val="16"/>
                <w:szCs w:val="16"/>
              </w:rPr>
              <w:t xml:space="preserve">29,824 </w:t>
            </w:r>
          </w:p>
        </w:tc>
      </w:tr>
      <w:tr w:rsidRPr="001F0679" w:rsidR="001F0679" w:rsidTr="001F0679" w14:paraId="116246B2"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694C27CE"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299FEC71" w14:textId="77777777">
            <w:pPr>
              <w:spacing w:after="0"/>
              <w:rPr>
                <w:rFonts w:cs="Arial"/>
                <w:sz w:val="16"/>
                <w:szCs w:val="16"/>
              </w:rPr>
            </w:pPr>
            <w:r w:rsidRPr="001F0679">
              <w:rPr>
                <w:rFonts w:cs="Arial"/>
                <w:sz w:val="16"/>
                <w:szCs w:val="16"/>
              </w:rPr>
              <w:t>Other comprehensive income for year</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73E8663"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34B66DEA"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55A37DDA" w14:textId="77777777">
            <w:pPr>
              <w:spacing w:after="0"/>
              <w:jc w:val="right"/>
              <w:rPr>
                <w:rFonts w:cs="Arial"/>
                <w:sz w:val="16"/>
                <w:szCs w:val="16"/>
              </w:rPr>
            </w:pPr>
            <w:r w:rsidRPr="001F0679">
              <w:rPr>
                <w:rFonts w:cs="Arial"/>
                <w:sz w:val="16"/>
                <w:szCs w:val="16"/>
              </w:rPr>
              <w:t xml:space="preserve">(48,984)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C1FF7D9" w14:textId="77777777">
            <w:pPr>
              <w:spacing w:after="0"/>
              <w:jc w:val="right"/>
              <w:rPr>
                <w:rFonts w:cs="Arial"/>
                <w:sz w:val="16"/>
                <w:szCs w:val="16"/>
              </w:rPr>
            </w:pPr>
            <w:r w:rsidRPr="001F0679">
              <w:rPr>
                <w:rFonts w:cs="Arial"/>
                <w:sz w:val="16"/>
                <w:szCs w:val="16"/>
              </w:rPr>
              <w:t xml:space="preserve">0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1742FFF" w14:textId="77777777">
            <w:pPr>
              <w:spacing w:after="0"/>
              <w:jc w:val="right"/>
              <w:rPr>
                <w:rFonts w:cs="Arial"/>
                <w:sz w:val="16"/>
                <w:szCs w:val="16"/>
              </w:rPr>
            </w:pPr>
            <w:r w:rsidRPr="001F0679">
              <w:rPr>
                <w:rFonts w:cs="Arial"/>
                <w:sz w:val="16"/>
                <w:szCs w:val="16"/>
              </w:rPr>
              <w:t xml:space="preserve">(48,984) </w:t>
            </w:r>
          </w:p>
        </w:tc>
      </w:tr>
      <w:tr w:rsidRPr="001F0679" w:rsidR="001F0679" w:rsidTr="001F0679" w14:paraId="3E9BDC56"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023ED44A"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3F62C225" w14:textId="77777777">
            <w:pPr>
              <w:spacing w:after="0"/>
              <w:rPr>
                <w:rFonts w:cs="Arial"/>
                <w:sz w:val="16"/>
                <w:szCs w:val="16"/>
              </w:rPr>
            </w:pPr>
            <w:r w:rsidRPr="001F0679">
              <w:rPr>
                <w:rFonts w:cs="Arial"/>
                <w:sz w:val="16"/>
                <w:szCs w:val="16"/>
              </w:rPr>
              <w:t>Capital appropriations</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ABEE62D"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89129F0"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4028AA5"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08DA718" w14:textId="77777777">
            <w:pPr>
              <w:spacing w:after="0"/>
              <w:jc w:val="right"/>
              <w:rPr>
                <w:rFonts w:cs="Arial"/>
                <w:sz w:val="16"/>
                <w:szCs w:val="16"/>
              </w:rPr>
            </w:pPr>
            <w:r w:rsidRPr="001F0679">
              <w:rPr>
                <w:rFonts w:cs="Arial"/>
                <w:sz w:val="16"/>
                <w:szCs w:val="16"/>
              </w:rPr>
              <w:t xml:space="preserve">611,379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55024AE" w14:textId="77777777">
            <w:pPr>
              <w:spacing w:after="0"/>
              <w:jc w:val="right"/>
              <w:rPr>
                <w:rFonts w:cs="Arial"/>
                <w:sz w:val="16"/>
                <w:szCs w:val="16"/>
              </w:rPr>
            </w:pPr>
            <w:r w:rsidRPr="001F0679">
              <w:rPr>
                <w:rFonts w:cs="Arial"/>
                <w:sz w:val="16"/>
                <w:szCs w:val="16"/>
              </w:rPr>
              <w:t xml:space="preserve">611,379 </w:t>
            </w:r>
          </w:p>
        </w:tc>
      </w:tr>
      <w:tr w:rsidRPr="001F0679" w:rsidR="001F0679" w:rsidTr="001F0679" w14:paraId="0625CF93"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C60A0C3"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22044AA8" w14:textId="77777777">
            <w:pPr>
              <w:spacing w:after="0"/>
              <w:rPr>
                <w:rFonts w:cs="Arial"/>
                <w:sz w:val="16"/>
                <w:szCs w:val="16"/>
              </w:rPr>
            </w:pPr>
            <w:r w:rsidRPr="001F0679">
              <w:rPr>
                <w:rFonts w:cs="Arial"/>
                <w:sz w:val="16"/>
                <w:szCs w:val="16"/>
              </w:rPr>
              <w:t>Capital contribution passed onto agencies within Justice Portfolio</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9B0E593"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32640A60"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2EED3C6"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5F3F3708" w14:textId="77777777">
            <w:pPr>
              <w:spacing w:after="0"/>
              <w:jc w:val="right"/>
              <w:rPr>
                <w:rFonts w:cs="Arial"/>
                <w:sz w:val="16"/>
                <w:szCs w:val="16"/>
              </w:rPr>
            </w:pPr>
            <w:r w:rsidRPr="001F0679">
              <w:rPr>
                <w:rFonts w:cs="Arial"/>
                <w:sz w:val="16"/>
                <w:szCs w:val="16"/>
              </w:rPr>
              <w:t xml:space="preserve">(53,727)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72F2186" w14:textId="77777777">
            <w:pPr>
              <w:spacing w:after="0"/>
              <w:jc w:val="right"/>
              <w:rPr>
                <w:rFonts w:cs="Arial"/>
                <w:sz w:val="16"/>
                <w:szCs w:val="16"/>
              </w:rPr>
            </w:pPr>
            <w:r w:rsidRPr="001F0679">
              <w:rPr>
                <w:rFonts w:cs="Arial"/>
                <w:sz w:val="16"/>
                <w:szCs w:val="16"/>
              </w:rPr>
              <w:t xml:space="preserve">(53,727) </w:t>
            </w:r>
          </w:p>
        </w:tc>
      </w:tr>
      <w:tr w:rsidRPr="001F0679" w:rsidR="001F0679" w:rsidTr="001F0679" w14:paraId="477E487B"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7398EF39" w14:textId="77777777">
            <w:pPr>
              <w:spacing w:after="0"/>
              <w:rPr>
                <w:rFonts w:cs="Arial"/>
                <w:sz w:val="16"/>
                <w:szCs w:val="16"/>
                <w:lang w:val="en-US"/>
              </w:rPr>
            </w:pPr>
          </w:p>
        </w:tc>
        <w:tc>
          <w:tcPr>
            <w:tcW w:w="4536"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D1E6015" w14:textId="77777777">
            <w:pPr>
              <w:spacing w:after="0"/>
              <w:rPr>
                <w:rFonts w:cs="Arial"/>
                <w:sz w:val="16"/>
                <w:szCs w:val="16"/>
              </w:rPr>
            </w:pPr>
            <w:r w:rsidRPr="001F0679">
              <w:rPr>
                <w:rFonts w:cs="Arial"/>
                <w:sz w:val="16"/>
                <w:szCs w:val="16"/>
              </w:rPr>
              <w:t>Equity transfer within government</w:t>
            </w:r>
          </w:p>
        </w:tc>
        <w:tc>
          <w:tcPr>
            <w:tcW w:w="624"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158E191" w14:textId="77777777">
            <w:pPr>
              <w:spacing w:after="0"/>
              <w:jc w:val="center"/>
              <w:rPr>
                <w:rFonts w:cs="Arial"/>
                <w:sz w:val="16"/>
                <w:szCs w:val="16"/>
                <w:lang w:val="en-US"/>
              </w:rPr>
            </w:pPr>
          </w:p>
        </w:tc>
        <w:tc>
          <w:tcPr>
            <w:tcW w:w="1133"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69D24CA4"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3D32F08"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7C01EA0" w14:textId="77777777">
            <w:pPr>
              <w:spacing w:after="0"/>
              <w:jc w:val="right"/>
              <w:rPr>
                <w:rFonts w:cs="Arial"/>
                <w:sz w:val="16"/>
                <w:szCs w:val="16"/>
              </w:rPr>
            </w:pPr>
            <w:r w:rsidRPr="001F0679">
              <w:rPr>
                <w:rFonts w:cs="Arial"/>
                <w:sz w:val="16"/>
                <w:szCs w:val="16"/>
              </w:rPr>
              <w:t xml:space="preserve">(192,994) </w:t>
            </w:r>
          </w:p>
        </w:tc>
        <w:tc>
          <w:tcPr>
            <w:tcW w:w="1020"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0639600" w14:textId="77777777">
            <w:pPr>
              <w:spacing w:after="0"/>
              <w:jc w:val="right"/>
              <w:rPr>
                <w:rFonts w:cs="Arial"/>
                <w:sz w:val="16"/>
                <w:szCs w:val="16"/>
              </w:rPr>
            </w:pPr>
            <w:r w:rsidRPr="001F0679">
              <w:rPr>
                <w:rFonts w:cs="Arial"/>
                <w:sz w:val="16"/>
                <w:szCs w:val="16"/>
              </w:rPr>
              <w:t xml:space="preserve">(192,994) </w:t>
            </w:r>
          </w:p>
        </w:tc>
      </w:tr>
      <w:tr w:rsidRPr="001F0679" w:rsidR="001F0679" w:rsidTr="001F0679" w14:paraId="735B41CE" w14:textId="77777777">
        <w:tc>
          <w:tcPr>
            <w:tcW w:w="4819"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2AF5F4A" w14:textId="77777777">
            <w:pPr>
              <w:spacing w:after="0"/>
              <w:rPr>
                <w:rFonts w:cs="Arial"/>
                <w:b/>
                <w:sz w:val="16"/>
                <w:szCs w:val="16"/>
              </w:rPr>
            </w:pPr>
            <w:r w:rsidRPr="001F0679">
              <w:rPr>
                <w:rFonts w:cs="Arial"/>
                <w:b/>
                <w:sz w:val="16"/>
                <w:szCs w:val="16"/>
              </w:rPr>
              <w:t>Balance at 30 June 2018</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CE77419" w14:textId="77777777">
            <w:pPr>
              <w:spacing w:after="0"/>
              <w:jc w:val="center"/>
              <w:rPr>
                <w:rFonts w:cs="Arial"/>
                <w:b/>
                <w:sz w:val="16"/>
                <w:szCs w:val="16"/>
                <w:lang w:val="en-US"/>
              </w:rPr>
            </w:pP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65DB13B" w14:textId="77777777">
            <w:pPr>
              <w:spacing w:after="0"/>
              <w:jc w:val="right"/>
              <w:rPr>
                <w:rFonts w:cs="Arial"/>
                <w:b/>
                <w:sz w:val="16"/>
                <w:szCs w:val="16"/>
              </w:rPr>
            </w:pPr>
            <w:r w:rsidRPr="001F0679">
              <w:rPr>
                <w:rFonts w:cs="Arial"/>
                <w:b/>
                <w:sz w:val="16"/>
                <w:szCs w:val="16"/>
              </w:rPr>
              <w:t xml:space="preserve">1,114,608 </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3650F96" w14:textId="77777777">
            <w:pPr>
              <w:spacing w:after="0"/>
              <w:jc w:val="right"/>
              <w:rPr>
                <w:rFonts w:cs="Arial"/>
                <w:b/>
                <w:sz w:val="16"/>
                <w:szCs w:val="16"/>
              </w:rPr>
            </w:pPr>
            <w:r w:rsidRPr="001F0679">
              <w:rPr>
                <w:rFonts w:cs="Arial"/>
                <w:b/>
                <w:sz w:val="16"/>
                <w:szCs w:val="16"/>
              </w:rPr>
              <w:t xml:space="preserve">611,550 </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2713973B" w14:textId="77777777">
            <w:pPr>
              <w:spacing w:after="0"/>
              <w:jc w:val="right"/>
              <w:rPr>
                <w:rFonts w:cs="Arial"/>
                <w:b/>
                <w:sz w:val="16"/>
                <w:szCs w:val="16"/>
              </w:rPr>
            </w:pPr>
            <w:r w:rsidRPr="001F0679">
              <w:rPr>
                <w:rFonts w:cs="Arial"/>
                <w:b/>
                <w:sz w:val="16"/>
                <w:szCs w:val="16"/>
              </w:rPr>
              <w:t xml:space="preserve">1,329,342 </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59D6C94" w14:textId="77777777">
            <w:pPr>
              <w:spacing w:after="0"/>
              <w:jc w:val="right"/>
              <w:rPr>
                <w:rFonts w:cs="Arial"/>
                <w:b/>
                <w:sz w:val="16"/>
                <w:szCs w:val="16"/>
              </w:rPr>
            </w:pPr>
            <w:r w:rsidRPr="001F0679">
              <w:rPr>
                <w:rFonts w:cs="Arial"/>
                <w:b/>
                <w:sz w:val="16"/>
                <w:szCs w:val="16"/>
              </w:rPr>
              <w:t xml:space="preserve">3,055,500 </w:t>
            </w:r>
          </w:p>
        </w:tc>
      </w:tr>
      <w:tr w:rsidRPr="001F0679" w:rsidR="001F0679" w:rsidTr="001F0679" w14:paraId="221DDDC8" w14:textId="77777777">
        <w:tc>
          <w:tcPr>
            <w:tcW w:w="4819"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EF86616" w14:textId="77777777">
            <w:pPr>
              <w:spacing w:after="0"/>
              <w:rPr>
                <w:rFonts w:cs="Arial"/>
                <w:sz w:val="16"/>
                <w:szCs w:val="16"/>
              </w:rPr>
            </w:pPr>
            <w:r w:rsidRPr="001F0679">
              <w:rPr>
                <w:rFonts w:cs="Arial"/>
                <w:sz w:val="16"/>
                <w:szCs w:val="16"/>
              </w:rPr>
              <w:t>Change in accounting policy</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6A712358" w14:textId="77777777">
            <w:pPr>
              <w:spacing w:after="0"/>
              <w:jc w:val="center"/>
              <w:rPr>
                <w:rFonts w:cs="Arial"/>
                <w:sz w:val="16"/>
                <w:szCs w:val="16"/>
              </w:rPr>
            </w:pPr>
            <w:r w:rsidRPr="001F0679">
              <w:rPr>
                <w:rFonts w:cs="Arial"/>
                <w:sz w:val="16"/>
                <w:szCs w:val="16"/>
              </w:rPr>
              <w:t>9.5</w:t>
            </w: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165E081" w14:textId="77777777">
            <w:pPr>
              <w:spacing w:after="0"/>
              <w:jc w:val="right"/>
              <w:rPr>
                <w:rFonts w:cs="Arial"/>
                <w:sz w:val="16"/>
                <w:szCs w:val="16"/>
              </w:rPr>
            </w:pPr>
            <w:r w:rsidRPr="001F0679">
              <w:rPr>
                <w:rFonts w:cs="Arial"/>
                <w:sz w:val="16"/>
                <w:szCs w:val="16"/>
              </w:rPr>
              <w:t xml:space="preserve">(1,111) </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C62802B" w14:textId="77777777">
            <w:pPr>
              <w:spacing w:after="0"/>
              <w:jc w:val="right"/>
              <w:rPr>
                <w:rFonts w:cs="Arial"/>
                <w:sz w:val="16"/>
                <w:szCs w:val="16"/>
              </w:rPr>
            </w:pPr>
            <w:r w:rsidRPr="001F0679">
              <w:rPr>
                <w:rFonts w:cs="Arial"/>
                <w:sz w:val="16"/>
                <w:szCs w:val="16"/>
              </w:rPr>
              <w:t xml:space="preserve">0 </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9DBBA27" w14:textId="77777777">
            <w:pPr>
              <w:spacing w:after="0"/>
              <w:jc w:val="right"/>
              <w:rPr>
                <w:rFonts w:cs="Arial"/>
                <w:sz w:val="16"/>
                <w:szCs w:val="16"/>
              </w:rPr>
            </w:pPr>
            <w:r w:rsidRPr="001F0679">
              <w:rPr>
                <w:rFonts w:cs="Arial"/>
                <w:sz w:val="16"/>
                <w:szCs w:val="16"/>
              </w:rPr>
              <w:t xml:space="preserve">0 </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D813D6A" w14:textId="77777777">
            <w:pPr>
              <w:spacing w:after="0"/>
              <w:jc w:val="right"/>
              <w:rPr>
                <w:rFonts w:cs="Arial"/>
                <w:sz w:val="16"/>
                <w:szCs w:val="16"/>
              </w:rPr>
            </w:pPr>
            <w:r w:rsidRPr="001F0679">
              <w:rPr>
                <w:rFonts w:cs="Arial"/>
                <w:sz w:val="16"/>
                <w:szCs w:val="16"/>
              </w:rPr>
              <w:t xml:space="preserve">(1,111) </w:t>
            </w:r>
          </w:p>
        </w:tc>
      </w:tr>
      <w:tr w:rsidRPr="001F0679" w:rsidR="001F0679" w:rsidTr="001F0679" w14:paraId="307B3B79" w14:textId="77777777">
        <w:tc>
          <w:tcPr>
            <w:tcW w:w="4819"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6ED20610" w14:textId="77777777">
            <w:pPr>
              <w:spacing w:after="0"/>
              <w:rPr>
                <w:rFonts w:cs="Arial"/>
                <w:b/>
                <w:sz w:val="16"/>
                <w:szCs w:val="16"/>
              </w:rPr>
            </w:pPr>
            <w:r w:rsidRPr="001F0679">
              <w:rPr>
                <w:rFonts w:cs="Arial"/>
                <w:b/>
                <w:sz w:val="16"/>
                <w:szCs w:val="16"/>
              </w:rPr>
              <w:t>Restated balance at 1 July 2018</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A3F8DCD" w14:textId="77777777">
            <w:pPr>
              <w:spacing w:after="0"/>
              <w:jc w:val="center"/>
              <w:rPr>
                <w:rFonts w:cs="Arial"/>
                <w:b/>
                <w:sz w:val="16"/>
                <w:szCs w:val="16"/>
                <w:lang w:val="en-US"/>
              </w:rPr>
            </w:pP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32F99DC" w14:textId="77777777">
            <w:pPr>
              <w:spacing w:after="0"/>
              <w:jc w:val="right"/>
              <w:rPr>
                <w:rFonts w:cs="Arial"/>
                <w:b/>
                <w:sz w:val="16"/>
                <w:szCs w:val="16"/>
              </w:rPr>
            </w:pPr>
            <w:r w:rsidRPr="001F0679">
              <w:rPr>
                <w:rFonts w:cs="Arial"/>
                <w:b/>
                <w:sz w:val="16"/>
                <w:szCs w:val="16"/>
              </w:rPr>
              <w:t xml:space="preserve">1,113,497 </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42E6318" w14:textId="77777777">
            <w:pPr>
              <w:spacing w:after="0"/>
              <w:jc w:val="right"/>
              <w:rPr>
                <w:rFonts w:cs="Arial"/>
                <w:b/>
                <w:sz w:val="16"/>
                <w:szCs w:val="16"/>
              </w:rPr>
            </w:pPr>
            <w:r w:rsidRPr="001F0679">
              <w:rPr>
                <w:rFonts w:cs="Arial"/>
                <w:b/>
                <w:sz w:val="16"/>
                <w:szCs w:val="16"/>
              </w:rPr>
              <w:t xml:space="preserve">611,550 </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29C3ED9" w14:textId="77777777">
            <w:pPr>
              <w:spacing w:after="0"/>
              <w:jc w:val="right"/>
              <w:rPr>
                <w:rFonts w:cs="Arial"/>
                <w:b/>
                <w:sz w:val="16"/>
                <w:szCs w:val="16"/>
              </w:rPr>
            </w:pPr>
            <w:r w:rsidRPr="001F0679">
              <w:rPr>
                <w:rFonts w:cs="Arial"/>
                <w:b/>
                <w:sz w:val="16"/>
                <w:szCs w:val="16"/>
              </w:rPr>
              <w:t xml:space="preserve">1,329,342 </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4F23EE56" w14:textId="77777777">
            <w:pPr>
              <w:spacing w:after="0"/>
              <w:jc w:val="right"/>
              <w:rPr>
                <w:rFonts w:cs="Arial"/>
                <w:b/>
                <w:sz w:val="16"/>
                <w:szCs w:val="16"/>
              </w:rPr>
            </w:pPr>
            <w:r w:rsidRPr="001F0679">
              <w:rPr>
                <w:rFonts w:cs="Arial"/>
                <w:b/>
                <w:sz w:val="16"/>
                <w:szCs w:val="16"/>
              </w:rPr>
              <w:t xml:space="preserve">3,054,389 </w:t>
            </w:r>
          </w:p>
        </w:tc>
      </w:tr>
      <w:tr w:rsidRPr="001F0679" w:rsidR="001F0679" w:rsidTr="001F0679" w14:paraId="47736C45" w14:textId="77777777">
        <w:tc>
          <w:tcPr>
            <w:tcW w:w="283"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02A56FD2" w14:textId="77777777">
            <w:pPr>
              <w:spacing w:after="0"/>
              <w:rPr>
                <w:rFonts w:cs="Arial"/>
                <w:sz w:val="16"/>
                <w:szCs w:val="16"/>
                <w:lang w:val="en-US"/>
              </w:rPr>
            </w:pPr>
          </w:p>
        </w:tc>
        <w:tc>
          <w:tcPr>
            <w:tcW w:w="4536"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1FBF7D1E" w14:textId="77777777">
            <w:pPr>
              <w:spacing w:after="0"/>
              <w:rPr>
                <w:rFonts w:cs="Arial"/>
                <w:sz w:val="16"/>
                <w:szCs w:val="16"/>
              </w:rPr>
            </w:pPr>
            <w:r w:rsidRPr="001F0679">
              <w:rPr>
                <w:rFonts w:cs="Arial"/>
                <w:sz w:val="16"/>
                <w:szCs w:val="16"/>
              </w:rPr>
              <w:t>Net result for year</w:t>
            </w:r>
          </w:p>
        </w:tc>
        <w:tc>
          <w:tcPr>
            <w:tcW w:w="624"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102FB9BA" w14:textId="77777777">
            <w:pPr>
              <w:spacing w:after="0"/>
              <w:jc w:val="center"/>
              <w:rPr>
                <w:rFonts w:cs="Arial"/>
                <w:sz w:val="16"/>
                <w:szCs w:val="16"/>
                <w:lang w:val="en-US"/>
              </w:rPr>
            </w:pPr>
          </w:p>
        </w:tc>
        <w:tc>
          <w:tcPr>
            <w:tcW w:w="1133"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11F4C62D" w14:textId="77777777">
            <w:pPr>
              <w:spacing w:after="0"/>
              <w:jc w:val="right"/>
              <w:rPr>
                <w:rFonts w:cs="Arial"/>
                <w:sz w:val="16"/>
                <w:szCs w:val="16"/>
              </w:rPr>
            </w:pPr>
            <w:r w:rsidRPr="001F0679">
              <w:rPr>
                <w:rFonts w:cs="Arial"/>
                <w:sz w:val="16"/>
                <w:szCs w:val="16"/>
              </w:rPr>
              <w:t xml:space="preserve">(25,894) </w:t>
            </w:r>
          </w:p>
        </w:tc>
        <w:tc>
          <w:tcPr>
            <w:tcW w:w="1248"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76636943" w14:textId="77777777">
            <w:pPr>
              <w:spacing w:after="0"/>
              <w:jc w:val="right"/>
              <w:rPr>
                <w:rFonts w:cs="Arial"/>
                <w:sz w:val="16"/>
                <w:szCs w:val="16"/>
              </w:rPr>
            </w:pPr>
            <w:r w:rsidRPr="001F0679">
              <w:rPr>
                <w:rFonts w:cs="Arial"/>
                <w:sz w:val="16"/>
                <w:szCs w:val="16"/>
              </w:rPr>
              <w:t xml:space="preserve">0 </w:t>
            </w:r>
          </w:p>
        </w:tc>
        <w:tc>
          <w:tcPr>
            <w:tcW w:w="1077"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5ECA2307" w14:textId="77777777">
            <w:pPr>
              <w:spacing w:after="0"/>
              <w:jc w:val="right"/>
              <w:rPr>
                <w:rFonts w:cs="Arial"/>
                <w:sz w:val="16"/>
                <w:szCs w:val="16"/>
              </w:rPr>
            </w:pPr>
            <w:r w:rsidRPr="001F0679">
              <w:rPr>
                <w:rFonts w:cs="Arial"/>
                <w:sz w:val="16"/>
                <w:szCs w:val="16"/>
              </w:rPr>
              <w:t xml:space="preserve">0 </w:t>
            </w:r>
          </w:p>
        </w:tc>
        <w:tc>
          <w:tcPr>
            <w:tcW w:w="1020" w:type="dxa"/>
            <w:tcBorders>
              <w:top w:val="single" w:color="000000" w:sz="6" w:space="0"/>
              <w:left w:val="nil"/>
              <w:bottom w:val="nil"/>
              <w:right w:val="nil"/>
            </w:tcBorders>
            <w:tcMar>
              <w:top w:w="57" w:type="dxa"/>
              <w:left w:w="0" w:type="dxa"/>
              <w:bottom w:w="57" w:type="dxa"/>
              <w:right w:w="0" w:type="dxa"/>
            </w:tcMar>
            <w:vAlign w:val="bottom"/>
          </w:tcPr>
          <w:p w:rsidRPr="001F0679" w:rsidR="001F0679" w:rsidP="001F0679" w:rsidRDefault="001F0679" w14:paraId="0BAEAEC5" w14:textId="77777777">
            <w:pPr>
              <w:spacing w:after="0"/>
              <w:jc w:val="right"/>
              <w:rPr>
                <w:rFonts w:cs="Arial"/>
                <w:sz w:val="16"/>
                <w:szCs w:val="16"/>
              </w:rPr>
            </w:pPr>
            <w:r w:rsidRPr="001F0679">
              <w:rPr>
                <w:rFonts w:cs="Arial"/>
                <w:sz w:val="16"/>
                <w:szCs w:val="16"/>
              </w:rPr>
              <w:t xml:space="preserve">(25,894) </w:t>
            </w:r>
          </w:p>
        </w:tc>
      </w:tr>
      <w:tr w:rsidRPr="001F0679" w:rsidR="001F0679" w:rsidTr="001F0679" w14:paraId="34534C3B"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320D6F74"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8798D8E" w14:textId="77777777">
            <w:pPr>
              <w:spacing w:after="0"/>
              <w:rPr>
                <w:rFonts w:cs="Arial"/>
                <w:sz w:val="16"/>
                <w:szCs w:val="16"/>
              </w:rPr>
            </w:pPr>
            <w:r w:rsidRPr="001F0679">
              <w:rPr>
                <w:rFonts w:cs="Arial"/>
                <w:sz w:val="16"/>
                <w:szCs w:val="16"/>
              </w:rPr>
              <w:t>Other comprehensive income for year</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A38674F"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60E04306"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6782ACD"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B0ECA59" w14:textId="77777777">
            <w:pPr>
              <w:spacing w:after="0"/>
              <w:jc w:val="right"/>
              <w:rPr>
                <w:rFonts w:cs="Arial"/>
                <w:sz w:val="16"/>
                <w:szCs w:val="16"/>
              </w:rPr>
            </w:pPr>
            <w:r w:rsidRPr="001F0679">
              <w:rPr>
                <w:rFonts w:cs="Arial"/>
                <w:sz w:val="16"/>
                <w:szCs w:val="16"/>
              </w:rPr>
              <w:t xml:space="preserve">0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217583F0" w14:textId="77777777">
            <w:pPr>
              <w:spacing w:after="0"/>
              <w:jc w:val="right"/>
              <w:rPr>
                <w:rFonts w:cs="Arial"/>
                <w:sz w:val="16"/>
                <w:szCs w:val="16"/>
              </w:rPr>
            </w:pPr>
            <w:r w:rsidRPr="001F0679">
              <w:rPr>
                <w:rFonts w:cs="Arial"/>
                <w:sz w:val="16"/>
                <w:szCs w:val="16"/>
              </w:rPr>
              <w:t xml:space="preserve">0 </w:t>
            </w:r>
          </w:p>
        </w:tc>
      </w:tr>
      <w:tr w:rsidRPr="001F0679" w:rsidR="001F0679" w:rsidTr="001F0679" w14:paraId="5F1022AA"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AA03631"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6F4BEFEE" w14:textId="77777777">
            <w:pPr>
              <w:spacing w:after="0"/>
              <w:rPr>
                <w:rFonts w:cs="Arial"/>
                <w:sz w:val="16"/>
                <w:szCs w:val="16"/>
              </w:rPr>
            </w:pPr>
            <w:r w:rsidRPr="001F0679">
              <w:rPr>
                <w:rFonts w:cs="Arial"/>
                <w:sz w:val="16"/>
                <w:szCs w:val="16"/>
              </w:rPr>
              <w:t>Capital appropriations</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F4080A9"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894AF54"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B1724D8"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1ED7212" w14:textId="77777777">
            <w:pPr>
              <w:spacing w:after="0"/>
              <w:jc w:val="right"/>
              <w:rPr>
                <w:rFonts w:cs="Arial"/>
                <w:sz w:val="16"/>
                <w:szCs w:val="16"/>
              </w:rPr>
            </w:pPr>
            <w:r w:rsidRPr="001F0679">
              <w:rPr>
                <w:rFonts w:cs="Arial"/>
                <w:sz w:val="16"/>
                <w:szCs w:val="16"/>
              </w:rPr>
              <w:t xml:space="preserve">340,045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4D3E0344" w14:textId="77777777">
            <w:pPr>
              <w:spacing w:after="0"/>
              <w:jc w:val="right"/>
              <w:rPr>
                <w:rFonts w:cs="Arial"/>
                <w:sz w:val="16"/>
                <w:szCs w:val="16"/>
              </w:rPr>
            </w:pPr>
            <w:r w:rsidRPr="001F0679">
              <w:rPr>
                <w:rFonts w:cs="Arial"/>
                <w:sz w:val="16"/>
                <w:szCs w:val="16"/>
              </w:rPr>
              <w:t xml:space="preserve">340,045 </w:t>
            </w:r>
          </w:p>
        </w:tc>
      </w:tr>
      <w:tr w:rsidRPr="001F0679" w:rsidR="001F0679" w:rsidTr="001F0679" w14:paraId="3F419BE3"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090EC13B"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617B660" w14:textId="77777777">
            <w:pPr>
              <w:spacing w:after="0"/>
              <w:rPr>
                <w:rFonts w:cs="Arial"/>
                <w:sz w:val="16"/>
                <w:szCs w:val="16"/>
              </w:rPr>
            </w:pPr>
            <w:r w:rsidRPr="001F0679">
              <w:rPr>
                <w:rFonts w:cs="Arial"/>
                <w:sz w:val="16"/>
                <w:szCs w:val="16"/>
              </w:rPr>
              <w:t>Capital contribution passed onto agencies within Justice Portfolio</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26BC2E5C"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C4B3CB7"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0D65024A"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77158122" w14:textId="77777777">
            <w:pPr>
              <w:spacing w:after="0"/>
              <w:jc w:val="right"/>
              <w:rPr>
                <w:rFonts w:cs="Arial"/>
                <w:sz w:val="16"/>
                <w:szCs w:val="16"/>
              </w:rPr>
            </w:pPr>
            <w:r w:rsidRPr="001F0679">
              <w:rPr>
                <w:rFonts w:cs="Arial"/>
                <w:sz w:val="16"/>
                <w:szCs w:val="16"/>
              </w:rPr>
              <w:t xml:space="preserve">(49,962)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0F07F4A8" w14:textId="77777777">
            <w:pPr>
              <w:spacing w:after="0"/>
              <w:jc w:val="right"/>
              <w:rPr>
                <w:rFonts w:cs="Arial"/>
                <w:sz w:val="16"/>
                <w:szCs w:val="16"/>
              </w:rPr>
            </w:pPr>
            <w:r w:rsidRPr="001F0679">
              <w:rPr>
                <w:rFonts w:cs="Arial"/>
                <w:sz w:val="16"/>
                <w:szCs w:val="16"/>
              </w:rPr>
              <w:t xml:space="preserve">(49,962) </w:t>
            </w:r>
          </w:p>
        </w:tc>
      </w:tr>
      <w:tr w:rsidRPr="001F0679" w:rsidR="001F0679" w:rsidTr="001F0679" w14:paraId="7E76DB1A" w14:textId="77777777">
        <w:tc>
          <w:tcPr>
            <w:tcW w:w="28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5306188C" w14:textId="77777777">
            <w:pPr>
              <w:spacing w:after="0"/>
              <w:rPr>
                <w:rFonts w:cs="Arial"/>
                <w:sz w:val="16"/>
                <w:szCs w:val="16"/>
                <w:lang w:val="en-US"/>
              </w:rPr>
            </w:pPr>
          </w:p>
        </w:tc>
        <w:tc>
          <w:tcPr>
            <w:tcW w:w="4536"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2BE89ED5" w14:textId="77777777">
            <w:pPr>
              <w:spacing w:after="0"/>
              <w:rPr>
                <w:rFonts w:cs="Arial"/>
                <w:sz w:val="16"/>
                <w:szCs w:val="16"/>
              </w:rPr>
            </w:pPr>
            <w:r w:rsidRPr="001F0679">
              <w:rPr>
                <w:rFonts w:cs="Arial"/>
                <w:sz w:val="16"/>
                <w:szCs w:val="16"/>
              </w:rPr>
              <w:t>Equity transfer within government</w:t>
            </w:r>
          </w:p>
        </w:tc>
        <w:tc>
          <w:tcPr>
            <w:tcW w:w="624"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16222168" w14:textId="77777777">
            <w:pPr>
              <w:spacing w:after="0"/>
              <w:jc w:val="center"/>
              <w:rPr>
                <w:rFonts w:cs="Arial"/>
                <w:sz w:val="16"/>
                <w:szCs w:val="16"/>
                <w:lang w:val="en-US"/>
              </w:rPr>
            </w:pPr>
          </w:p>
        </w:tc>
        <w:tc>
          <w:tcPr>
            <w:tcW w:w="1133"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366845F5"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5950A42A"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05B6C923" w14:textId="77777777">
            <w:pPr>
              <w:spacing w:after="0"/>
              <w:jc w:val="right"/>
              <w:rPr>
                <w:rFonts w:cs="Arial"/>
                <w:sz w:val="16"/>
                <w:szCs w:val="16"/>
              </w:rPr>
            </w:pPr>
            <w:r w:rsidRPr="001F0679">
              <w:rPr>
                <w:rFonts w:cs="Arial"/>
                <w:sz w:val="16"/>
                <w:szCs w:val="16"/>
              </w:rPr>
              <w:t xml:space="preserve">(43,779) </w:t>
            </w:r>
          </w:p>
        </w:tc>
        <w:tc>
          <w:tcPr>
            <w:tcW w:w="1020" w:type="dxa"/>
            <w:tcBorders>
              <w:top w:val="nil"/>
              <w:left w:val="nil"/>
              <w:bottom w:val="nil"/>
              <w:right w:val="nil"/>
            </w:tcBorders>
            <w:tcMar>
              <w:top w:w="57" w:type="dxa"/>
              <w:left w:w="0" w:type="dxa"/>
              <w:bottom w:w="57" w:type="dxa"/>
              <w:right w:w="0" w:type="dxa"/>
            </w:tcMar>
            <w:vAlign w:val="bottom"/>
          </w:tcPr>
          <w:p w:rsidRPr="001F0679" w:rsidR="001F0679" w:rsidP="001F0679" w:rsidRDefault="001F0679" w14:paraId="504EEA14" w14:textId="77777777">
            <w:pPr>
              <w:spacing w:after="0"/>
              <w:jc w:val="right"/>
              <w:rPr>
                <w:rFonts w:cs="Arial"/>
                <w:sz w:val="16"/>
                <w:szCs w:val="16"/>
              </w:rPr>
            </w:pPr>
            <w:r w:rsidRPr="001F0679">
              <w:rPr>
                <w:rFonts w:cs="Arial"/>
                <w:sz w:val="16"/>
                <w:szCs w:val="16"/>
              </w:rPr>
              <w:t xml:space="preserve">(43,779) </w:t>
            </w:r>
          </w:p>
        </w:tc>
      </w:tr>
      <w:tr w:rsidRPr="001F0679" w:rsidR="001F0679" w:rsidTr="001F0679" w14:paraId="2735D8DE"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30C06C7B" w14:textId="77777777">
            <w:pPr>
              <w:spacing w:after="0"/>
              <w:rPr>
                <w:rFonts w:cs="Arial"/>
                <w:sz w:val="16"/>
                <w:szCs w:val="16"/>
                <w:lang w:val="en-US"/>
              </w:rPr>
            </w:pPr>
          </w:p>
        </w:tc>
        <w:tc>
          <w:tcPr>
            <w:tcW w:w="4536"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610E8439" w14:textId="77777777">
            <w:pPr>
              <w:spacing w:after="0"/>
              <w:rPr>
                <w:rFonts w:cs="Arial"/>
                <w:sz w:val="16"/>
                <w:szCs w:val="16"/>
              </w:rPr>
            </w:pPr>
            <w:r w:rsidRPr="001F0679">
              <w:rPr>
                <w:rFonts w:cs="Arial"/>
                <w:sz w:val="16"/>
                <w:szCs w:val="16"/>
              </w:rPr>
              <w:t>Capital contribution transferred from machinery of government changes</w:t>
            </w:r>
          </w:p>
        </w:tc>
        <w:tc>
          <w:tcPr>
            <w:tcW w:w="624"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4F35ADF" w14:textId="77777777">
            <w:pPr>
              <w:spacing w:after="0"/>
              <w:jc w:val="center"/>
              <w:rPr>
                <w:rFonts w:cs="Arial"/>
                <w:sz w:val="16"/>
                <w:szCs w:val="16"/>
                <w:lang w:val="en-US"/>
              </w:rPr>
            </w:pPr>
          </w:p>
        </w:tc>
        <w:tc>
          <w:tcPr>
            <w:tcW w:w="1133"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6F1E087" w14:textId="77777777">
            <w:pPr>
              <w:spacing w:after="0"/>
              <w:jc w:val="right"/>
              <w:rPr>
                <w:rFonts w:cs="Arial"/>
                <w:sz w:val="16"/>
                <w:szCs w:val="16"/>
              </w:rPr>
            </w:pPr>
            <w:r w:rsidRPr="001F0679">
              <w:rPr>
                <w:rFonts w:cs="Arial"/>
                <w:sz w:val="16"/>
                <w:szCs w:val="16"/>
              </w:rPr>
              <w:t xml:space="preserve">0 </w:t>
            </w:r>
          </w:p>
        </w:tc>
        <w:tc>
          <w:tcPr>
            <w:tcW w:w="1248"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083F4169" w14:textId="77777777">
            <w:pPr>
              <w:spacing w:after="0"/>
              <w:jc w:val="right"/>
              <w:rPr>
                <w:rFonts w:cs="Arial"/>
                <w:sz w:val="16"/>
                <w:szCs w:val="16"/>
              </w:rPr>
            </w:pPr>
            <w:r w:rsidRPr="001F0679">
              <w:rPr>
                <w:rFonts w:cs="Arial"/>
                <w:sz w:val="16"/>
                <w:szCs w:val="16"/>
              </w:rPr>
              <w:t xml:space="preserve">0 </w:t>
            </w:r>
          </w:p>
        </w:tc>
        <w:tc>
          <w:tcPr>
            <w:tcW w:w="1077"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7DBD0C9E" w14:textId="77777777">
            <w:pPr>
              <w:spacing w:after="0"/>
              <w:jc w:val="right"/>
              <w:rPr>
                <w:rFonts w:cs="Arial"/>
                <w:sz w:val="16"/>
                <w:szCs w:val="16"/>
              </w:rPr>
            </w:pPr>
            <w:r w:rsidRPr="001F0679">
              <w:rPr>
                <w:rFonts w:cs="Arial"/>
                <w:sz w:val="16"/>
                <w:szCs w:val="16"/>
              </w:rPr>
              <w:t xml:space="preserve">(113) </w:t>
            </w:r>
          </w:p>
        </w:tc>
        <w:tc>
          <w:tcPr>
            <w:tcW w:w="1020" w:type="dxa"/>
            <w:tcBorders>
              <w:top w:val="nil"/>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89A016F" w14:textId="77777777">
            <w:pPr>
              <w:spacing w:after="0"/>
              <w:jc w:val="right"/>
              <w:rPr>
                <w:rFonts w:cs="Arial"/>
                <w:sz w:val="16"/>
                <w:szCs w:val="16"/>
              </w:rPr>
            </w:pPr>
            <w:r w:rsidRPr="001F0679">
              <w:rPr>
                <w:rFonts w:cs="Arial"/>
                <w:sz w:val="16"/>
                <w:szCs w:val="16"/>
              </w:rPr>
              <w:t xml:space="preserve">(113) </w:t>
            </w:r>
          </w:p>
        </w:tc>
      </w:tr>
      <w:tr w:rsidRPr="001F0679" w:rsidR="001F0679" w:rsidTr="001F0679" w14:paraId="52204028" w14:textId="77777777">
        <w:tc>
          <w:tcPr>
            <w:tcW w:w="4819"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7CD7272" w14:textId="77777777">
            <w:pPr>
              <w:spacing w:after="0"/>
              <w:rPr>
                <w:rFonts w:cs="Arial"/>
                <w:b/>
                <w:sz w:val="16"/>
                <w:szCs w:val="16"/>
              </w:rPr>
            </w:pPr>
            <w:r w:rsidRPr="001F0679">
              <w:rPr>
                <w:rFonts w:cs="Arial"/>
                <w:b/>
                <w:sz w:val="16"/>
                <w:szCs w:val="16"/>
              </w:rPr>
              <w:t>Balance at 30 June 2019</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7FAC6949" w14:textId="77777777">
            <w:pPr>
              <w:spacing w:after="0"/>
              <w:jc w:val="center"/>
              <w:rPr>
                <w:rFonts w:cs="Arial"/>
                <w:b/>
                <w:sz w:val="16"/>
                <w:szCs w:val="16"/>
                <w:lang w:val="en-US"/>
              </w:rPr>
            </w:pPr>
          </w:p>
        </w:tc>
        <w:tc>
          <w:tcPr>
            <w:tcW w:w="113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450089D" w14:textId="77777777">
            <w:pPr>
              <w:spacing w:after="0"/>
              <w:jc w:val="right"/>
              <w:rPr>
                <w:rFonts w:cs="Arial"/>
                <w:b/>
                <w:sz w:val="16"/>
                <w:szCs w:val="16"/>
              </w:rPr>
            </w:pPr>
            <w:r w:rsidRPr="001F0679">
              <w:rPr>
                <w:rFonts w:cs="Arial"/>
                <w:b/>
                <w:sz w:val="16"/>
                <w:szCs w:val="16"/>
              </w:rPr>
              <w:t xml:space="preserve">1,087,603 </w:t>
            </w:r>
          </w:p>
        </w:tc>
        <w:tc>
          <w:tcPr>
            <w:tcW w:w="124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D672282" w14:textId="77777777">
            <w:pPr>
              <w:spacing w:after="0"/>
              <w:jc w:val="right"/>
              <w:rPr>
                <w:rFonts w:cs="Arial"/>
                <w:b/>
                <w:sz w:val="16"/>
                <w:szCs w:val="16"/>
              </w:rPr>
            </w:pPr>
            <w:r w:rsidRPr="001F0679">
              <w:rPr>
                <w:rFonts w:cs="Arial"/>
                <w:b/>
                <w:sz w:val="16"/>
                <w:szCs w:val="16"/>
              </w:rPr>
              <w:t xml:space="preserve">611,550 </w:t>
            </w:r>
          </w:p>
        </w:tc>
        <w:tc>
          <w:tcPr>
            <w:tcW w:w="107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58A3CD43" w14:textId="77777777">
            <w:pPr>
              <w:spacing w:after="0"/>
              <w:jc w:val="right"/>
              <w:rPr>
                <w:rFonts w:cs="Arial"/>
                <w:b/>
                <w:sz w:val="16"/>
                <w:szCs w:val="16"/>
              </w:rPr>
            </w:pPr>
            <w:r w:rsidRPr="001F0679">
              <w:rPr>
                <w:rFonts w:cs="Arial"/>
                <w:b/>
                <w:sz w:val="16"/>
                <w:szCs w:val="16"/>
              </w:rPr>
              <w:t xml:space="preserve">1,575,533 </w:t>
            </w:r>
          </w:p>
        </w:tc>
        <w:tc>
          <w:tcPr>
            <w:tcW w:w="10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1F0679" w:rsidR="001F0679" w:rsidP="001F0679" w:rsidRDefault="001F0679" w14:paraId="1F065CBB" w14:textId="77777777">
            <w:pPr>
              <w:spacing w:after="0"/>
              <w:jc w:val="right"/>
              <w:rPr>
                <w:rFonts w:cs="Arial"/>
                <w:b/>
                <w:sz w:val="16"/>
                <w:szCs w:val="16"/>
              </w:rPr>
            </w:pPr>
            <w:r w:rsidRPr="001F0679">
              <w:rPr>
                <w:rFonts w:cs="Arial"/>
                <w:b/>
                <w:sz w:val="16"/>
                <w:szCs w:val="16"/>
              </w:rPr>
              <w:t xml:space="preserve">3,274,686 </w:t>
            </w:r>
          </w:p>
        </w:tc>
      </w:tr>
    </w:tbl>
    <w:p w:rsidRPr="001F0679" w:rsidR="001F0679" w:rsidP="001F0679" w:rsidRDefault="001F0679" w14:paraId="3A4A30A6" w14:textId="77777777">
      <w:pPr>
        <w:pStyle w:val="notes"/>
        <w:spacing w:after="0"/>
      </w:pPr>
    </w:p>
    <w:p w:rsidRPr="001F0679" w:rsidR="001F0679" w:rsidP="001F0679" w:rsidRDefault="001F0679" w14:paraId="4B391C48" w14:textId="77777777">
      <w:pPr>
        <w:pStyle w:val="notes"/>
        <w:spacing w:after="0"/>
        <w:rPr>
          <w:b/>
        </w:rPr>
      </w:pPr>
      <w:r w:rsidRPr="001F0679">
        <w:rPr>
          <w:b/>
        </w:rPr>
        <w:t>The above statement of changes in equity should be read in conjunction with notes to the financial statements.</w:t>
      </w:r>
    </w:p>
    <w:p w:rsidR="001F0679" w:rsidRDefault="001F0679" w14:paraId="49F2EA47" w14:textId="45FC92A0">
      <w:pPr>
        <w:spacing w:after="0"/>
        <w:rPr>
          <w:lang w:val="en-AU"/>
        </w:rPr>
      </w:pPr>
      <w:r>
        <w:rPr>
          <w:lang w:val="en-AU"/>
        </w:rPr>
        <w:br w:type="page"/>
      </w:r>
    </w:p>
    <w:p w:rsidRPr="001F0679" w:rsidR="001F0679" w:rsidP="001F0679" w:rsidRDefault="001F0679" w14:paraId="3A2BB9F1" w14:textId="77777777">
      <w:pPr>
        <w:pStyle w:val="Heading1"/>
      </w:pPr>
      <w:bookmarkStart w:id="14" w:name="_Toc21870902"/>
      <w:r w:rsidRPr="001F0679">
        <w:lastRenderedPageBreak/>
        <w:t>Notes to the financial statements</w:t>
      </w:r>
      <w:bookmarkEnd w:id="14"/>
    </w:p>
    <w:p w:rsidRPr="001F0679" w:rsidR="001F0679" w:rsidP="001F0679" w:rsidRDefault="001F0679" w14:paraId="3A892400" w14:textId="77777777">
      <w:pPr>
        <w:pStyle w:val="Heading2"/>
      </w:pPr>
      <w:bookmarkStart w:id="15" w:name="_Toc21870903"/>
      <w:r w:rsidRPr="001F0679">
        <w:t>1. About this report</w:t>
      </w:r>
      <w:bookmarkEnd w:id="15"/>
    </w:p>
    <w:p w:rsidRPr="001F0679" w:rsidR="001F0679" w:rsidP="001F0679" w:rsidRDefault="001F0679" w14:paraId="3A36D87C" w14:textId="77777777">
      <w:r w:rsidRPr="001F0679">
        <w:t xml:space="preserve">The Department of Justice and Community Safety (department) is a government department of the State of Victoria, established pursuant to an order made by the Premier under the </w:t>
      </w:r>
      <w:r w:rsidRPr="001F0679">
        <w:rPr>
          <w:i/>
          <w:iCs/>
        </w:rPr>
        <w:t>Public Administration Act 2004</w:t>
      </w:r>
      <w:r w:rsidRPr="001F0679">
        <w:t>.  It is an administrative agency acting on behalf of the Crown.</w:t>
      </w:r>
    </w:p>
    <w:p w:rsidRPr="001F0679" w:rsidR="001F0679" w:rsidP="001F0679" w:rsidRDefault="001F0679" w14:paraId="651BE7A2" w14:textId="77777777">
      <w:r w:rsidRPr="001F0679">
        <w:t>A description of the nature of its operations and its principal activities is included in the report of operations, which does not form part of these financial statements.</w:t>
      </w:r>
    </w:p>
    <w:p w:rsidRPr="001F0679" w:rsidR="001F0679" w:rsidP="001F0679" w:rsidRDefault="001F0679" w14:paraId="7A9222D7" w14:textId="77777777">
      <w:pPr>
        <w:pStyle w:val="Heading3"/>
      </w:pPr>
      <w:r w:rsidRPr="001F0679">
        <w:t>Basis of preparation</w:t>
      </w:r>
    </w:p>
    <w:p w:rsidRPr="001F0679" w:rsidR="001F0679" w:rsidP="001F0679" w:rsidRDefault="001F0679" w14:paraId="534F8F03" w14:textId="77777777">
      <w:r w:rsidRPr="001F0679">
        <w:t>These financial statements have been prepared on an accruals basis, whereby assets, liabilities, equity, income and expenses are recognised in the reporting period to which they relate, regardless of when cash is received or paid.</w:t>
      </w:r>
    </w:p>
    <w:p w:rsidRPr="001F0679" w:rsidR="001F0679" w:rsidP="001F0679" w:rsidRDefault="001F0679" w14:paraId="2E2E3823" w14:textId="77777777">
      <w:r w:rsidRPr="001F0679">
        <w:t>Transactions and balances are based on historical costs unless a different measurement basis is specifically disclosed in the note associated with the item measured on a different basis.</w:t>
      </w:r>
    </w:p>
    <w:p w:rsidRPr="001F0679" w:rsidR="001F0679" w:rsidP="001F0679" w:rsidRDefault="001F0679" w14:paraId="3E2C6C95" w14:textId="77777777">
      <w:r w:rsidRPr="001F0679">
        <w:t>The functional and presentation currency is the Australian dollar.  Amounts have been rounded to the nearest thousand dollars unless otherwise stated.</w:t>
      </w:r>
    </w:p>
    <w:p w:rsidRPr="001F0679" w:rsidR="001F0679" w:rsidP="001F0679" w:rsidRDefault="001F0679" w14:paraId="494E701D" w14:textId="77777777">
      <w:r w:rsidRPr="001F0679">
        <w:t>Judgements, estimates and assumptions are made in applying Australian Accounting Standards.  The estimates and associated assumptions are based on historical experience and various other factors that are believed to be reasonable under the circumstances.  Actual results may differ from these estimates.</w:t>
      </w:r>
    </w:p>
    <w:p w:rsidRPr="001F0679" w:rsidR="001F0679" w:rsidP="001F0679" w:rsidRDefault="001F0679" w14:paraId="612FD629" w14:textId="77777777">
      <w:r w:rsidRPr="001F0679">
        <w:t xml:space="preserve">The estimates and underlying assumptions are reviewed on an ongoing basis.  Revisions to accounting estimates are recognised in the period in which the estimate is revised and also in future periods that are affected by the revision.  </w:t>
      </w:r>
    </w:p>
    <w:p w:rsidRPr="001F0679" w:rsidR="001F0679" w:rsidP="001F0679" w:rsidRDefault="001F0679" w14:paraId="0337C3A2" w14:textId="77777777">
      <w:r w:rsidRPr="001F0679">
        <w:t>Judgements, assumptions and estimates that have significant effects on the financial statements are disclosed in the notes under the heading ‘significant judgements or estimates’.</w:t>
      </w:r>
    </w:p>
    <w:p w:rsidRPr="001F0679" w:rsidR="001F0679" w:rsidP="001F0679" w:rsidRDefault="001F0679" w14:paraId="0D58BE13" w14:textId="77777777">
      <w:r w:rsidRPr="001F0679">
        <w:t xml:space="preserve">Consistent with the requirements of </w:t>
      </w:r>
      <w:r w:rsidRPr="001F0679">
        <w:rPr>
          <w:i/>
          <w:iCs/>
        </w:rPr>
        <w:t>AASB 1004 Contributions</w:t>
      </w:r>
      <w:r w:rsidRPr="001F0679">
        <w:t>, contributions by owners (that is, contributed capital and its repayment) are treated as equity transactions and, therefore, do not form part of the income and expenses of the department.</w:t>
      </w:r>
    </w:p>
    <w:p w:rsidRPr="001F0679" w:rsidR="001F0679" w:rsidP="001F0679" w:rsidRDefault="001F0679" w14:paraId="2080966E" w14:textId="77777777">
      <w:r w:rsidRPr="001F0679">
        <w:t>Additions to net assets which have been designated as contributions by owners are recognised as contributed capital.  Other transfers that are in the nature of contributions to or distributions by owners have also been designated as contributions by owners.</w:t>
      </w:r>
    </w:p>
    <w:p w:rsidRPr="001F0679" w:rsidR="001F0679" w:rsidP="001F0679" w:rsidRDefault="001F0679" w14:paraId="0017B4EF" w14:textId="77777777">
      <w:r w:rsidRPr="001F0679">
        <w:t>These financial statements cover the Department of Justice and Community Safety as an individual reporting entity and include all the controlled activities of the department.</w:t>
      </w:r>
    </w:p>
    <w:p w:rsidRPr="001F0679" w:rsidR="001F0679" w:rsidP="001F0679" w:rsidRDefault="001F0679" w14:paraId="2884E66E" w14:textId="77777777">
      <w:r w:rsidRPr="001F0679">
        <w:t xml:space="preserve">The following agencies have been consolidated into the department’s financial statements under section 53(1)(b) of the </w:t>
      </w:r>
      <w:r w:rsidRPr="001F0679">
        <w:rPr>
          <w:i/>
          <w:iCs/>
        </w:rPr>
        <w:t>Financial Management Act 1994</w:t>
      </w:r>
      <w:r w:rsidRPr="001F0679">
        <w:t>. These agencies are reported in aggregate and are not controlled by the department:</w:t>
      </w:r>
    </w:p>
    <w:p w:rsidRPr="001F0679" w:rsidR="001F0679" w:rsidP="001F0679" w:rsidRDefault="001F0679" w14:paraId="0D88C6E2" w14:textId="77777777">
      <w:pPr>
        <w:pStyle w:val="Bullet1"/>
      </w:pPr>
      <w:r w:rsidRPr="001F0679">
        <w:t xml:space="preserve">Office of the Road Safety Camera Commissioner, established under the Road Safety </w:t>
      </w:r>
      <w:r w:rsidRPr="001F0679">
        <w:rPr>
          <w:i/>
        </w:rPr>
        <w:t>Camera Commissioner Act 2011</w:t>
      </w:r>
      <w:r w:rsidRPr="001F0679">
        <w:t>.</w:t>
      </w:r>
    </w:p>
    <w:p w:rsidRPr="001F0679" w:rsidR="001F0679" w:rsidP="001F0679" w:rsidRDefault="001F0679" w14:paraId="534280B3" w14:textId="77777777">
      <w:pPr>
        <w:pStyle w:val="Bullet1"/>
      </w:pPr>
      <w:r w:rsidRPr="001F0679">
        <w:t xml:space="preserve">Business Licensing Authority, established under the </w:t>
      </w:r>
      <w:r w:rsidRPr="001F0679">
        <w:rPr>
          <w:i/>
        </w:rPr>
        <w:t>Business Licensing Authority Act 1998</w:t>
      </w:r>
      <w:r w:rsidRPr="001F0679">
        <w:t>.</w:t>
      </w:r>
    </w:p>
    <w:p w:rsidRPr="001F0679" w:rsidR="001F0679" w:rsidP="001F0679" w:rsidRDefault="001F0679" w14:paraId="39504080" w14:textId="77777777">
      <w:pPr>
        <w:pStyle w:val="Bullet1"/>
      </w:pPr>
      <w:r w:rsidRPr="001F0679">
        <w:t xml:space="preserve">Post Sentence Authority, established under the </w:t>
      </w:r>
      <w:r w:rsidRPr="001F0679">
        <w:rPr>
          <w:i/>
        </w:rPr>
        <w:t>Serious Sex Offenders (Detention and Supervision) Amendment (Governance) Act 2017</w:t>
      </w:r>
      <w:r w:rsidRPr="001F0679">
        <w:t>.</w:t>
      </w:r>
    </w:p>
    <w:p w:rsidRPr="001F0679" w:rsidR="001F0679" w:rsidP="001F0679" w:rsidRDefault="001F0679" w14:paraId="56C73070" w14:textId="77777777">
      <w:r w:rsidRPr="001F0679">
        <w:t>Where control of an entity is obtained during the financial period, its results are included in the comprehensive operating statement from the date on which control commenced.  Where control ceases during a financial period, the entity’s results are included for that part of the period in which control existed.  Where entities adopt dissimilar accounting policies and their effect is considered material, adjustments are made to ensure consistent policies are adopted in these financial statements.</w:t>
      </w:r>
    </w:p>
    <w:p w:rsidRPr="001F0679" w:rsidR="001F0679" w:rsidP="001F0679" w:rsidRDefault="001F0679" w14:paraId="329A0C89" w14:textId="77777777">
      <w:r w:rsidRPr="001F0679">
        <w:t>In preparing these financial statements, all material transactions and balances between consolidated entities are eliminated.</w:t>
      </w:r>
    </w:p>
    <w:p w:rsidRPr="001F0679" w:rsidR="001F0679" w:rsidP="001F0679" w:rsidRDefault="001F0679" w14:paraId="5ADFA10F" w14:textId="77777777">
      <w:pPr>
        <w:pStyle w:val="Heading3"/>
      </w:pPr>
      <w:r w:rsidRPr="001F0679">
        <w:t>Compliance information</w:t>
      </w:r>
    </w:p>
    <w:p w:rsidRPr="001F0679" w:rsidR="001F0679" w:rsidP="001F0679" w:rsidRDefault="001F0679" w14:paraId="5032AC9E" w14:textId="77777777">
      <w:r w:rsidRPr="001F0679">
        <w:t xml:space="preserve">These general purpose financial statements have been prepared in accordance with the </w:t>
      </w:r>
      <w:r w:rsidRPr="001F0679">
        <w:rPr>
          <w:i/>
          <w:iCs/>
        </w:rPr>
        <w:t>Financial Management Act 1994</w:t>
      </w:r>
      <w:r w:rsidRPr="001F0679">
        <w:t xml:space="preserve"> and applicable Australian Accounting Standards, including Interpretations, issued by the Australian Accounting Standards Board.  In particular, they are presented in a manner consistent with the requirements of </w:t>
      </w:r>
      <w:r w:rsidRPr="001F0679">
        <w:rPr>
          <w:i/>
          <w:iCs/>
        </w:rPr>
        <w:t>AASB 1049 Whole of Government and General Government Sector Financial Reporting</w:t>
      </w:r>
      <w:r w:rsidRPr="001F0679">
        <w:t>.</w:t>
      </w:r>
    </w:p>
    <w:p w:rsidRPr="001F0679" w:rsidR="001F0679" w:rsidP="001F0679" w:rsidRDefault="001F0679" w14:paraId="43150004" w14:textId="77777777">
      <w:r w:rsidRPr="001F0679">
        <w:t>Where appropriate, those Australian Accounting Standards’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157D7F" w:rsidRDefault="00157D7F" w14:paraId="17EB7C48" w14:textId="77777777">
      <w:pPr>
        <w:spacing w:after="0"/>
        <w:rPr>
          <w:rFonts w:eastAsiaTheme="majorEastAsia" w:cstheme="majorBidi"/>
          <w:b/>
          <w:color w:val="55575A"/>
          <w:sz w:val="24"/>
          <w:szCs w:val="26"/>
        </w:rPr>
      </w:pPr>
      <w:r>
        <w:br w:type="page"/>
      </w:r>
    </w:p>
    <w:p w:rsidRPr="001F0679" w:rsidR="001F0679" w:rsidP="001F0679" w:rsidRDefault="001F0679" w14:paraId="17AE7265" w14:textId="3266417F">
      <w:pPr>
        <w:pStyle w:val="Heading2"/>
      </w:pPr>
      <w:bookmarkStart w:id="16" w:name="_Toc21870904"/>
      <w:r w:rsidRPr="001F0679">
        <w:lastRenderedPageBreak/>
        <w:t>2. Funding delivery of services</w:t>
      </w:r>
      <w:bookmarkEnd w:id="16"/>
    </w:p>
    <w:p w:rsidRPr="001F0679" w:rsidR="001F0679" w:rsidP="001F0679" w:rsidRDefault="001F0679" w14:paraId="1A675779" w14:textId="77777777">
      <w:pPr>
        <w:pStyle w:val="Heading3"/>
      </w:pPr>
      <w:r w:rsidRPr="001F0679">
        <w:t>2.1 Introduction</w:t>
      </w:r>
    </w:p>
    <w:p w:rsidRPr="001F0679" w:rsidR="001F0679" w:rsidP="001F0679" w:rsidRDefault="001F0679" w14:paraId="09937B14" w14:textId="77777777">
      <w:r w:rsidRPr="001F0679">
        <w:t>The department’s key objectives are:</w:t>
      </w:r>
    </w:p>
    <w:p w:rsidRPr="001F0679" w:rsidR="001F0679" w:rsidP="001F0679" w:rsidRDefault="001F0679" w14:paraId="79E551A1" w14:textId="77777777">
      <w:pPr>
        <w:pStyle w:val="Bullet1"/>
      </w:pPr>
      <w:r w:rsidRPr="001F0679">
        <w:t>Ensuring community safety through policing, law enforcement and prevention activities</w:t>
      </w:r>
    </w:p>
    <w:p w:rsidRPr="001F0679" w:rsidR="001F0679" w:rsidP="001F0679" w:rsidRDefault="001F0679" w14:paraId="6D79837F" w14:textId="77777777">
      <w:pPr>
        <w:pStyle w:val="Bullet1"/>
      </w:pPr>
      <w:r w:rsidRPr="001F0679">
        <w:t>Effective management of prisoners and offenders and provision of opportunities for rehabilitation and reparation</w:t>
      </w:r>
    </w:p>
    <w:p w:rsidRPr="001F0679" w:rsidR="001F0679" w:rsidP="001F0679" w:rsidRDefault="001F0679" w14:paraId="69B6A2A2" w14:textId="77777777">
      <w:pPr>
        <w:pStyle w:val="Bullet1"/>
      </w:pPr>
      <w:r w:rsidRPr="001F0679">
        <w:t>Effective supervision of young offenders through the provision of youth justice services promoting rehabilitation</w:t>
      </w:r>
    </w:p>
    <w:p w:rsidRPr="001F0679" w:rsidR="001F0679" w:rsidP="001F0679" w:rsidRDefault="001F0679" w14:paraId="1E8A18AA" w14:textId="77777777">
      <w:pPr>
        <w:pStyle w:val="Bullet1"/>
      </w:pPr>
      <w:r w:rsidRPr="001F0679">
        <w:t>A fair and accessible criminal justice system that supports a just society based on the rule of law</w:t>
      </w:r>
    </w:p>
    <w:p w:rsidRPr="001F0679" w:rsidR="001F0679" w:rsidP="001F0679" w:rsidRDefault="001F0679" w14:paraId="32E0F63E" w14:textId="77777777">
      <w:pPr>
        <w:pStyle w:val="Bullet1"/>
      </w:pPr>
      <w:r w:rsidRPr="001F0679">
        <w:t>A fair and accessible civil justice system that supports a just society with increased confidence and equality in the Victorian community</w:t>
      </w:r>
    </w:p>
    <w:p w:rsidRPr="001F0679" w:rsidR="001F0679" w:rsidP="001F0679" w:rsidRDefault="001F0679" w14:paraId="7B53831C" w14:textId="77777777">
      <w:pPr>
        <w:pStyle w:val="Bullet1"/>
      </w:pPr>
      <w:r w:rsidRPr="001F0679">
        <w:t>Reduce the impact of, and consequences from, natural disasters and other emergencies on people, infrastructure, the economy and the environment</w:t>
      </w:r>
    </w:p>
    <w:p w:rsidRPr="001F0679" w:rsidR="001F0679" w:rsidP="001F0679" w:rsidRDefault="001F0679" w14:paraId="4DD9BA2A" w14:textId="77777777">
      <w:pPr>
        <w:pStyle w:val="Bullet1"/>
      </w:pPr>
      <w:r w:rsidRPr="001F0679">
        <w:t>A fair market place for Victorian consumers and businesses with responsible and sustainable liquor, gambling and racing sectors</w:t>
      </w:r>
    </w:p>
    <w:p w:rsidRPr="001F0679" w:rsidR="001F0679" w:rsidP="001F0679" w:rsidRDefault="001F0679" w14:paraId="34C7B3CD" w14:textId="77777777">
      <w:r w:rsidRPr="001F0679">
        <w:t>To enable the department to fulfil its objectives and provide outputs as described in note 4, it receives income (predominantly accrual based parliamentary appropriations).  The department also receives market based fees for providing advice and other services.</w:t>
      </w:r>
    </w:p>
    <w:p w:rsidRPr="001F0679" w:rsidR="001F0679" w:rsidP="001F0679" w:rsidRDefault="001F0679" w14:paraId="6C499171" w14:textId="77777777">
      <w:r w:rsidRPr="001F0679">
        <w:t>Income is recognised to the extent it is probable the economic benefits will flow to the department and the income can be reliably measured.  Where applicable, amounts disclosed as income are net of returns, allowances, duties and taxes.  All amounts of income over which the department does not have control are disclosed as administered income (see note 4.3).</w:t>
      </w:r>
    </w:p>
    <w:p w:rsidRPr="001F0679" w:rsidR="001F0679" w:rsidP="001F0679" w:rsidRDefault="001F0679" w14:paraId="5D5D9150" w14:textId="77777777">
      <w:r w:rsidRPr="001F0679">
        <w:t>This section provides details on the income we receive to achieve the department’s objectives.</w:t>
      </w:r>
    </w:p>
    <w:p w:rsidRPr="001F0679" w:rsidR="001F0679" w:rsidP="001F0679" w:rsidRDefault="001F0679" w14:paraId="699C8E3D" w14:textId="77777777">
      <w:pPr>
        <w:pStyle w:val="Heading3"/>
      </w:pPr>
      <w:r w:rsidRPr="001F0679">
        <w:t>2.2 Summary of compliance with annual parliamentary appropriations</w:t>
      </w:r>
    </w:p>
    <w:p w:rsidRPr="001F0679" w:rsidR="001F0679" w:rsidP="001F0679" w:rsidRDefault="001F0679" w14:paraId="3609B4BE" w14:textId="77777777">
      <w:r w:rsidRPr="001F0679">
        <w:t>Appropriation is an authority given by the Victorian State Parliament to draw certain sums out of the State’s Consolidated Fund, now or at some future point in time, for the purposes stated, up to the limit of the amount in a particular Act.</w:t>
      </w:r>
    </w:p>
    <w:p w:rsidRPr="001F0679" w:rsidR="001F0679" w:rsidP="001F0679" w:rsidRDefault="001F0679" w14:paraId="2D67BD28" w14:textId="77777777">
      <w:r w:rsidRPr="001F0679">
        <w:t xml:space="preserve">Annual appropriations are set out in the annual </w:t>
      </w:r>
      <w:r w:rsidRPr="001F0679">
        <w:rPr>
          <w:i/>
          <w:iCs/>
        </w:rPr>
        <w:t>Appropriation Act</w:t>
      </w:r>
      <w:r w:rsidRPr="001F0679">
        <w:t xml:space="preserve"> and provide for the ordinary annual services of the State Government for a specific financial year.  The Act outlines the amount of public money appropriated to each department for the ‘provision of outputs’, ‘additions to net asset base’, ‘payments made on behalf of the State’ and other appropriations specified in the Act for a given financial year.</w:t>
      </w:r>
    </w:p>
    <w:p w:rsidRPr="001F0679" w:rsidR="001F0679" w:rsidP="001F0679" w:rsidRDefault="001F0679" w14:paraId="7FD08317" w14:textId="77777777">
      <w:r w:rsidRPr="001F0679">
        <w:t>Output appropriations as shown in the comprehensive operating statement are the appropriations recognised for the ‘provision of outputs’ delivered by the department in a particular financial year.</w:t>
      </w:r>
    </w:p>
    <w:p w:rsidRPr="001F0679" w:rsidR="001F0679" w:rsidP="001F0679" w:rsidRDefault="001F0679" w14:paraId="7D420835" w14:textId="77777777">
      <w:r w:rsidRPr="001F0679">
        <w:t>Capital appropriations as shown in the statement of changes in equity are the appropriations recognised for ‘additions to net asset base’ of the department in a particular financial year.</w:t>
      </w:r>
    </w:p>
    <w:p w:rsidRPr="001F0679" w:rsidR="001F0679" w:rsidP="001F0679" w:rsidRDefault="001F0679" w14:paraId="6941C706" w14:textId="77777777">
      <w:r w:rsidRPr="001F0679">
        <w:t>Appropriations for payments made on behalf of the State as shown in note 4.3 are the appropriations recognised for payments made on behalf of the State in a particular financial year.</w:t>
      </w:r>
    </w:p>
    <w:p w:rsidRPr="001F0679" w:rsidR="001F0679" w:rsidP="001F0679" w:rsidRDefault="001F0679" w14:paraId="1B7D0F11" w14:textId="77777777">
      <w:r w:rsidRPr="001F0679">
        <w:t>Appropriations in relation to the Victorian Law Reform Commission are shown below for completeness, but are not reflected elsewhere within the department’s financial statements.</w:t>
      </w:r>
    </w:p>
    <w:p w:rsidRPr="001F0679" w:rsidR="001F0679" w:rsidP="001F0679" w:rsidRDefault="001F0679" w14:paraId="27B7C982" w14:textId="77777777">
      <w:r w:rsidRPr="001F0679">
        <w:t>The amount of appropriation recognised each year depends on the department’s performance in delivering its provision of outputs and additions to net asset base against agreed performance criteria, and the activity in relation to payments on behalf of the State.  The amount of appropriation recognised is formally applied and certified by the Treasurer.</w:t>
      </w:r>
    </w:p>
    <w:p w:rsidRPr="001F0679" w:rsidR="001F0679" w:rsidP="001F0679" w:rsidRDefault="001F0679" w14:paraId="50BA3AE5" w14:textId="77777777">
      <w:r w:rsidRPr="001F0679">
        <w:t>In accordance with accrual output-based management procedures, ‘provision of outputs’ and ‘additions to net asset base’ are disclosed as ‘controlled’ activities of the department.  ‘Payments made on behalf of the State’ are undertaken on behalf of the State over which the department has no control or discretion and are therefore disclosed as an ‘administered’ activity of the department.</w:t>
      </w:r>
    </w:p>
    <w:p w:rsidR="00157D7F" w:rsidRDefault="00157D7F" w14:paraId="1718ED1A" w14:textId="77777777">
      <w:pPr>
        <w:spacing w:after="0"/>
      </w:pPr>
      <w:r>
        <w:br w:type="page"/>
      </w:r>
    </w:p>
    <w:p w:rsidRPr="001F0679" w:rsidR="001F0679" w:rsidP="001F0679" w:rsidRDefault="001F0679" w14:paraId="3CAD418A" w14:textId="400B9326">
      <w:r w:rsidRPr="001F0679">
        <w:lastRenderedPageBreak/>
        <w:t>The following table discloses the details of the various annual parliamentary appropriations received by the department for the year.</w:t>
      </w:r>
    </w:p>
    <w:tbl>
      <w:tblPr>
        <w:tblW w:w="0" w:type="auto"/>
        <w:tblLayout w:type="fixed"/>
        <w:tblCellMar>
          <w:left w:w="0" w:type="dxa"/>
          <w:right w:w="0" w:type="dxa"/>
        </w:tblCellMar>
        <w:tblLook w:firstRow="1" w:lastRow="0" w:firstColumn="0" w:lastColumn="0" w:noHBand="0" w:noVBand="0" w:val="0020"/>
      </w:tblPr>
      <w:tblGrid>
        <w:gridCol w:w="1304"/>
        <w:gridCol w:w="964"/>
        <w:gridCol w:w="737"/>
        <w:gridCol w:w="595"/>
        <w:gridCol w:w="624"/>
        <w:gridCol w:w="595"/>
        <w:gridCol w:w="595"/>
        <w:gridCol w:w="595"/>
        <w:gridCol w:w="964"/>
        <w:gridCol w:w="1077"/>
        <w:gridCol w:w="1134"/>
        <w:gridCol w:w="737"/>
        <w:gridCol w:w="284"/>
      </w:tblGrid>
      <w:tr w:rsidRPr="001F0679" w:rsidR="001F0679" w:rsidTr="00CC210C" w14:paraId="6065F7DF" w14:textId="77777777">
        <w:trPr>
          <w:tblHeader/>
        </w:trPr>
        <w:tc>
          <w:tcPr>
            <w:tcW w:w="130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5DB82665" w14:textId="77777777">
            <w:pPr>
              <w:spacing w:after="0"/>
              <w:jc w:val="right"/>
              <w:rPr>
                <w:rFonts w:cs="Arial"/>
                <w:b/>
                <w:sz w:val="14"/>
                <w:szCs w:val="14"/>
                <w:lang w:val="en-US"/>
              </w:rPr>
            </w:pPr>
          </w:p>
        </w:tc>
        <w:tc>
          <w:tcPr>
            <w:tcW w:w="96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7CA5D3AB" w14:textId="77777777">
            <w:pPr>
              <w:spacing w:after="0"/>
              <w:jc w:val="right"/>
              <w:rPr>
                <w:rFonts w:cs="Arial"/>
                <w:b/>
                <w:sz w:val="14"/>
                <w:szCs w:val="14"/>
                <w:lang w:val="en-US"/>
              </w:rPr>
            </w:pPr>
          </w:p>
        </w:tc>
        <w:tc>
          <w:tcPr>
            <w:tcW w:w="737"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00B6454E" w14:textId="77777777">
            <w:pPr>
              <w:spacing w:after="0"/>
              <w:jc w:val="right"/>
              <w:rPr>
                <w:rFonts w:cs="Arial"/>
                <w:b/>
                <w:sz w:val="14"/>
                <w:szCs w:val="14"/>
                <w:lang w:val="en-US"/>
              </w:rPr>
            </w:pPr>
          </w:p>
        </w:tc>
        <w:tc>
          <w:tcPr>
            <w:tcW w:w="595"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6B8D7050" w14:textId="77777777">
            <w:pPr>
              <w:spacing w:after="0"/>
              <w:jc w:val="right"/>
              <w:rPr>
                <w:rFonts w:cs="Arial"/>
                <w:b/>
                <w:sz w:val="14"/>
                <w:szCs w:val="14"/>
                <w:lang w:val="en-US"/>
              </w:rPr>
            </w:pPr>
          </w:p>
        </w:tc>
        <w:tc>
          <w:tcPr>
            <w:tcW w:w="62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2C1AA8FF" w14:textId="77777777">
            <w:pPr>
              <w:spacing w:after="0"/>
              <w:jc w:val="right"/>
              <w:rPr>
                <w:rFonts w:cs="Arial"/>
                <w:b/>
                <w:sz w:val="14"/>
                <w:szCs w:val="14"/>
                <w:lang w:val="en-US"/>
              </w:rPr>
            </w:pPr>
          </w:p>
        </w:tc>
        <w:tc>
          <w:tcPr>
            <w:tcW w:w="595"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15D20E4A" w14:textId="77777777">
            <w:pPr>
              <w:spacing w:after="0"/>
              <w:jc w:val="right"/>
              <w:rPr>
                <w:rFonts w:cs="Arial"/>
                <w:b/>
                <w:sz w:val="14"/>
                <w:szCs w:val="14"/>
                <w:lang w:val="en-US"/>
              </w:rPr>
            </w:pPr>
          </w:p>
        </w:tc>
        <w:tc>
          <w:tcPr>
            <w:tcW w:w="595"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367AE395" w14:textId="77777777">
            <w:pPr>
              <w:spacing w:after="0"/>
              <w:jc w:val="right"/>
              <w:rPr>
                <w:rFonts w:cs="Arial"/>
                <w:b/>
                <w:sz w:val="14"/>
                <w:szCs w:val="14"/>
                <w:lang w:val="en-US"/>
              </w:rPr>
            </w:pPr>
          </w:p>
        </w:tc>
        <w:tc>
          <w:tcPr>
            <w:tcW w:w="595"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23799589" w14:textId="77777777">
            <w:pPr>
              <w:spacing w:after="0"/>
              <w:jc w:val="right"/>
              <w:rPr>
                <w:rFonts w:cs="Arial"/>
                <w:b/>
                <w:sz w:val="14"/>
                <w:szCs w:val="14"/>
                <w:lang w:val="en-US"/>
              </w:rPr>
            </w:pPr>
          </w:p>
        </w:tc>
        <w:tc>
          <w:tcPr>
            <w:tcW w:w="96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0A6A6A69" w14:textId="77777777">
            <w:pPr>
              <w:spacing w:after="0"/>
              <w:jc w:val="right"/>
              <w:rPr>
                <w:rFonts w:cs="Arial"/>
                <w:b/>
                <w:sz w:val="14"/>
                <w:szCs w:val="14"/>
                <w:lang w:val="en-US"/>
              </w:rPr>
            </w:pPr>
          </w:p>
        </w:tc>
        <w:tc>
          <w:tcPr>
            <w:tcW w:w="1077"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2F80F61E" w14:textId="77777777">
            <w:pPr>
              <w:spacing w:after="0"/>
              <w:jc w:val="right"/>
              <w:rPr>
                <w:rFonts w:cs="Arial"/>
                <w:b/>
                <w:sz w:val="14"/>
                <w:szCs w:val="14"/>
                <w:lang w:val="en-US"/>
              </w:rPr>
            </w:pPr>
          </w:p>
        </w:tc>
        <w:tc>
          <w:tcPr>
            <w:tcW w:w="1871" w:type="dxa"/>
            <w:gridSpan w:val="2"/>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016EAAAE" w14:textId="77777777">
            <w:pPr>
              <w:spacing w:after="0"/>
              <w:jc w:val="right"/>
              <w:rPr>
                <w:rFonts w:cs="Arial"/>
                <w:b/>
                <w:sz w:val="14"/>
                <w:szCs w:val="14"/>
              </w:rPr>
            </w:pPr>
            <w:r w:rsidRPr="001F0679">
              <w:rPr>
                <w:rFonts w:cs="Arial"/>
                <w:b/>
                <w:sz w:val="14"/>
                <w:szCs w:val="14"/>
              </w:rPr>
              <w:t>($ thousand)</w:t>
            </w:r>
          </w:p>
        </w:tc>
        <w:tc>
          <w:tcPr>
            <w:tcW w:w="284" w:type="dxa"/>
            <w:vMerge w:val="restart"/>
            <w:tcBorders>
              <w:top w:val="nil"/>
              <w:left w:val="nil"/>
              <w:bottom w:val="single" w:color="000000" w:sz="8" w:space="0"/>
              <w:right w:val="nil"/>
            </w:tcBorders>
            <w:tcMar>
              <w:top w:w="28" w:type="dxa"/>
              <w:left w:w="57" w:type="dxa"/>
              <w:bottom w:w="28" w:type="dxa"/>
              <w:right w:w="0" w:type="dxa"/>
            </w:tcMar>
          </w:tcPr>
          <w:p w:rsidRPr="001F0679" w:rsidR="001F0679" w:rsidP="001F0679" w:rsidRDefault="001F0679" w14:paraId="0D967728" w14:textId="77777777">
            <w:pPr>
              <w:spacing w:after="0"/>
              <w:jc w:val="right"/>
              <w:rPr>
                <w:rFonts w:cs="Arial"/>
                <w:b/>
                <w:sz w:val="14"/>
                <w:szCs w:val="14"/>
                <w:lang w:val="en-US"/>
              </w:rPr>
            </w:pPr>
          </w:p>
        </w:tc>
      </w:tr>
      <w:tr w:rsidRPr="001F0679" w:rsidR="001F0679" w:rsidTr="00CC210C" w14:paraId="77ECB003" w14:textId="77777777">
        <w:trPr>
          <w:tblHeader/>
        </w:trPr>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2E31026" w14:textId="77777777">
            <w:pPr>
              <w:spacing w:after="0"/>
              <w:jc w:val="right"/>
              <w:rPr>
                <w:rFonts w:cs="Arial"/>
                <w:b/>
                <w:sz w:val="14"/>
                <w:szCs w:val="14"/>
                <w:lang w:val="en-US"/>
              </w:rPr>
            </w:pPr>
          </w:p>
        </w:tc>
        <w:tc>
          <w:tcPr>
            <w:tcW w:w="2296" w:type="dxa"/>
            <w:gridSpan w:val="3"/>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BEF53C7" w14:textId="77777777">
            <w:pPr>
              <w:spacing w:after="0"/>
              <w:jc w:val="right"/>
              <w:rPr>
                <w:rFonts w:cs="Arial"/>
                <w:b/>
                <w:sz w:val="14"/>
                <w:szCs w:val="14"/>
              </w:rPr>
            </w:pPr>
            <w:r w:rsidRPr="001F0679">
              <w:rPr>
                <w:rFonts w:cs="Arial"/>
                <w:b/>
                <w:sz w:val="14"/>
                <w:szCs w:val="14"/>
              </w:rPr>
              <w:t>Appropriations Act</w:t>
            </w:r>
          </w:p>
        </w:tc>
        <w:tc>
          <w:tcPr>
            <w:tcW w:w="2409" w:type="dxa"/>
            <w:gridSpan w:val="4"/>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76DC831" w14:textId="77777777">
            <w:pPr>
              <w:spacing w:after="0"/>
              <w:jc w:val="right"/>
              <w:rPr>
                <w:rFonts w:cs="Arial"/>
                <w:b/>
                <w:sz w:val="14"/>
                <w:szCs w:val="14"/>
              </w:rPr>
            </w:pPr>
            <w:r w:rsidRPr="001F0679">
              <w:rPr>
                <w:rFonts w:cs="Arial"/>
                <w:b/>
                <w:sz w:val="14"/>
                <w:szCs w:val="14"/>
              </w:rPr>
              <w:t>Financial Management Act</w:t>
            </w:r>
          </w:p>
        </w:tc>
        <w:tc>
          <w:tcPr>
            <w:tcW w:w="964" w:type="dxa"/>
            <w:vMerge w:val="restart"/>
            <w:tcBorders>
              <w:top w:val="single" w:color="000000" w:sz="6" w:space="0"/>
              <w:left w:val="nil"/>
              <w:bottom w:val="single" w:color="000000" w:sz="8" w:space="0"/>
              <w:right w:val="nil"/>
            </w:tcBorders>
            <w:tcMar>
              <w:top w:w="28" w:type="dxa"/>
              <w:left w:w="0" w:type="dxa"/>
              <w:bottom w:w="28" w:type="dxa"/>
              <w:right w:w="0" w:type="dxa"/>
            </w:tcMar>
          </w:tcPr>
          <w:p w:rsidRPr="001F0679" w:rsidR="001F0679" w:rsidP="001F0679" w:rsidRDefault="001F0679" w14:paraId="59A5E3E7" w14:textId="77777777">
            <w:pPr>
              <w:spacing w:after="0"/>
              <w:jc w:val="right"/>
              <w:rPr>
                <w:rFonts w:cs="Arial"/>
                <w:b/>
                <w:sz w:val="14"/>
                <w:szCs w:val="14"/>
              </w:rPr>
            </w:pPr>
            <w:r w:rsidRPr="001F0679">
              <w:rPr>
                <w:rFonts w:cs="Arial"/>
                <w:b/>
                <w:sz w:val="14"/>
                <w:szCs w:val="14"/>
              </w:rPr>
              <w:t>Machinery of government changes</w:t>
            </w:r>
          </w:p>
        </w:tc>
        <w:tc>
          <w:tcPr>
            <w:tcW w:w="1077" w:type="dxa"/>
            <w:vMerge w:val="restart"/>
            <w:tcBorders>
              <w:top w:val="single" w:color="000000" w:sz="6" w:space="0"/>
              <w:left w:val="nil"/>
              <w:bottom w:val="single" w:color="000000" w:sz="8" w:space="0"/>
              <w:right w:val="nil"/>
            </w:tcBorders>
            <w:tcMar>
              <w:top w:w="28" w:type="dxa"/>
              <w:left w:w="0" w:type="dxa"/>
              <w:bottom w:w="28" w:type="dxa"/>
              <w:right w:w="0" w:type="dxa"/>
            </w:tcMar>
          </w:tcPr>
          <w:p w:rsidRPr="001F0679" w:rsidR="001F0679" w:rsidP="001F0679" w:rsidRDefault="001F0679" w14:paraId="4C250888" w14:textId="77777777">
            <w:pPr>
              <w:spacing w:after="0"/>
              <w:jc w:val="right"/>
              <w:rPr>
                <w:rFonts w:cs="Arial"/>
                <w:b/>
                <w:sz w:val="14"/>
                <w:szCs w:val="14"/>
              </w:rPr>
            </w:pPr>
            <w:r w:rsidRPr="001F0679">
              <w:rPr>
                <w:rFonts w:cs="Arial"/>
                <w:b/>
                <w:sz w:val="14"/>
                <w:szCs w:val="14"/>
              </w:rPr>
              <w:t xml:space="preserve">Total parliamentary authority </w:t>
            </w:r>
          </w:p>
        </w:tc>
        <w:tc>
          <w:tcPr>
            <w:tcW w:w="1134" w:type="dxa"/>
            <w:vMerge w:val="restart"/>
            <w:tcBorders>
              <w:top w:val="single" w:color="000000" w:sz="6" w:space="0"/>
              <w:left w:val="nil"/>
              <w:bottom w:val="single" w:color="000000" w:sz="8" w:space="0"/>
              <w:right w:val="nil"/>
            </w:tcBorders>
            <w:tcMar>
              <w:top w:w="28" w:type="dxa"/>
              <w:left w:w="0" w:type="dxa"/>
              <w:bottom w:w="28" w:type="dxa"/>
              <w:right w:w="0" w:type="dxa"/>
            </w:tcMar>
          </w:tcPr>
          <w:p w:rsidRPr="001F0679" w:rsidR="001F0679" w:rsidP="001F0679" w:rsidRDefault="001F0679" w14:paraId="43C52DA9" w14:textId="77777777">
            <w:pPr>
              <w:spacing w:after="0"/>
              <w:jc w:val="right"/>
              <w:rPr>
                <w:rFonts w:cs="Arial"/>
                <w:b/>
                <w:sz w:val="14"/>
                <w:szCs w:val="14"/>
              </w:rPr>
            </w:pPr>
            <w:r w:rsidRPr="001F0679">
              <w:rPr>
                <w:rFonts w:cs="Arial"/>
                <w:b/>
                <w:sz w:val="14"/>
                <w:szCs w:val="14"/>
              </w:rPr>
              <w:t>Appropriations applied</w:t>
            </w:r>
          </w:p>
        </w:tc>
        <w:tc>
          <w:tcPr>
            <w:tcW w:w="737" w:type="dxa"/>
            <w:vMerge w:val="restart"/>
            <w:tcBorders>
              <w:top w:val="single" w:color="000000" w:sz="6" w:space="0"/>
              <w:left w:val="nil"/>
              <w:bottom w:val="single" w:color="000000" w:sz="8" w:space="0"/>
              <w:right w:val="nil"/>
            </w:tcBorders>
            <w:tcMar>
              <w:top w:w="28" w:type="dxa"/>
              <w:left w:w="0" w:type="dxa"/>
              <w:bottom w:w="28" w:type="dxa"/>
              <w:right w:w="0" w:type="dxa"/>
            </w:tcMar>
          </w:tcPr>
          <w:p w:rsidRPr="001F0679" w:rsidR="001F0679" w:rsidP="001F0679" w:rsidRDefault="001F0679" w14:paraId="7E758794" w14:textId="77777777">
            <w:pPr>
              <w:spacing w:after="0"/>
              <w:jc w:val="right"/>
              <w:rPr>
                <w:rFonts w:cs="Arial"/>
                <w:b/>
                <w:sz w:val="14"/>
                <w:szCs w:val="14"/>
              </w:rPr>
            </w:pPr>
            <w:r w:rsidRPr="001F0679">
              <w:rPr>
                <w:rFonts w:cs="Arial"/>
                <w:b/>
                <w:sz w:val="14"/>
                <w:szCs w:val="14"/>
              </w:rPr>
              <w:t>Variance</w:t>
            </w:r>
          </w:p>
        </w:tc>
        <w:tc>
          <w:tcPr>
            <w:tcW w:w="284" w:type="dxa"/>
            <w:vMerge/>
            <w:tcBorders>
              <w:top w:val="single" w:color="000000" w:sz="8" w:space="0"/>
              <w:left w:val="nil"/>
              <w:bottom w:val="single" w:color="000000" w:sz="8" w:space="0"/>
              <w:right w:val="nil"/>
            </w:tcBorders>
            <w:tcMar>
              <w:top w:w="28" w:type="dxa"/>
              <w:bottom w:w="28" w:type="dxa"/>
            </w:tcMar>
          </w:tcPr>
          <w:p w:rsidRPr="001F0679" w:rsidR="001F0679" w:rsidP="001F0679" w:rsidRDefault="001F0679" w14:paraId="7DDF3B23" w14:textId="77777777">
            <w:pPr>
              <w:spacing w:after="0"/>
              <w:jc w:val="right"/>
              <w:rPr>
                <w:rFonts w:cs="Arial"/>
                <w:b/>
                <w:sz w:val="14"/>
                <w:szCs w:val="14"/>
                <w:lang w:val="en-US"/>
              </w:rPr>
            </w:pPr>
          </w:p>
        </w:tc>
      </w:tr>
      <w:tr w:rsidRPr="001F0679" w:rsidR="001F0679" w:rsidTr="00CC210C" w14:paraId="3FF9ACF6" w14:textId="77777777">
        <w:trPr>
          <w:tblHeader/>
        </w:trPr>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E295E7F"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41B0E46" w14:textId="77777777">
            <w:pPr>
              <w:spacing w:after="0"/>
              <w:jc w:val="right"/>
              <w:rPr>
                <w:rFonts w:cs="Arial"/>
                <w:b/>
                <w:sz w:val="14"/>
                <w:szCs w:val="14"/>
              </w:rPr>
            </w:pPr>
            <w:r w:rsidRPr="001F0679">
              <w:rPr>
                <w:rFonts w:cs="Arial"/>
                <w:b/>
                <w:sz w:val="14"/>
                <w:szCs w:val="14"/>
              </w:rPr>
              <w:t>Annual appropriation</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CFF48A1" w14:textId="77777777">
            <w:pPr>
              <w:spacing w:after="0"/>
              <w:jc w:val="right"/>
              <w:rPr>
                <w:rFonts w:cs="Arial"/>
                <w:b/>
                <w:sz w:val="14"/>
                <w:szCs w:val="14"/>
              </w:rPr>
            </w:pPr>
            <w:r w:rsidRPr="001F0679">
              <w:rPr>
                <w:rFonts w:cs="Arial"/>
                <w:b/>
                <w:sz w:val="14"/>
                <w:szCs w:val="14"/>
              </w:rPr>
              <w:t>Advance from Treasurer</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89220FB" w14:textId="77777777">
            <w:pPr>
              <w:spacing w:after="0"/>
              <w:jc w:val="right"/>
              <w:rPr>
                <w:rFonts w:cs="Arial"/>
                <w:b/>
                <w:sz w:val="14"/>
                <w:szCs w:val="14"/>
              </w:rPr>
            </w:pPr>
            <w:r w:rsidRPr="001F0679">
              <w:rPr>
                <w:rFonts w:cs="Arial"/>
                <w:b/>
                <w:sz w:val="14"/>
                <w:szCs w:val="14"/>
              </w:rPr>
              <w:t>Section 3(2)</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9080485" w14:textId="77777777">
            <w:pPr>
              <w:spacing w:after="0"/>
              <w:jc w:val="right"/>
              <w:rPr>
                <w:rFonts w:cs="Arial"/>
                <w:b/>
                <w:sz w:val="14"/>
                <w:szCs w:val="14"/>
              </w:rPr>
            </w:pPr>
            <w:r w:rsidRPr="001F0679">
              <w:rPr>
                <w:rFonts w:cs="Arial"/>
                <w:b/>
                <w:sz w:val="14"/>
                <w:szCs w:val="14"/>
              </w:rPr>
              <w:t>Section 29</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3A212CC" w14:textId="77777777">
            <w:pPr>
              <w:spacing w:after="0"/>
              <w:jc w:val="right"/>
              <w:rPr>
                <w:rFonts w:cs="Arial"/>
                <w:b/>
                <w:sz w:val="14"/>
                <w:szCs w:val="14"/>
              </w:rPr>
            </w:pPr>
            <w:r w:rsidRPr="001F0679">
              <w:rPr>
                <w:rFonts w:cs="Arial"/>
                <w:b/>
                <w:sz w:val="14"/>
                <w:szCs w:val="14"/>
              </w:rPr>
              <w:t>Section 30</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BB7E397" w14:textId="77777777">
            <w:pPr>
              <w:spacing w:after="0"/>
              <w:jc w:val="right"/>
              <w:rPr>
                <w:rFonts w:cs="Arial"/>
                <w:b/>
                <w:sz w:val="14"/>
                <w:szCs w:val="14"/>
              </w:rPr>
            </w:pPr>
            <w:r w:rsidRPr="001F0679">
              <w:rPr>
                <w:rFonts w:cs="Arial"/>
                <w:b/>
                <w:sz w:val="14"/>
                <w:szCs w:val="14"/>
              </w:rPr>
              <w:t>Section 32</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8A2FCA2" w14:textId="77777777">
            <w:pPr>
              <w:spacing w:after="0"/>
              <w:jc w:val="right"/>
              <w:rPr>
                <w:rFonts w:cs="Arial"/>
                <w:b/>
                <w:sz w:val="14"/>
                <w:szCs w:val="14"/>
              </w:rPr>
            </w:pPr>
            <w:r w:rsidRPr="001F0679">
              <w:rPr>
                <w:rFonts w:cs="Arial"/>
                <w:b/>
                <w:sz w:val="14"/>
                <w:szCs w:val="14"/>
              </w:rPr>
              <w:t>Section 35</w:t>
            </w:r>
          </w:p>
        </w:tc>
        <w:tc>
          <w:tcPr>
            <w:tcW w:w="964" w:type="dxa"/>
            <w:vMerge/>
            <w:tcBorders>
              <w:top w:val="single" w:color="000000" w:sz="8" w:space="0"/>
              <w:left w:val="nil"/>
              <w:bottom w:val="single" w:color="000000" w:sz="6" w:space="0"/>
              <w:right w:val="nil"/>
            </w:tcBorders>
            <w:tcMar>
              <w:top w:w="28" w:type="dxa"/>
              <w:bottom w:w="28" w:type="dxa"/>
            </w:tcMar>
          </w:tcPr>
          <w:p w:rsidRPr="001F0679" w:rsidR="001F0679" w:rsidP="001F0679" w:rsidRDefault="001F0679" w14:paraId="4FC2B874" w14:textId="77777777">
            <w:pPr>
              <w:spacing w:after="0"/>
              <w:jc w:val="right"/>
              <w:rPr>
                <w:rFonts w:cs="Arial"/>
                <w:b/>
                <w:sz w:val="14"/>
                <w:szCs w:val="14"/>
                <w:lang w:val="en-US"/>
              </w:rPr>
            </w:pPr>
          </w:p>
        </w:tc>
        <w:tc>
          <w:tcPr>
            <w:tcW w:w="1077" w:type="dxa"/>
            <w:vMerge/>
            <w:tcBorders>
              <w:top w:val="single" w:color="000000" w:sz="8" w:space="0"/>
              <w:left w:val="nil"/>
              <w:bottom w:val="single" w:color="000000" w:sz="6" w:space="0"/>
              <w:right w:val="nil"/>
            </w:tcBorders>
            <w:tcMar>
              <w:top w:w="28" w:type="dxa"/>
              <w:bottom w:w="28" w:type="dxa"/>
            </w:tcMar>
          </w:tcPr>
          <w:p w:rsidRPr="001F0679" w:rsidR="001F0679" w:rsidP="001F0679" w:rsidRDefault="001F0679" w14:paraId="7C2B1FAA" w14:textId="77777777">
            <w:pPr>
              <w:spacing w:after="0"/>
              <w:jc w:val="right"/>
              <w:rPr>
                <w:rFonts w:cs="Arial"/>
                <w:b/>
                <w:sz w:val="14"/>
                <w:szCs w:val="14"/>
                <w:lang w:val="en-US"/>
              </w:rPr>
            </w:pPr>
          </w:p>
        </w:tc>
        <w:tc>
          <w:tcPr>
            <w:tcW w:w="1134" w:type="dxa"/>
            <w:vMerge/>
            <w:tcBorders>
              <w:top w:val="single" w:color="000000" w:sz="8" w:space="0"/>
              <w:left w:val="nil"/>
              <w:bottom w:val="single" w:color="000000" w:sz="6" w:space="0"/>
              <w:right w:val="nil"/>
            </w:tcBorders>
            <w:tcMar>
              <w:top w:w="28" w:type="dxa"/>
              <w:bottom w:w="28" w:type="dxa"/>
            </w:tcMar>
          </w:tcPr>
          <w:p w:rsidRPr="001F0679" w:rsidR="001F0679" w:rsidP="001F0679" w:rsidRDefault="001F0679" w14:paraId="1D6AC1AF" w14:textId="77777777">
            <w:pPr>
              <w:spacing w:after="0"/>
              <w:jc w:val="right"/>
              <w:rPr>
                <w:rFonts w:cs="Arial"/>
                <w:b/>
                <w:sz w:val="14"/>
                <w:szCs w:val="14"/>
                <w:lang w:val="en-US"/>
              </w:rPr>
            </w:pPr>
          </w:p>
        </w:tc>
        <w:tc>
          <w:tcPr>
            <w:tcW w:w="737" w:type="dxa"/>
            <w:vMerge/>
            <w:tcBorders>
              <w:top w:val="single" w:color="000000" w:sz="8" w:space="0"/>
              <w:left w:val="nil"/>
              <w:bottom w:val="single" w:color="000000" w:sz="6" w:space="0"/>
              <w:right w:val="nil"/>
            </w:tcBorders>
            <w:tcMar>
              <w:top w:w="28" w:type="dxa"/>
              <w:bottom w:w="28" w:type="dxa"/>
            </w:tcMar>
          </w:tcPr>
          <w:p w:rsidRPr="001F0679" w:rsidR="001F0679" w:rsidP="001F0679" w:rsidRDefault="001F0679" w14:paraId="2395130B" w14:textId="77777777">
            <w:pPr>
              <w:spacing w:after="0"/>
              <w:jc w:val="right"/>
              <w:rPr>
                <w:rFonts w:cs="Arial"/>
                <w:b/>
                <w:sz w:val="14"/>
                <w:szCs w:val="14"/>
                <w:lang w:val="en-US"/>
              </w:rPr>
            </w:pPr>
          </w:p>
        </w:tc>
        <w:tc>
          <w:tcPr>
            <w:tcW w:w="284" w:type="dxa"/>
            <w:vMerge/>
            <w:tcBorders>
              <w:top w:val="single" w:color="000000" w:sz="8" w:space="0"/>
              <w:left w:val="nil"/>
              <w:bottom w:val="single" w:color="000000" w:sz="6" w:space="0"/>
              <w:right w:val="nil"/>
            </w:tcBorders>
            <w:tcMar>
              <w:top w:w="28" w:type="dxa"/>
              <w:bottom w:w="28" w:type="dxa"/>
            </w:tcMar>
          </w:tcPr>
          <w:p w:rsidRPr="001F0679" w:rsidR="001F0679" w:rsidP="001F0679" w:rsidRDefault="001F0679" w14:paraId="290856E1" w14:textId="77777777">
            <w:pPr>
              <w:spacing w:after="0"/>
              <w:jc w:val="right"/>
              <w:rPr>
                <w:rFonts w:cs="Arial"/>
                <w:b/>
                <w:sz w:val="14"/>
                <w:szCs w:val="14"/>
                <w:lang w:val="en-US"/>
              </w:rPr>
            </w:pPr>
          </w:p>
        </w:tc>
      </w:tr>
      <w:tr w:rsidRPr="001F0679" w:rsidR="001F0679" w:rsidTr="00CC210C" w14:paraId="6DFC2437"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86D2E2F" w14:textId="77777777">
            <w:pPr>
              <w:spacing w:after="0"/>
              <w:rPr>
                <w:rFonts w:cs="Arial"/>
                <w:b/>
                <w:sz w:val="14"/>
                <w:szCs w:val="14"/>
              </w:rPr>
            </w:pPr>
            <w:r w:rsidRPr="001F0679">
              <w:rPr>
                <w:rFonts w:cs="Arial"/>
                <w:b/>
                <w:sz w:val="14"/>
                <w:szCs w:val="14"/>
              </w:rPr>
              <w:t>2019</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F91B297"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37D2BD0"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406A60E"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E1D123F"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C51C658"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832CE13"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01879E9"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6098C4E"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75849B5"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1104F29"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9B9D0C1" w14:textId="77777777">
            <w:pPr>
              <w:spacing w:after="0"/>
              <w:jc w:val="right"/>
              <w:rPr>
                <w:rFonts w:cs="Arial"/>
                <w:b/>
                <w:sz w:val="14"/>
                <w:szCs w:val="14"/>
                <w:lang w:val="en-US"/>
              </w:rPr>
            </w:pPr>
          </w:p>
        </w:tc>
        <w:tc>
          <w:tcPr>
            <w:tcW w:w="284" w:type="dxa"/>
            <w:tcBorders>
              <w:top w:val="single" w:color="000000" w:sz="8" w:space="0"/>
              <w:left w:val="nil"/>
              <w:bottom w:val="nil"/>
              <w:right w:val="nil"/>
            </w:tcBorders>
            <w:tcMar>
              <w:top w:w="28" w:type="dxa"/>
              <w:left w:w="57" w:type="dxa"/>
              <w:bottom w:w="28" w:type="dxa"/>
              <w:right w:w="0" w:type="dxa"/>
            </w:tcMar>
          </w:tcPr>
          <w:p w:rsidRPr="001F0679" w:rsidR="001F0679" w:rsidP="001F0679" w:rsidRDefault="001F0679" w14:paraId="788A556D" w14:textId="77777777">
            <w:pPr>
              <w:spacing w:after="0"/>
              <w:jc w:val="right"/>
              <w:rPr>
                <w:rFonts w:cs="Arial"/>
                <w:b/>
                <w:sz w:val="14"/>
                <w:szCs w:val="14"/>
                <w:lang w:val="en-US"/>
              </w:rPr>
            </w:pPr>
          </w:p>
        </w:tc>
      </w:tr>
      <w:tr w:rsidRPr="001F0679" w:rsidR="001F0679" w:rsidTr="00CC210C" w14:paraId="0B2E4E2F"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D06484A" w14:textId="77777777">
            <w:pPr>
              <w:spacing w:after="0"/>
              <w:rPr>
                <w:rFonts w:cs="Arial"/>
                <w:b/>
                <w:sz w:val="14"/>
                <w:szCs w:val="14"/>
              </w:rPr>
            </w:pPr>
            <w:r w:rsidRPr="001F0679">
              <w:rPr>
                <w:rFonts w:cs="Arial"/>
                <w:b/>
                <w:sz w:val="14"/>
                <w:szCs w:val="14"/>
              </w:rPr>
              <w:t>Controlled</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51037E4"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A3D0D28"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32E7D96"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994DD54"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EFBA054"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64294EE"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3581CD7"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6574EA8"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E7141BE"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9F41780"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4365E8C" w14:textId="77777777">
            <w:pPr>
              <w:spacing w:after="0"/>
              <w:jc w:val="right"/>
              <w:rPr>
                <w:rFonts w:cs="Arial"/>
                <w:b/>
                <w:sz w:val="14"/>
                <w:szCs w:val="14"/>
                <w:lang w:val="en-US"/>
              </w:rPr>
            </w:pP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34D5DA8E" w14:textId="77777777">
            <w:pPr>
              <w:spacing w:after="0"/>
              <w:jc w:val="right"/>
              <w:rPr>
                <w:rFonts w:cs="Arial"/>
                <w:b/>
                <w:sz w:val="14"/>
                <w:szCs w:val="14"/>
                <w:lang w:val="en-US"/>
              </w:rPr>
            </w:pPr>
          </w:p>
        </w:tc>
      </w:tr>
      <w:tr w:rsidRPr="001F0679" w:rsidR="001F0679" w:rsidTr="00CC210C" w14:paraId="2C958451"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A7A1753" w14:textId="77777777">
            <w:pPr>
              <w:spacing w:after="0"/>
              <w:rPr>
                <w:rFonts w:cs="Arial"/>
                <w:sz w:val="14"/>
                <w:szCs w:val="14"/>
              </w:rPr>
            </w:pPr>
            <w:r w:rsidRPr="001F0679">
              <w:rPr>
                <w:rFonts w:cs="Arial"/>
                <w:sz w:val="14"/>
                <w:szCs w:val="14"/>
              </w:rPr>
              <w:t>Provision of outputs</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8DD921D" w14:textId="77777777">
            <w:pPr>
              <w:spacing w:after="0"/>
              <w:jc w:val="right"/>
              <w:rPr>
                <w:rFonts w:cs="Arial"/>
                <w:sz w:val="14"/>
                <w:szCs w:val="14"/>
              </w:rPr>
            </w:pPr>
            <w:r w:rsidRPr="001F0679">
              <w:rPr>
                <w:rFonts w:cs="Arial"/>
                <w:sz w:val="14"/>
                <w:szCs w:val="14"/>
              </w:rPr>
              <w:t xml:space="preserve">7,118,852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73B1689" w14:textId="77777777">
            <w:pPr>
              <w:spacing w:after="0"/>
              <w:jc w:val="right"/>
              <w:rPr>
                <w:rFonts w:cs="Arial"/>
                <w:sz w:val="14"/>
                <w:szCs w:val="14"/>
              </w:rPr>
            </w:pPr>
            <w:r w:rsidRPr="001F0679">
              <w:rPr>
                <w:rFonts w:cs="Arial"/>
                <w:sz w:val="14"/>
                <w:szCs w:val="14"/>
              </w:rPr>
              <w:t xml:space="preserve">210,574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0DC61DB"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1A2F177" w14:textId="77777777">
            <w:pPr>
              <w:spacing w:after="0"/>
              <w:jc w:val="right"/>
              <w:rPr>
                <w:rFonts w:cs="Arial"/>
                <w:sz w:val="14"/>
                <w:szCs w:val="14"/>
              </w:rPr>
            </w:pPr>
            <w:r w:rsidRPr="001F0679">
              <w:rPr>
                <w:rFonts w:cs="Arial"/>
                <w:sz w:val="14"/>
                <w:szCs w:val="14"/>
              </w:rPr>
              <w:t xml:space="preserve">250,734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3163313" w14:textId="77777777">
            <w:pPr>
              <w:spacing w:after="0"/>
              <w:jc w:val="right"/>
              <w:rPr>
                <w:rFonts w:cs="Arial"/>
                <w:sz w:val="14"/>
                <w:szCs w:val="14"/>
              </w:rPr>
            </w:pPr>
            <w:r w:rsidRPr="001F0679">
              <w:rPr>
                <w:rFonts w:cs="Arial"/>
                <w:sz w:val="14"/>
                <w:szCs w:val="14"/>
              </w:rPr>
              <w:t xml:space="preserve">35,688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5B25FBB" w14:textId="77777777">
            <w:pPr>
              <w:spacing w:after="0"/>
              <w:jc w:val="right"/>
              <w:rPr>
                <w:rFonts w:cs="Arial"/>
                <w:sz w:val="14"/>
                <w:szCs w:val="14"/>
              </w:rPr>
            </w:pPr>
            <w:r w:rsidRPr="001F0679">
              <w:rPr>
                <w:rFonts w:cs="Arial"/>
                <w:sz w:val="14"/>
                <w:szCs w:val="14"/>
              </w:rPr>
              <w:t xml:space="preserve">96,317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70F5E48"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3A09F5C" w14:textId="77777777">
            <w:pPr>
              <w:spacing w:after="0"/>
              <w:jc w:val="right"/>
              <w:rPr>
                <w:rFonts w:cs="Arial"/>
                <w:sz w:val="14"/>
                <w:szCs w:val="14"/>
              </w:rPr>
            </w:pPr>
            <w:r w:rsidRPr="001F0679">
              <w:rPr>
                <w:rFonts w:cs="Arial"/>
                <w:sz w:val="14"/>
                <w:szCs w:val="14"/>
              </w:rPr>
              <w:t>(21,479)</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40E76E6" w14:textId="77777777">
            <w:pPr>
              <w:spacing w:after="0"/>
              <w:jc w:val="right"/>
              <w:rPr>
                <w:rFonts w:cs="Arial"/>
                <w:sz w:val="14"/>
                <w:szCs w:val="14"/>
              </w:rPr>
            </w:pPr>
            <w:r w:rsidRPr="001F0679">
              <w:rPr>
                <w:rFonts w:cs="Arial"/>
                <w:sz w:val="14"/>
                <w:szCs w:val="14"/>
              </w:rPr>
              <w:t xml:space="preserve">7,690,686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9F40D4D" w14:textId="77777777">
            <w:pPr>
              <w:spacing w:after="0"/>
              <w:jc w:val="right"/>
              <w:rPr>
                <w:rFonts w:cs="Arial"/>
                <w:sz w:val="14"/>
                <w:szCs w:val="14"/>
              </w:rPr>
            </w:pPr>
            <w:r w:rsidRPr="001F0679">
              <w:rPr>
                <w:rFonts w:cs="Arial"/>
                <w:sz w:val="14"/>
                <w:szCs w:val="14"/>
              </w:rPr>
              <w:t xml:space="preserve">7,570,300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2AF2234" w14:textId="77777777">
            <w:pPr>
              <w:spacing w:after="0"/>
              <w:jc w:val="right"/>
              <w:rPr>
                <w:rFonts w:cs="Arial"/>
                <w:sz w:val="14"/>
                <w:szCs w:val="14"/>
              </w:rPr>
            </w:pPr>
            <w:r w:rsidRPr="001F0679">
              <w:rPr>
                <w:rFonts w:cs="Arial"/>
                <w:sz w:val="14"/>
                <w:szCs w:val="14"/>
              </w:rPr>
              <w:t xml:space="preserve">120,386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73C01FEC" w14:textId="77777777">
            <w:pPr>
              <w:spacing w:after="0"/>
              <w:jc w:val="right"/>
              <w:rPr>
                <w:rFonts w:cs="Arial"/>
                <w:sz w:val="14"/>
                <w:szCs w:val="14"/>
                <w:lang w:val="en-US"/>
              </w:rPr>
            </w:pPr>
          </w:p>
        </w:tc>
      </w:tr>
      <w:tr w:rsidRPr="001F0679" w:rsidR="001F0679" w:rsidTr="00CC210C" w14:paraId="590250C7" w14:textId="77777777">
        <w:tc>
          <w:tcPr>
            <w:tcW w:w="1304" w:type="dxa"/>
            <w:tcBorders>
              <w:top w:val="single" w:color="000000" w:sz="6" w:space="0"/>
              <w:left w:val="nil"/>
              <w:bottom w:val="nil"/>
              <w:right w:val="nil"/>
            </w:tcBorders>
            <w:tcMar>
              <w:top w:w="28" w:type="dxa"/>
              <w:left w:w="0" w:type="dxa"/>
              <w:bottom w:w="28" w:type="dxa"/>
              <w:right w:w="0" w:type="dxa"/>
            </w:tcMar>
          </w:tcPr>
          <w:p w:rsidRPr="001F0679" w:rsidR="001F0679" w:rsidP="001F0679" w:rsidRDefault="001F0679" w14:paraId="7F01DA55" w14:textId="77777777">
            <w:pPr>
              <w:spacing w:after="0"/>
              <w:rPr>
                <w:rFonts w:cs="Arial"/>
                <w:sz w:val="14"/>
                <w:szCs w:val="14"/>
              </w:rPr>
            </w:pPr>
            <w:r w:rsidRPr="001F0679">
              <w:rPr>
                <w:rFonts w:cs="Arial"/>
                <w:sz w:val="14"/>
                <w:szCs w:val="14"/>
              </w:rPr>
              <w:t>Victorian Law Reform Commission</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521F6F4" w14:textId="77777777">
            <w:pPr>
              <w:spacing w:after="0"/>
              <w:jc w:val="right"/>
              <w:rPr>
                <w:rFonts w:cs="Arial"/>
                <w:sz w:val="14"/>
                <w:szCs w:val="14"/>
              </w:rPr>
            </w:pPr>
            <w:r w:rsidRPr="001F0679">
              <w:rPr>
                <w:rFonts w:cs="Arial"/>
                <w:sz w:val="14"/>
                <w:szCs w:val="14"/>
              </w:rPr>
              <w:t xml:space="preserve">662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30B9CBA"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F8833E1"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73B344D"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5525E98"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403A0EC"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A413DF2"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3F2604D"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4655FAF" w14:textId="77777777">
            <w:pPr>
              <w:spacing w:after="0"/>
              <w:jc w:val="right"/>
              <w:rPr>
                <w:rFonts w:cs="Arial"/>
                <w:sz w:val="14"/>
                <w:szCs w:val="14"/>
              </w:rPr>
            </w:pPr>
            <w:r w:rsidRPr="001F0679">
              <w:rPr>
                <w:rFonts w:cs="Arial"/>
                <w:sz w:val="14"/>
                <w:szCs w:val="14"/>
              </w:rPr>
              <w:t xml:space="preserve">662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014A421" w14:textId="77777777">
            <w:pPr>
              <w:spacing w:after="0"/>
              <w:jc w:val="right"/>
              <w:rPr>
                <w:rFonts w:cs="Arial"/>
                <w:sz w:val="14"/>
                <w:szCs w:val="14"/>
              </w:rPr>
            </w:pPr>
            <w:r w:rsidRPr="001F0679">
              <w:rPr>
                <w:rFonts w:cs="Arial"/>
                <w:sz w:val="14"/>
                <w:szCs w:val="14"/>
              </w:rPr>
              <w:t xml:space="preserve">662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2E93A83" w14:textId="77777777">
            <w:pPr>
              <w:spacing w:after="0"/>
              <w:jc w:val="right"/>
              <w:rPr>
                <w:rFonts w:cs="Arial"/>
                <w:sz w:val="14"/>
                <w:szCs w:val="14"/>
              </w:rPr>
            </w:pPr>
            <w:r w:rsidRPr="001F0679">
              <w:rPr>
                <w:rFonts w:cs="Arial"/>
                <w:sz w:val="14"/>
                <w:szCs w:val="14"/>
              </w:rPr>
              <w:t xml:space="preserve">0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58769A17" w14:textId="77777777">
            <w:pPr>
              <w:spacing w:after="0"/>
              <w:jc w:val="right"/>
              <w:rPr>
                <w:rFonts w:cs="Arial"/>
                <w:sz w:val="14"/>
                <w:szCs w:val="14"/>
                <w:lang w:val="en-US"/>
              </w:rPr>
            </w:pPr>
          </w:p>
        </w:tc>
      </w:tr>
      <w:tr w:rsidRPr="001F0679" w:rsidR="001F0679" w:rsidTr="00CC210C" w14:paraId="33234F8C" w14:textId="77777777">
        <w:tc>
          <w:tcPr>
            <w:tcW w:w="1304" w:type="dxa"/>
            <w:tcBorders>
              <w:top w:val="nil"/>
              <w:left w:val="nil"/>
              <w:bottom w:val="nil"/>
              <w:right w:val="nil"/>
            </w:tcBorders>
            <w:tcMar>
              <w:top w:w="28" w:type="dxa"/>
              <w:left w:w="0" w:type="dxa"/>
              <w:bottom w:w="28" w:type="dxa"/>
              <w:right w:w="0" w:type="dxa"/>
            </w:tcMar>
          </w:tcPr>
          <w:p w:rsidRPr="001F0679" w:rsidR="001F0679" w:rsidP="001F0679" w:rsidRDefault="001F0679" w14:paraId="48E1B5C3" w14:textId="77777777">
            <w:pPr>
              <w:spacing w:after="0"/>
              <w:rPr>
                <w:rFonts w:cs="Arial"/>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606E105" w14:textId="77777777">
            <w:pPr>
              <w:spacing w:after="0"/>
              <w:jc w:val="right"/>
              <w:rPr>
                <w:rFonts w:cs="Arial"/>
                <w:sz w:val="14"/>
                <w:szCs w:val="14"/>
              </w:rPr>
            </w:pPr>
            <w:r w:rsidRPr="001F0679">
              <w:rPr>
                <w:rFonts w:cs="Arial"/>
                <w:sz w:val="14"/>
                <w:szCs w:val="14"/>
              </w:rPr>
              <w:t xml:space="preserve">7,119,514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0F334DD" w14:textId="77777777">
            <w:pPr>
              <w:spacing w:after="0"/>
              <w:jc w:val="right"/>
              <w:rPr>
                <w:rFonts w:cs="Arial"/>
                <w:sz w:val="14"/>
                <w:szCs w:val="14"/>
              </w:rPr>
            </w:pPr>
            <w:r w:rsidRPr="001F0679">
              <w:rPr>
                <w:rFonts w:cs="Arial"/>
                <w:sz w:val="14"/>
                <w:szCs w:val="14"/>
              </w:rPr>
              <w:t xml:space="preserve">210,574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D3FD708"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5291218" w14:textId="77777777">
            <w:pPr>
              <w:spacing w:after="0"/>
              <w:jc w:val="right"/>
              <w:rPr>
                <w:rFonts w:cs="Arial"/>
                <w:sz w:val="14"/>
                <w:szCs w:val="14"/>
              </w:rPr>
            </w:pPr>
            <w:r w:rsidRPr="001F0679">
              <w:rPr>
                <w:rFonts w:cs="Arial"/>
                <w:sz w:val="14"/>
                <w:szCs w:val="14"/>
              </w:rPr>
              <w:t xml:space="preserve">250,734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3A7E170" w14:textId="77777777">
            <w:pPr>
              <w:spacing w:after="0"/>
              <w:jc w:val="right"/>
              <w:rPr>
                <w:rFonts w:cs="Arial"/>
                <w:sz w:val="14"/>
                <w:szCs w:val="14"/>
              </w:rPr>
            </w:pPr>
            <w:r w:rsidRPr="001F0679">
              <w:rPr>
                <w:rFonts w:cs="Arial"/>
                <w:sz w:val="14"/>
                <w:szCs w:val="14"/>
              </w:rPr>
              <w:t xml:space="preserve">35,688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A803A70" w14:textId="77777777">
            <w:pPr>
              <w:spacing w:after="0"/>
              <w:jc w:val="right"/>
              <w:rPr>
                <w:rFonts w:cs="Arial"/>
                <w:sz w:val="14"/>
                <w:szCs w:val="14"/>
              </w:rPr>
            </w:pPr>
            <w:r w:rsidRPr="001F0679">
              <w:rPr>
                <w:rFonts w:cs="Arial"/>
                <w:sz w:val="14"/>
                <w:szCs w:val="14"/>
              </w:rPr>
              <w:t xml:space="preserve">96,317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44EAFBC"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9B878FE" w14:textId="77777777">
            <w:pPr>
              <w:spacing w:after="0"/>
              <w:jc w:val="right"/>
              <w:rPr>
                <w:rFonts w:cs="Arial"/>
                <w:sz w:val="14"/>
                <w:szCs w:val="14"/>
              </w:rPr>
            </w:pPr>
            <w:r w:rsidRPr="001F0679">
              <w:rPr>
                <w:rFonts w:cs="Arial"/>
                <w:sz w:val="14"/>
                <w:szCs w:val="14"/>
              </w:rPr>
              <w:t>(21,479)</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5067CDF" w14:textId="77777777">
            <w:pPr>
              <w:spacing w:after="0"/>
              <w:jc w:val="right"/>
              <w:rPr>
                <w:rFonts w:cs="Arial"/>
                <w:sz w:val="14"/>
                <w:szCs w:val="14"/>
              </w:rPr>
            </w:pPr>
            <w:r w:rsidRPr="001F0679">
              <w:rPr>
                <w:rFonts w:cs="Arial"/>
                <w:sz w:val="14"/>
                <w:szCs w:val="14"/>
              </w:rPr>
              <w:t xml:space="preserve">7,691,348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4F12D44" w14:textId="77777777">
            <w:pPr>
              <w:spacing w:after="0"/>
              <w:jc w:val="right"/>
              <w:rPr>
                <w:rFonts w:cs="Arial"/>
                <w:sz w:val="14"/>
                <w:szCs w:val="14"/>
              </w:rPr>
            </w:pPr>
            <w:r w:rsidRPr="001F0679">
              <w:rPr>
                <w:rFonts w:cs="Arial"/>
                <w:sz w:val="14"/>
                <w:szCs w:val="14"/>
              </w:rPr>
              <w:t xml:space="preserve">7,570,962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3622A4C" w14:textId="77777777">
            <w:pPr>
              <w:spacing w:after="0"/>
              <w:jc w:val="right"/>
              <w:rPr>
                <w:rFonts w:cs="Arial"/>
                <w:sz w:val="14"/>
                <w:szCs w:val="14"/>
              </w:rPr>
            </w:pPr>
            <w:r w:rsidRPr="001F0679">
              <w:rPr>
                <w:rFonts w:cs="Arial"/>
                <w:sz w:val="14"/>
                <w:szCs w:val="14"/>
              </w:rPr>
              <w:t xml:space="preserve">120,386 </w:t>
            </w:r>
          </w:p>
        </w:tc>
        <w:tc>
          <w:tcPr>
            <w:tcW w:w="284" w:type="dxa"/>
            <w:tcBorders>
              <w:top w:val="nil"/>
              <w:left w:val="nil"/>
              <w:bottom w:val="nil"/>
              <w:right w:val="nil"/>
            </w:tcBorders>
            <w:tcMar>
              <w:top w:w="28" w:type="dxa"/>
              <w:left w:w="0" w:type="dxa"/>
              <w:bottom w:w="28" w:type="dxa"/>
              <w:right w:w="0" w:type="dxa"/>
            </w:tcMar>
          </w:tcPr>
          <w:p w:rsidRPr="001F0679" w:rsidR="001F0679" w:rsidP="001F0679" w:rsidRDefault="001F0679" w14:paraId="57FD7FF9" w14:textId="77777777">
            <w:pPr>
              <w:spacing w:after="0"/>
              <w:jc w:val="right"/>
              <w:rPr>
                <w:rFonts w:cs="Arial"/>
                <w:sz w:val="14"/>
                <w:szCs w:val="14"/>
              </w:rPr>
            </w:pPr>
            <w:r w:rsidRPr="001F0679">
              <w:rPr>
                <w:rFonts w:cs="Arial"/>
                <w:sz w:val="14"/>
                <w:szCs w:val="14"/>
                <w:vertAlign w:val="superscript"/>
              </w:rPr>
              <w:t>(i)(iii)</w:t>
            </w:r>
          </w:p>
        </w:tc>
      </w:tr>
      <w:tr w:rsidRPr="001F0679" w:rsidR="001F0679" w:rsidTr="00CC210C" w14:paraId="322186A3" w14:textId="77777777">
        <w:tc>
          <w:tcPr>
            <w:tcW w:w="1304" w:type="dxa"/>
            <w:tcBorders>
              <w:top w:val="nil"/>
              <w:left w:val="nil"/>
              <w:bottom w:val="nil"/>
              <w:right w:val="nil"/>
            </w:tcBorders>
            <w:tcMar>
              <w:top w:w="28" w:type="dxa"/>
              <w:left w:w="0" w:type="dxa"/>
              <w:bottom w:w="28" w:type="dxa"/>
              <w:right w:w="0" w:type="dxa"/>
            </w:tcMar>
          </w:tcPr>
          <w:p w:rsidRPr="001F0679" w:rsidR="001F0679" w:rsidP="001F0679" w:rsidRDefault="001F0679" w14:paraId="6CAF6A66" w14:textId="77777777">
            <w:pPr>
              <w:spacing w:after="0"/>
              <w:rPr>
                <w:rFonts w:cs="Arial"/>
                <w:sz w:val="14"/>
                <w:szCs w:val="14"/>
              </w:rPr>
            </w:pPr>
            <w:r w:rsidRPr="001F0679">
              <w:rPr>
                <w:rFonts w:cs="Arial"/>
                <w:sz w:val="14"/>
                <w:szCs w:val="14"/>
              </w:rPr>
              <w:t>Additions to net asset base</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091C245" w14:textId="77777777">
            <w:pPr>
              <w:spacing w:after="0"/>
              <w:jc w:val="right"/>
              <w:rPr>
                <w:rFonts w:cs="Arial"/>
                <w:sz w:val="14"/>
                <w:szCs w:val="14"/>
              </w:rPr>
            </w:pPr>
            <w:r w:rsidRPr="001F0679">
              <w:rPr>
                <w:rFonts w:cs="Arial"/>
                <w:sz w:val="14"/>
                <w:szCs w:val="14"/>
              </w:rPr>
              <w:t xml:space="preserve">471,381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2D6843F" w14:textId="77777777">
            <w:pPr>
              <w:spacing w:after="0"/>
              <w:jc w:val="right"/>
              <w:rPr>
                <w:rFonts w:cs="Arial"/>
                <w:sz w:val="14"/>
                <w:szCs w:val="14"/>
              </w:rPr>
            </w:pPr>
            <w:r w:rsidRPr="001F0679">
              <w:rPr>
                <w:rFonts w:cs="Arial"/>
                <w:sz w:val="14"/>
                <w:szCs w:val="14"/>
              </w:rPr>
              <w:t xml:space="preserve">80,324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A9C1AAF"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1B89572" w14:textId="77777777">
            <w:pPr>
              <w:spacing w:after="0"/>
              <w:jc w:val="right"/>
              <w:rPr>
                <w:rFonts w:cs="Arial"/>
                <w:sz w:val="14"/>
                <w:szCs w:val="14"/>
              </w:rPr>
            </w:pPr>
            <w:r w:rsidRPr="001F0679">
              <w:rPr>
                <w:rFonts w:cs="Arial"/>
                <w:sz w:val="14"/>
                <w:szCs w:val="14"/>
              </w:rPr>
              <w:t xml:space="preserve">362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14A2982" w14:textId="77777777">
            <w:pPr>
              <w:spacing w:after="0"/>
              <w:jc w:val="right"/>
              <w:rPr>
                <w:rFonts w:cs="Arial"/>
                <w:sz w:val="14"/>
                <w:szCs w:val="14"/>
              </w:rPr>
            </w:pPr>
            <w:r w:rsidRPr="001F0679">
              <w:rPr>
                <w:rFonts w:cs="Arial"/>
                <w:sz w:val="14"/>
                <w:szCs w:val="14"/>
              </w:rPr>
              <w:t>(35,688)</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52713B5" w14:textId="77777777">
            <w:pPr>
              <w:spacing w:after="0"/>
              <w:jc w:val="right"/>
              <w:rPr>
                <w:rFonts w:cs="Arial"/>
                <w:sz w:val="14"/>
                <w:szCs w:val="14"/>
              </w:rPr>
            </w:pPr>
            <w:r w:rsidRPr="001F0679">
              <w:rPr>
                <w:rFonts w:cs="Arial"/>
                <w:sz w:val="14"/>
                <w:szCs w:val="14"/>
              </w:rPr>
              <w:t xml:space="preserve">176,841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72BB211"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25AF4B5"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66A7A43" w14:textId="77777777">
            <w:pPr>
              <w:spacing w:after="0"/>
              <w:jc w:val="right"/>
              <w:rPr>
                <w:rFonts w:cs="Arial"/>
                <w:sz w:val="14"/>
                <w:szCs w:val="14"/>
              </w:rPr>
            </w:pPr>
            <w:r w:rsidRPr="001F0679">
              <w:rPr>
                <w:rFonts w:cs="Arial"/>
                <w:sz w:val="14"/>
                <w:szCs w:val="14"/>
              </w:rPr>
              <w:t xml:space="preserve">693,220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DE14EDE" w14:textId="77777777">
            <w:pPr>
              <w:spacing w:after="0"/>
              <w:jc w:val="right"/>
              <w:rPr>
                <w:rFonts w:cs="Arial"/>
                <w:sz w:val="14"/>
                <w:szCs w:val="14"/>
              </w:rPr>
            </w:pPr>
            <w:r w:rsidRPr="001F0679">
              <w:rPr>
                <w:rFonts w:cs="Arial"/>
                <w:sz w:val="14"/>
                <w:szCs w:val="14"/>
              </w:rPr>
              <w:t xml:space="preserve">340,045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79B90CF" w14:textId="77777777">
            <w:pPr>
              <w:spacing w:after="0"/>
              <w:jc w:val="right"/>
              <w:rPr>
                <w:rFonts w:cs="Arial"/>
                <w:sz w:val="14"/>
                <w:szCs w:val="14"/>
              </w:rPr>
            </w:pPr>
            <w:r w:rsidRPr="001F0679">
              <w:rPr>
                <w:rFonts w:cs="Arial"/>
                <w:sz w:val="14"/>
                <w:szCs w:val="14"/>
              </w:rPr>
              <w:t xml:space="preserve">353,175 </w:t>
            </w:r>
          </w:p>
        </w:tc>
        <w:tc>
          <w:tcPr>
            <w:tcW w:w="284" w:type="dxa"/>
            <w:tcBorders>
              <w:top w:val="nil"/>
              <w:left w:val="nil"/>
              <w:bottom w:val="nil"/>
              <w:right w:val="nil"/>
            </w:tcBorders>
            <w:tcMar>
              <w:top w:w="28" w:type="dxa"/>
              <w:left w:w="0" w:type="dxa"/>
              <w:bottom w:w="28" w:type="dxa"/>
              <w:right w:w="0" w:type="dxa"/>
            </w:tcMar>
          </w:tcPr>
          <w:p w:rsidRPr="001F0679" w:rsidR="001F0679" w:rsidP="001F0679" w:rsidRDefault="001F0679" w14:paraId="260F4046" w14:textId="77777777">
            <w:pPr>
              <w:spacing w:after="0"/>
              <w:jc w:val="right"/>
              <w:rPr>
                <w:rFonts w:cs="Arial"/>
                <w:sz w:val="14"/>
                <w:szCs w:val="14"/>
              </w:rPr>
            </w:pPr>
            <w:r w:rsidRPr="001F0679">
              <w:rPr>
                <w:rFonts w:cs="Arial"/>
                <w:sz w:val="14"/>
                <w:szCs w:val="14"/>
                <w:vertAlign w:val="superscript"/>
              </w:rPr>
              <w:t>(ii)(iii)</w:t>
            </w:r>
          </w:p>
        </w:tc>
      </w:tr>
      <w:tr w:rsidRPr="001F0679" w:rsidR="001F0679" w:rsidTr="00CC210C" w14:paraId="7D954D39" w14:textId="77777777">
        <w:tc>
          <w:tcPr>
            <w:tcW w:w="1304" w:type="dxa"/>
            <w:tcBorders>
              <w:top w:val="nil"/>
              <w:left w:val="nil"/>
              <w:bottom w:val="nil"/>
              <w:right w:val="nil"/>
            </w:tcBorders>
            <w:tcMar>
              <w:top w:w="28" w:type="dxa"/>
              <w:left w:w="0" w:type="dxa"/>
              <w:bottom w:w="28" w:type="dxa"/>
              <w:right w:w="0" w:type="dxa"/>
            </w:tcMar>
          </w:tcPr>
          <w:p w:rsidRPr="001F0679" w:rsidR="001F0679" w:rsidP="001F0679" w:rsidRDefault="001F0679" w14:paraId="4B36E073" w14:textId="77777777">
            <w:pPr>
              <w:spacing w:after="0"/>
              <w:rPr>
                <w:rFonts w:cs="Arial"/>
                <w:b/>
                <w:sz w:val="14"/>
                <w:szCs w:val="14"/>
              </w:rPr>
            </w:pPr>
            <w:r w:rsidRPr="001F0679">
              <w:rPr>
                <w:rFonts w:cs="Arial"/>
                <w:b/>
                <w:sz w:val="14"/>
                <w:szCs w:val="14"/>
              </w:rPr>
              <w:t>Administered</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34D6F53"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CB48AF0"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542CD1D"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EC3A6A6"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2DD3BB2"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C47EC36"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E3DB793"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0B841DE"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7C3B5B7"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A1F260B"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8033184" w14:textId="77777777">
            <w:pPr>
              <w:spacing w:after="0"/>
              <w:jc w:val="right"/>
              <w:rPr>
                <w:rFonts w:cs="Arial"/>
                <w:b/>
                <w:sz w:val="14"/>
                <w:szCs w:val="14"/>
                <w:lang w:val="en-US"/>
              </w:rPr>
            </w:pP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7D8F4D4C" w14:textId="77777777">
            <w:pPr>
              <w:spacing w:after="0"/>
              <w:jc w:val="right"/>
              <w:rPr>
                <w:rFonts w:cs="Arial"/>
                <w:b/>
                <w:sz w:val="14"/>
                <w:szCs w:val="14"/>
                <w:lang w:val="en-US"/>
              </w:rPr>
            </w:pPr>
          </w:p>
        </w:tc>
      </w:tr>
      <w:tr w:rsidRPr="001F0679" w:rsidR="001F0679" w:rsidTr="00CC210C" w14:paraId="61687154" w14:textId="77777777">
        <w:tc>
          <w:tcPr>
            <w:tcW w:w="130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63C08435" w14:textId="77777777">
            <w:pPr>
              <w:spacing w:after="0"/>
              <w:rPr>
                <w:rFonts w:cs="Arial"/>
                <w:sz w:val="14"/>
                <w:szCs w:val="14"/>
              </w:rPr>
            </w:pPr>
            <w:r w:rsidRPr="001F0679">
              <w:rPr>
                <w:rFonts w:cs="Arial"/>
                <w:sz w:val="14"/>
                <w:szCs w:val="14"/>
              </w:rPr>
              <w:t>Payments made on behalf of State</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B9CD2DF" w14:textId="77777777">
            <w:pPr>
              <w:spacing w:after="0"/>
              <w:jc w:val="right"/>
              <w:rPr>
                <w:rFonts w:cs="Arial"/>
                <w:sz w:val="14"/>
                <w:szCs w:val="14"/>
              </w:rPr>
            </w:pPr>
            <w:r w:rsidRPr="001F0679">
              <w:rPr>
                <w:rFonts w:cs="Arial"/>
                <w:sz w:val="14"/>
                <w:szCs w:val="14"/>
              </w:rPr>
              <w:t xml:space="preserve">36,001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A52AB3F"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0808200"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D082C6A"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D9CC65B"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27287F9"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ED7191F"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CEBA6E8"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76EFACF" w14:textId="77777777">
            <w:pPr>
              <w:spacing w:after="0"/>
              <w:jc w:val="right"/>
              <w:rPr>
                <w:rFonts w:cs="Arial"/>
                <w:sz w:val="14"/>
                <w:szCs w:val="14"/>
              </w:rPr>
            </w:pPr>
            <w:r w:rsidRPr="001F0679">
              <w:rPr>
                <w:rFonts w:cs="Arial"/>
                <w:sz w:val="14"/>
                <w:szCs w:val="14"/>
              </w:rPr>
              <w:t xml:space="preserve">36,001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7989996" w14:textId="77777777">
            <w:pPr>
              <w:spacing w:after="0"/>
              <w:jc w:val="right"/>
              <w:rPr>
                <w:rFonts w:cs="Arial"/>
                <w:sz w:val="14"/>
                <w:szCs w:val="14"/>
              </w:rPr>
            </w:pPr>
            <w:r w:rsidRPr="001F0679">
              <w:rPr>
                <w:rFonts w:cs="Arial"/>
                <w:sz w:val="14"/>
                <w:szCs w:val="14"/>
              </w:rPr>
              <w:t xml:space="preserve">36,000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448E6C9" w14:textId="77777777">
            <w:pPr>
              <w:spacing w:after="0"/>
              <w:jc w:val="right"/>
              <w:rPr>
                <w:rFonts w:cs="Arial"/>
                <w:sz w:val="14"/>
                <w:szCs w:val="14"/>
              </w:rPr>
            </w:pPr>
            <w:r w:rsidRPr="001F0679">
              <w:rPr>
                <w:rFonts w:cs="Arial"/>
                <w:sz w:val="14"/>
                <w:szCs w:val="14"/>
              </w:rPr>
              <w:t xml:space="preserve">1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3BCA77F3" w14:textId="77777777">
            <w:pPr>
              <w:spacing w:after="0"/>
              <w:jc w:val="right"/>
              <w:rPr>
                <w:rFonts w:cs="Arial"/>
                <w:sz w:val="14"/>
                <w:szCs w:val="14"/>
                <w:lang w:val="en-US"/>
              </w:rPr>
            </w:pPr>
          </w:p>
        </w:tc>
      </w:tr>
      <w:tr w:rsidRPr="001F0679" w:rsidR="001F0679" w:rsidTr="00CC210C" w14:paraId="3F24C4AC"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ED08B5D" w14:textId="77777777">
            <w:pPr>
              <w:spacing w:after="0"/>
              <w:rPr>
                <w:rFonts w:cs="Arial"/>
                <w:b/>
                <w:sz w:val="14"/>
                <w:szCs w:val="14"/>
              </w:rPr>
            </w:pPr>
            <w:r w:rsidRPr="001F0679">
              <w:rPr>
                <w:rFonts w:cs="Arial"/>
                <w:b/>
                <w:sz w:val="14"/>
                <w:szCs w:val="14"/>
              </w:rPr>
              <w:t>Total</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17F658C" w14:textId="77777777">
            <w:pPr>
              <w:spacing w:after="0"/>
              <w:jc w:val="right"/>
              <w:rPr>
                <w:rFonts w:cs="Arial"/>
                <w:b/>
                <w:sz w:val="14"/>
                <w:szCs w:val="14"/>
              </w:rPr>
            </w:pPr>
            <w:r w:rsidRPr="001F0679">
              <w:rPr>
                <w:rFonts w:cs="Arial"/>
                <w:b/>
                <w:sz w:val="14"/>
                <w:szCs w:val="14"/>
              </w:rPr>
              <w:t xml:space="preserve">7,626,896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F6781F4" w14:textId="77777777">
            <w:pPr>
              <w:spacing w:after="0"/>
              <w:jc w:val="right"/>
              <w:rPr>
                <w:rFonts w:cs="Arial"/>
                <w:b/>
                <w:sz w:val="14"/>
                <w:szCs w:val="14"/>
              </w:rPr>
            </w:pPr>
            <w:r w:rsidRPr="001F0679">
              <w:rPr>
                <w:rFonts w:cs="Arial"/>
                <w:b/>
                <w:sz w:val="14"/>
                <w:szCs w:val="14"/>
              </w:rPr>
              <w:t xml:space="preserve">290,898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0F13C2B" w14:textId="77777777">
            <w:pPr>
              <w:spacing w:after="0"/>
              <w:jc w:val="right"/>
              <w:rPr>
                <w:rFonts w:cs="Arial"/>
                <w:b/>
                <w:sz w:val="14"/>
                <w:szCs w:val="14"/>
              </w:rPr>
            </w:pPr>
            <w:r w:rsidRPr="001F0679">
              <w:rPr>
                <w:rFonts w:cs="Arial"/>
                <w:b/>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19DFEE3" w14:textId="77777777">
            <w:pPr>
              <w:spacing w:after="0"/>
              <w:jc w:val="right"/>
              <w:rPr>
                <w:rFonts w:cs="Arial"/>
                <w:b/>
                <w:sz w:val="14"/>
                <w:szCs w:val="14"/>
              </w:rPr>
            </w:pPr>
            <w:r w:rsidRPr="001F0679">
              <w:rPr>
                <w:rFonts w:cs="Arial"/>
                <w:b/>
                <w:sz w:val="14"/>
                <w:szCs w:val="14"/>
              </w:rPr>
              <w:t xml:space="preserve">251,096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54805F6" w14:textId="77777777">
            <w:pPr>
              <w:spacing w:after="0"/>
              <w:jc w:val="right"/>
              <w:rPr>
                <w:rFonts w:cs="Arial"/>
                <w:b/>
                <w:sz w:val="14"/>
                <w:szCs w:val="14"/>
              </w:rPr>
            </w:pPr>
            <w:r w:rsidRPr="001F0679">
              <w:rPr>
                <w:rFonts w:cs="Arial"/>
                <w:b/>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7196A63" w14:textId="77777777">
            <w:pPr>
              <w:spacing w:after="0"/>
              <w:jc w:val="right"/>
              <w:rPr>
                <w:rFonts w:cs="Arial"/>
                <w:b/>
                <w:sz w:val="14"/>
                <w:szCs w:val="14"/>
              </w:rPr>
            </w:pPr>
            <w:r w:rsidRPr="001F0679">
              <w:rPr>
                <w:rFonts w:cs="Arial"/>
                <w:b/>
                <w:sz w:val="14"/>
                <w:szCs w:val="14"/>
              </w:rPr>
              <w:t xml:space="preserve">273,158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5131E65" w14:textId="77777777">
            <w:pPr>
              <w:spacing w:after="0"/>
              <w:jc w:val="right"/>
              <w:rPr>
                <w:rFonts w:cs="Arial"/>
                <w:b/>
                <w:sz w:val="14"/>
                <w:szCs w:val="14"/>
              </w:rPr>
            </w:pPr>
            <w:r w:rsidRPr="001F0679">
              <w:rPr>
                <w:rFonts w:cs="Arial"/>
                <w:b/>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981FF00" w14:textId="77777777">
            <w:pPr>
              <w:spacing w:after="0"/>
              <w:jc w:val="right"/>
              <w:rPr>
                <w:rFonts w:cs="Arial"/>
                <w:b/>
                <w:sz w:val="14"/>
                <w:szCs w:val="14"/>
              </w:rPr>
            </w:pPr>
            <w:r w:rsidRPr="001F0679">
              <w:rPr>
                <w:rFonts w:cs="Arial"/>
                <w:b/>
                <w:sz w:val="14"/>
                <w:szCs w:val="14"/>
              </w:rPr>
              <w:t>(21,479)</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B209C03" w14:textId="77777777">
            <w:pPr>
              <w:spacing w:after="0"/>
              <w:jc w:val="right"/>
              <w:rPr>
                <w:rFonts w:cs="Arial"/>
                <w:b/>
                <w:sz w:val="14"/>
                <w:szCs w:val="14"/>
              </w:rPr>
            </w:pPr>
            <w:r w:rsidRPr="001F0679">
              <w:rPr>
                <w:rFonts w:cs="Arial"/>
                <w:b/>
                <w:sz w:val="14"/>
                <w:szCs w:val="14"/>
              </w:rPr>
              <w:t xml:space="preserve">8,420,569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D0DE00D" w14:textId="77777777">
            <w:pPr>
              <w:spacing w:after="0"/>
              <w:jc w:val="right"/>
              <w:rPr>
                <w:rFonts w:cs="Arial"/>
                <w:b/>
                <w:sz w:val="14"/>
                <w:szCs w:val="14"/>
              </w:rPr>
            </w:pPr>
            <w:r w:rsidRPr="001F0679">
              <w:rPr>
                <w:rFonts w:cs="Arial"/>
                <w:b/>
                <w:sz w:val="14"/>
                <w:szCs w:val="14"/>
              </w:rPr>
              <w:t xml:space="preserve">7,947,007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8593F12" w14:textId="77777777">
            <w:pPr>
              <w:spacing w:after="0"/>
              <w:jc w:val="right"/>
              <w:rPr>
                <w:rFonts w:cs="Arial"/>
                <w:b/>
                <w:sz w:val="14"/>
                <w:szCs w:val="14"/>
              </w:rPr>
            </w:pPr>
            <w:r w:rsidRPr="001F0679">
              <w:rPr>
                <w:rFonts w:cs="Arial"/>
                <w:b/>
                <w:sz w:val="14"/>
                <w:szCs w:val="14"/>
              </w:rPr>
              <w:t xml:space="preserve">473,562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32D56231" w14:textId="77777777">
            <w:pPr>
              <w:spacing w:after="0"/>
              <w:jc w:val="right"/>
              <w:rPr>
                <w:rFonts w:cs="Arial"/>
                <w:b/>
                <w:sz w:val="14"/>
                <w:szCs w:val="14"/>
                <w:lang w:val="en-US"/>
              </w:rPr>
            </w:pPr>
          </w:p>
        </w:tc>
      </w:tr>
      <w:tr w:rsidRPr="001F0679" w:rsidR="001F0679" w:rsidTr="00CC210C" w14:paraId="4DF01D47"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099D048" w14:textId="77777777">
            <w:pPr>
              <w:spacing w:after="0"/>
              <w:rPr>
                <w:rFonts w:cs="Arial"/>
                <w:b/>
                <w:sz w:val="14"/>
                <w:szCs w:val="14"/>
              </w:rPr>
            </w:pPr>
            <w:r w:rsidRPr="001F0679">
              <w:rPr>
                <w:rFonts w:cs="Arial"/>
                <w:b/>
                <w:sz w:val="14"/>
                <w:szCs w:val="14"/>
              </w:rPr>
              <w:t>2018</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7D80CCF"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67032F3"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95F59C6"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A03D9AF"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0C2DB27"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E5E3311"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EDA1374"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F2921C7"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801CAEC"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7D2B4D9"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970BF00" w14:textId="77777777">
            <w:pPr>
              <w:spacing w:after="0"/>
              <w:jc w:val="right"/>
              <w:rPr>
                <w:rFonts w:cs="Arial"/>
                <w:b/>
                <w:sz w:val="14"/>
                <w:szCs w:val="14"/>
                <w:lang w:val="en-US"/>
              </w:rPr>
            </w:pP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555C387E" w14:textId="77777777">
            <w:pPr>
              <w:spacing w:after="0"/>
              <w:jc w:val="right"/>
              <w:rPr>
                <w:rFonts w:cs="Arial"/>
                <w:b/>
                <w:sz w:val="14"/>
                <w:szCs w:val="14"/>
                <w:lang w:val="en-US"/>
              </w:rPr>
            </w:pPr>
          </w:p>
        </w:tc>
      </w:tr>
      <w:tr w:rsidRPr="001F0679" w:rsidR="001F0679" w:rsidTr="00CC210C" w14:paraId="7BE78583"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FA00F07" w14:textId="77777777">
            <w:pPr>
              <w:spacing w:after="0"/>
              <w:rPr>
                <w:rFonts w:cs="Arial"/>
                <w:b/>
                <w:sz w:val="14"/>
                <w:szCs w:val="14"/>
              </w:rPr>
            </w:pPr>
            <w:r w:rsidRPr="001F0679">
              <w:rPr>
                <w:rFonts w:cs="Arial"/>
                <w:b/>
                <w:sz w:val="14"/>
                <w:szCs w:val="14"/>
              </w:rPr>
              <w:t>Controlled</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A6D380B"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B0BAFD3"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A65037A"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043204A"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A3A5681"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B155F5E"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DF86C79"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E6610D5"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CA0A209"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974E0E8"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3E4C925" w14:textId="77777777">
            <w:pPr>
              <w:spacing w:after="0"/>
              <w:jc w:val="right"/>
              <w:rPr>
                <w:rFonts w:cs="Arial"/>
                <w:b/>
                <w:sz w:val="14"/>
                <w:szCs w:val="14"/>
                <w:lang w:val="en-US"/>
              </w:rPr>
            </w:pP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5B05785E" w14:textId="77777777">
            <w:pPr>
              <w:spacing w:after="0"/>
              <w:jc w:val="right"/>
              <w:rPr>
                <w:rFonts w:cs="Arial"/>
                <w:b/>
                <w:sz w:val="14"/>
                <w:szCs w:val="14"/>
                <w:lang w:val="en-US"/>
              </w:rPr>
            </w:pPr>
          </w:p>
        </w:tc>
      </w:tr>
      <w:tr w:rsidRPr="001F0679" w:rsidR="001F0679" w:rsidTr="00CC210C" w14:paraId="14A9CF15"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BF9EAD9" w14:textId="77777777">
            <w:pPr>
              <w:spacing w:after="0"/>
              <w:rPr>
                <w:rFonts w:cs="Arial"/>
                <w:sz w:val="14"/>
                <w:szCs w:val="14"/>
              </w:rPr>
            </w:pPr>
            <w:r w:rsidRPr="001F0679">
              <w:rPr>
                <w:rFonts w:cs="Arial"/>
                <w:sz w:val="14"/>
                <w:szCs w:val="14"/>
              </w:rPr>
              <w:t>Provision for outputs</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DB37534" w14:textId="77777777">
            <w:pPr>
              <w:spacing w:after="0"/>
              <w:jc w:val="right"/>
              <w:rPr>
                <w:rFonts w:cs="Arial"/>
                <w:sz w:val="14"/>
                <w:szCs w:val="14"/>
              </w:rPr>
            </w:pPr>
            <w:r w:rsidRPr="001F0679">
              <w:rPr>
                <w:rFonts w:cs="Arial"/>
                <w:sz w:val="14"/>
                <w:szCs w:val="14"/>
              </w:rPr>
              <w:t xml:space="preserve">6,384,511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8A414CC" w14:textId="77777777">
            <w:pPr>
              <w:spacing w:after="0"/>
              <w:jc w:val="right"/>
              <w:rPr>
                <w:rFonts w:cs="Arial"/>
                <w:sz w:val="14"/>
                <w:szCs w:val="14"/>
              </w:rPr>
            </w:pPr>
            <w:r w:rsidRPr="001F0679">
              <w:rPr>
                <w:rFonts w:cs="Arial"/>
                <w:sz w:val="14"/>
                <w:szCs w:val="14"/>
              </w:rPr>
              <w:t xml:space="preserve">260,168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9BEA5D5"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1ECC068" w14:textId="77777777">
            <w:pPr>
              <w:spacing w:after="0"/>
              <w:jc w:val="right"/>
              <w:rPr>
                <w:rFonts w:cs="Arial"/>
                <w:sz w:val="14"/>
                <w:szCs w:val="14"/>
              </w:rPr>
            </w:pPr>
            <w:r w:rsidRPr="001F0679">
              <w:rPr>
                <w:rFonts w:cs="Arial"/>
                <w:sz w:val="14"/>
                <w:szCs w:val="14"/>
              </w:rPr>
              <w:t xml:space="preserve">237,756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29E426D" w14:textId="77777777">
            <w:pPr>
              <w:spacing w:after="0"/>
              <w:jc w:val="right"/>
              <w:rPr>
                <w:rFonts w:cs="Arial"/>
                <w:sz w:val="14"/>
                <w:szCs w:val="14"/>
              </w:rPr>
            </w:pPr>
            <w:r w:rsidRPr="001F0679">
              <w:rPr>
                <w:rFonts w:cs="Arial"/>
                <w:sz w:val="14"/>
                <w:szCs w:val="14"/>
              </w:rPr>
              <w:t xml:space="preserve">34,707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C6737FA" w14:textId="77777777">
            <w:pPr>
              <w:spacing w:after="0"/>
              <w:jc w:val="right"/>
              <w:rPr>
                <w:rFonts w:cs="Arial"/>
                <w:sz w:val="14"/>
                <w:szCs w:val="14"/>
              </w:rPr>
            </w:pPr>
            <w:r w:rsidRPr="001F0679">
              <w:rPr>
                <w:rFonts w:cs="Arial"/>
                <w:sz w:val="14"/>
                <w:szCs w:val="14"/>
              </w:rPr>
              <w:t xml:space="preserve">73,298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EDB2645" w14:textId="77777777">
            <w:pPr>
              <w:spacing w:after="0"/>
              <w:jc w:val="right"/>
              <w:rPr>
                <w:rFonts w:cs="Arial"/>
                <w:sz w:val="14"/>
                <w:szCs w:val="14"/>
              </w:rPr>
            </w:pPr>
            <w:r w:rsidRPr="001F0679">
              <w:rPr>
                <w:rFonts w:cs="Arial"/>
                <w:sz w:val="14"/>
                <w:szCs w:val="14"/>
              </w:rPr>
              <w:t xml:space="preserve">15,040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8580499"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3B5521F" w14:textId="77777777">
            <w:pPr>
              <w:spacing w:after="0"/>
              <w:jc w:val="right"/>
              <w:rPr>
                <w:rFonts w:cs="Arial"/>
                <w:sz w:val="14"/>
                <w:szCs w:val="14"/>
              </w:rPr>
            </w:pPr>
            <w:r w:rsidRPr="001F0679">
              <w:rPr>
                <w:rFonts w:cs="Arial"/>
                <w:sz w:val="14"/>
                <w:szCs w:val="14"/>
              </w:rPr>
              <w:t xml:space="preserve">7,005,480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E1C68DF" w14:textId="77777777">
            <w:pPr>
              <w:spacing w:after="0"/>
              <w:jc w:val="right"/>
              <w:rPr>
                <w:rFonts w:cs="Arial"/>
                <w:sz w:val="14"/>
                <w:szCs w:val="14"/>
              </w:rPr>
            </w:pPr>
            <w:r w:rsidRPr="001F0679">
              <w:rPr>
                <w:rFonts w:cs="Arial"/>
                <w:sz w:val="14"/>
                <w:szCs w:val="14"/>
              </w:rPr>
              <w:t xml:space="preserve">6,837,010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2F00548" w14:textId="77777777">
            <w:pPr>
              <w:spacing w:after="0"/>
              <w:jc w:val="right"/>
              <w:rPr>
                <w:rFonts w:cs="Arial"/>
                <w:sz w:val="14"/>
                <w:szCs w:val="14"/>
              </w:rPr>
            </w:pPr>
            <w:r w:rsidRPr="001F0679">
              <w:rPr>
                <w:rFonts w:cs="Arial"/>
                <w:sz w:val="14"/>
                <w:szCs w:val="14"/>
              </w:rPr>
              <w:t xml:space="preserve">168,470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2D0785EE" w14:textId="77777777">
            <w:pPr>
              <w:spacing w:after="0"/>
              <w:jc w:val="right"/>
              <w:rPr>
                <w:rFonts w:cs="Arial"/>
                <w:sz w:val="14"/>
                <w:szCs w:val="14"/>
                <w:lang w:val="en-US"/>
              </w:rPr>
            </w:pPr>
          </w:p>
        </w:tc>
      </w:tr>
      <w:tr w:rsidRPr="001F0679" w:rsidR="001F0679" w:rsidTr="00CC210C" w14:paraId="6DE86403" w14:textId="77777777">
        <w:tc>
          <w:tcPr>
            <w:tcW w:w="1304" w:type="dxa"/>
            <w:tcBorders>
              <w:top w:val="single" w:color="000000" w:sz="6" w:space="0"/>
              <w:left w:val="nil"/>
              <w:bottom w:val="nil"/>
              <w:right w:val="nil"/>
            </w:tcBorders>
            <w:tcMar>
              <w:top w:w="28" w:type="dxa"/>
              <w:left w:w="0" w:type="dxa"/>
              <w:bottom w:w="28" w:type="dxa"/>
              <w:right w:w="0" w:type="dxa"/>
            </w:tcMar>
          </w:tcPr>
          <w:p w:rsidRPr="001F0679" w:rsidR="001F0679" w:rsidP="001F0679" w:rsidRDefault="001F0679" w14:paraId="517A2761" w14:textId="77777777">
            <w:pPr>
              <w:spacing w:after="0"/>
              <w:rPr>
                <w:rFonts w:cs="Arial"/>
                <w:sz w:val="14"/>
                <w:szCs w:val="14"/>
              </w:rPr>
            </w:pPr>
            <w:r w:rsidRPr="001F0679">
              <w:rPr>
                <w:rFonts w:cs="Arial"/>
                <w:sz w:val="14"/>
                <w:szCs w:val="14"/>
              </w:rPr>
              <w:t>Victorian Law Reform Commission</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6458A68" w14:textId="77777777">
            <w:pPr>
              <w:spacing w:after="0"/>
              <w:jc w:val="right"/>
              <w:rPr>
                <w:rFonts w:cs="Arial"/>
                <w:sz w:val="14"/>
                <w:szCs w:val="14"/>
              </w:rPr>
            </w:pPr>
            <w:r w:rsidRPr="001F0679">
              <w:rPr>
                <w:rFonts w:cs="Arial"/>
                <w:sz w:val="14"/>
                <w:szCs w:val="14"/>
              </w:rPr>
              <w:t xml:space="preserve">691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4DB8D46"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5C799EF"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569480E"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2FE1FF1"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A1C5F1B"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D7960B4"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47FC7AF"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51C6CCC" w14:textId="77777777">
            <w:pPr>
              <w:spacing w:after="0"/>
              <w:jc w:val="right"/>
              <w:rPr>
                <w:rFonts w:cs="Arial"/>
                <w:sz w:val="14"/>
                <w:szCs w:val="14"/>
              </w:rPr>
            </w:pPr>
            <w:r w:rsidRPr="001F0679">
              <w:rPr>
                <w:rFonts w:cs="Arial"/>
                <w:sz w:val="14"/>
                <w:szCs w:val="14"/>
              </w:rPr>
              <w:t xml:space="preserve">691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E86C159" w14:textId="77777777">
            <w:pPr>
              <w:spacing w:after="0"/>
              <w:jc w:val="right"/>
              <w:rPr>
                <w:rFonts w:cs="Arial"/>
                <w:sz w:val="14"/>
                <w:szCs w:val="14"/>
              </w:rPr>
            </w:pPr>
            <w:r w:rsidRPr="001F0679">
              <w:rPr>
                <w:rFonts w:cs="Arial"/>
                <w:sz w:val="14"/>
                <w:szCs w:val="14"/>
              </w:rPr>
              <w:t xml:space="preserve">665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2B45B41" w14:textId="77777777">
            <w:pPr>
              <w:spacing w:after="0"/>
              <w:jc w:val="right"/>
              <w:rPr>
                <w:rFonts w:cs="Arial"/>
                <w:sz w:val="14"/>
                <w:szCs w:val="14"/>
              </w:rPr>
            </w:pPr>
            <w:r w:rsidRPr="001F0679">
              <w:rPr>
                <w:rFonts w:cs="Arial"/>
                <w:sz w:val="14"/>
                <w:szCs w:val="14"/>
              </w:rPr>
              <w:t xml:space="preserve">26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0C1DCA59" w14:textId="77777777">
            <w:pPr>
              <w:spacing w:after="0"/>
              <w:jc w:val="right"/>
              <w:rPr>
                <w:rFonts w:cs="Arial"/>
                <w:sz w:val="14"/>
                <w:szCs w:val="14"/>
                <w:lang w:val="en-US"/>
              </w:rPr>
            </w:pPr>
          </w:p>
        </w:tc>
      </w:tr>
      <w:tr w:rsidRPr="001F0679" w:rsidR="001F0679" w:rsidTr="00CC210C" w14:paraId="47D2F319" w14:textId="77777777">
        <w:tc>
          <w:tcPr>
            <w:tcW w:w="1304" w:type="dxa"/>
            <w:tcBorders>
              <w:top w:val="nil"/>
              <w:left w:val="nil"/>
              <w:bottom w:val="nil"/>
              <w:right w:val="nil"/>
            </w:tcBorders>
            <w:tcMar>
              <w:top w:w="28" w:type="dxa"/>
              <w:left w:w="0" w:type="dxa"/>
              <w:bottom w:w="28" w:type="dxa"/>
              <w:right w:w="0" w:type="dxa"/>
            </w:tcMar>
          </w:tcPr>
          <w:p w:rsidRPr="001F0679" w:rsidR="001F0679" w:rsidP="001F0679" w:rsidRDefault="001F0679" w14:paraId="0751C353" w14:textId="77777777">
            <w:pPr>
              <w:spacing w:after="0"/>
              <w:rPr>
                <w:rFonts w:cs="Arial"/>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6BF00EC" w14:textId="77777777">
            <w:pPr>
              <w:spacing w:after="0"/>
              <w:jc w:val="right"/>
              <w:rPr>
                <w:rFonts w:cs="Arial"/>
                <w:sz w:val="14"/>
                <w:szCs w:val="14"/>
              </w:rPr>
            </w:pPr>
            <w:r w:rsidRPr="001F0679">
              <w:rPr>
                <w:rFonts w:cs="Arial"/>
                <w:sz w:val="14"/>
                <w:szCs w:val="14"/>
              </w:rPr>
              <w:t xml:space="preserve">6,385,202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893394C" w14:textId="77777777">
            <w:pPr>
              <w:spacing w:after="0"/>
              <w:jc w:val="right"/>
              <w:rPr>
                <w:rFonts w:cs="Arial"/>
                <w:sz w:val="14"/>
                <w:szCs w:val="14"/>
              </w:rPr>
            </w:pPr>
            <w:r w:rsidRPr="001F0679">
              <w:rPr>
                <w:rFonts w:cs="Arial"/>
                <w:sz w:val="14"/>
                <w:szCs w:val="14"/>
              </w:rPr>
              <w:t xml:space="preserve">260,168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309F119"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F7339C7" w14:textId="77777777">
            <w:pPr>
              <w:spacing w:after="0"/>
              <w:jc w:val="right"/>
              <w:rPr>
                <w:rFonts w:cs="Arial"/>
                <w:sz w:val="14"/>
                <w:szCs w:val="14"/>
              </w:rPr>
            </w:pPr>
            <w:r w:rsidRPr="001F0679">
              <w:rPr>
                <w:rFonts w:cs="Arial"/>
                <w:sz w:val="14"/>
                <w:szCs w:val="14"/>
              </w:rPr>
              <w:t xml:space="preserve">237,756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27C5E23" w14:textId="77777777">
            <w:pPr>
              <w:spacing w:after="0"/>
              <w:jc w:val="right"/>
              <w:rPr>
                <w:rFonts w:cs="Arial"/>
                <w:sz w:val="14"/>
                <w:szCs w:val="14"/>
              </w:rPr>
            </w:pPr>
            <w:r w:rsidRPr="001F0679">
              <w:rPr>
                <w:rFonts w:cs="Arial"/>
                <w:sz w:val="14"/>
                <w:szCs w:val="14"/>
              </w:rPr>
              <w:t xml:space="preserve">34,707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8342C32" w14:textId="77777777">
            <w:pPr>
              <w:spacing w:after="0"/>
              <w:jc w:val="right"/>
              <w:rPr>
                <w:rFonts w:cs="Arial"/>
                <w:sz w:val="14"/>
                <w:szCs w:val="14"/>
              </w:rPr>
            </w:pPr>
            <w:r w:rsidRPr="001F0679">
              <w:rPr>
                <w:rFonts w:cs="Arial"/>
                <w:sz w:val="14"/>
                <w:szCs w:val="14"/>
              </w:rPr>
              <w:t xml:space="preserve">73,298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4905EF1" w14:textId="77777777">
            <w:pPr>
              <w:spacing w:after="0"/>
              <w:jc w:val="right"/>
              <w:rPr>
                <w:rFonts w:cs="Arial"/>
                <w:sz w:val="14"/>
                <w:szCs w:val="14"/>
              </w:rPr>
            </w:pPr>
            <w:r w:rsidRPr="001F0679">
              <w:rPr>
                <w:rFonts w:cs="Arial"/>
                <w:sz w:val="14"/>
                <w:szCs w:val="14"/>
              </w:rPr>
              <w:t xml:space="preserve">15,040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1972927"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F12A2B2" w14:textId="77777777">
            <w:pPr>
              <w:spacing w:after="0"/>
              <w:jc w:val="right"/>
              <w:rPr>
                <w:rFonts w:cs="Arial"/>
                <w:sz w:val="14"/>
                <w:szCs w:val="14"/>
              </w:rPr>
            </w:pPr>
            <w:r w:rsidRPr="001F0679">
              <w:rPr>
                <w:rFonts w:cs="Arial"/>
                <w:sz w:val="14"/>
                <w:szCs w:val="14"/>
              </w:rPr>
              <w:t xml:space="preserve">7,006,171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8F8654D" w14:textId="77777777">
            <w:pPr>
              <w:spacing w:after="0"/>
              <w:jc w:val="right"/>
              <w:rPr>
                <w:rFonts w:cs="Arial"/>
                <w:sz w:val="14"/>
                <w:szCs w:val="14"/>
              </w:rPr>
            </w:pPr>
            <w:r w:rsidRPr="001F0679">
              <w:rPr>
                <w:rFonts w:cs="Arial"/>
                <w:sz w:val="14"/>
                <w:szCs w:val="14"/>
              </w:rPr>
              <w:t xml:space="preserve">6,837,675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C52FE43" w14:textId="77777777">
            <w:pPr>
              <w:spacing w:after="0"/>
              <w:jc w:val="right"/>
              <w:rPr>
                <w:rFonts w:cs="Arial"/>
                <w:sz w:val="14"/>
                <w:szCs w:val="14"/>
              </w:rPr>
            </w:pPr>
            <w:r w:rsidRPr="001F0679">
              <w:rPr>
                <w:rFonts w:cs="Arial"/>
                <w:sz w:val="14"/>
                <w:szCs w:val="14"/>
              </w:rPr>
              <w:t xml:space="preserve">168,496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66F10829" w14:textId="77777777">
            <w:pPr>
              <w:spacing w:after="0"/>
              <w:jc w:val="right"/>
              <w:rPr>
                <w:rFonts w:cs="Arial"/>
                <w:sz w:val="14"/>
                <w:szCs w:val="14"/>
                <w:lang w:val="en-US"/>
              </w:rPr>
            </w:pPr>
          </w:p>
        </w:tc>
      </w:tr>
      <w:tr w:rsidRPr="001F0679" w:rsidR="001F0679" w:rsidTr="00CC210C" w14:paraId="7EF24450" w14:textId="77777777">
        <w:tc>
          <w:tcPr>
            <w:tcW w:w="1304" w:type="dxa"/>
            <w:tcBorders>
              <w:top w:val="nil"/>
              <w:left w:val="nil"/>
              <w:bottom w:val="nil"/>
              <w:right w:val="nil"/>
            </w:tcBorders>
            <w:tcMar>
              <w:top w:w="28" w:type="dxa"/>
              <w:left w:w="0" w:type="dxa"/>
              <w:bottom w:w="28" w:type="dxa"/>
              <w:right w:w="0" w:type="dxa"/>
            </w:tcMar>
          </w:tcPr>
          <w:p w:rsidRPr="001F0679" w:rsidR="001F0679" w:rsidP="001F0679" w:rsidRDefault="001F0679" w14:paraId="02C4D6A2" w14:textId="77777777">
            <w:pPr>
              <w:spacing w:after="0"/>
              <w:rPr>
                <w:rFonts w:cs="Arial"/>
                <w:sz w:val="14"/>
                <w:szCs w:val="14"/>
              </w:rPr>
            </w:pPr>
            <w:r w:rsidRPr="001F0679">
              <w:rPr>
                <w:rFonts w:cs="Arial"/>
                <w:sz w:val="14"/>
                <w:szCs w:val="14"/>
              </w:rPr>
              <w:t>Additions to net asset base</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46AC271" w14:textId="77777777">
            <w:pPr>
              <w:spacing w:after="0"/>
              <w:jc w:val="right"/>
              <w:rPr>
                <w:rFonts w:cs="Arial"/>
                <w:sz w:val="14"/>
                <w:szCs w:val="14"/>
              </w:rPr>
            </w:pPr>
            <w:r w:rsidRPr="001F0679">
              <w:rPr>
                <w:rFonts w:cs="Arial"/>
                <w:sz w:val="14"/>
                <w:szCs w:val="14"/>
              </w:rPr>
              <w:t xml:space="preserve">715,504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EB24EBC" w14:textId="77777777">
            <w:pPr>
              <w:spacing w:after="0"/>
              <w:jc w:val="right"/>
              <w:rPr>
                <w:rFonts w:cs="Arial"/>
                <w:sz w:val="14"/>
                <w:szCs w:val="14"/>
              </w:rPr>
            </w:pPr>
            <w:r w:rsidRPr="001F0679">
              <w:rPr>
                <w:rFonts w:cs="Arial"/>
                <w:sz w:val="14"/>
                <w:szCs w:val="14"/>
              </w:rPr>
              <w:t xml:space="preserve">95,390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9833912"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A3138E8" w14:textId="77777777">
            <w:pPr>
              <w:spacing w:after="0"/>
              <w:jc w:val="right"/>
              <w:rPr>
                <w:rFonts w:cs="Arial"/>
                <w:sz w:val="14"/>
                <w:szCs w:val="14"/>
              </w:rPr>
            </w:pPr>
            <w:r w:rsidRPr="001F0679">
              <w:rPr>
                <w:rFonts w:cs="Arial"/>
                <w:sz w:val="14"/>
                <w:szCs w:val="14"/>
              </w:rPr>
              <w:t xml:space="preserve">324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D612686" w14:textId="77777777">
            <w:pPr>
              <w:spacing w:after="0"/>
              <w:jc w:val="right"/>
              <w:rPr>
                <w:rFonts w:cs="Arial"/>
                <w:sz w:val="14"/>
                <w:szCs w:val="14"/>
              </w:rPr>
            </w:pPr>
            <w:r w:rsidRPr="001F0679">
              <w:rPr>
                <w:rFonts w:cs="Arial"/>
                <w:sz w:val="14"/>
                <w:szCs w:val="14"/>
              </w:rPr>
              <w:t>(34,707)</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30FC177" w14:textId="77777777">
            <w:pPr>
              <w:spacing w:after="0"/>
              <w:jc w:val="right"/>
              <w:rPr>
                <w:rFonts w:cs="Arial"/>
                <w:sz w:val="14"/>
                <w:szCs w:val="14"/>
              </w:rPr>
            </w:pPr>
            <w:r w:rsidRPr="001F0679">
              <w:rPr>
                <w:rFonts w:cs="Arial"/>
                <w:sz w:val="14"/>
                <w:szCs w:val="14"/>
              </w:rPr>
              <w:t xml:space="preserve">92,055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E7DC374" w14:textId="77777777">
            <w:pPr>
              <w:spacing w:after="0"/>
              <w:jc w:val="right"/>
              <w:rPr>
                <w:rFonts w:cs="Arial"/>
                <w:sz w:val="14"/>
                <w:szCs w:val="14"/>
              </w:rPr>
            </w:pPr>
            <w:r w:rsidRPr="001F0679">
              <w:rPr>
                <w:rFonts w:cs="Arial"/>
                <w:sz w:val="14"/>
                <w:szCs w:val="14"/>
              </w:rPr>
              <w:t xml:space="preserve">7,900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9C00F16"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80F7F95" w14:textId="77777777">
            <w:pPr>
              <w:spacing w:after="0"/>
              <w:jc w:val="right"/>
              <w:rPr>
                <w:rFonts w:cs="Arial"/>
                <w:sz w:val="14"/>
                <w:szCs w:val="14"/>
              </w:rPr>
            </w:pPr>
            <w:r w:rsidRPr="001F0679">
              <w:rPr>
                <w:rFonts w:cs="Arial"/>
                <w:sz w:val="14"/>
                <w:szCs w:val="14"/>
              </w:rPr>
              <w:t xml:space="preserve">876,466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59E40A3" w14:textId="77777777">
            <w:pPr>
              <w:spacing w:after="0"/>
              <w:jc w:val="right"/>
              <w:rPr>
                <w:rFonts w:cs="Arial"/>
                <w:sz w:val="14"/>
                <w:szCs w:val="14"/>
              </w:rPr>
            </w:pPr>
            <w:r w:rsidRPr="001F0679">
              <w:rPr>
                <w:rFonts w:cs="Arial"/>
                <w:sz w:val="14"/>
                <w:szCs w:val="14"/>
              </w:rPr>
              <w:t xml:space="preserve">611,379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732267F5" w14:textId="77777777">
            <w:pPr>
              <w:spacing w:after="0"/>
              <w:jc w:val="right"/>
              <w:rPr>
                <w:rFonts w:cs="Arial"/>
                <w:sz w:val="14"/>
                <w:szCs w:val="14"/>
              </w:rPr>
            </w:pPr>
            <w:r w:rsidRPr="001F0679">
              <w:rPr>
                <w:rFonts w:cs="Arial"/>
                <w:sz w:val="14"/>
                <w:szCs w:val="14"/>
              </w:rPr>
              <w:t xml:space="preserve">265,087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09FB0B6F" w14:textId="77777777">
            <w:pPr>
              <w:spacing w:after="0"/>
              <w:jc w:val="right"/>
              <w:rPr>
                <w:rFonts w:cs="Arial"/>
                <w:sz w:val="14"/>
                <w:szCs w:val="14"/>
                <w:lang w:val="en-US"/>
              </w:rPr>
            </w:pPr>
          </w:p>
        </w:tc>
      </w:tr>
      <w:tr w:rsidRPr="00157D7F" w:rsidR="001F0679" w:rsidTr="00CC210C" w14:paraId="67FDFC48" w14:textId="77777777">
        <w:tc>
          <w:tcPr>
            <w:tcW w:w="1304" w:type="dxa"/>
            <w:tcBorders>
              <w:top w:val="nil"/>
              <w:left w:val="nil"/>
              <w:bottom w:val="nil"/>
              <w:right w:val="nil"/>
            </w:tcBorders>
            <w:tcMar>
              <w:top w:w="28" w:type="dxa"/>
              <w:left w:w="0" w:type="dxa"/>
              <w:bottom w:w="28" w:type="dxa"/>
              <w:right w:w="0" w:type="dxa"/>
            </w:tcMar>
          </w:tcPr>
          <w:p w:rsidRPr="00157D7F" w:rsidR="001F0679" w:rsidP="001F0679" w:rsidRDefault="001F0679" w14:paraId="2F33AA99" w14:textId="77777777">
            <w:pPr>
              <w:spacing w:after="0"/>
              <w:rPr>
                <w:rFonts w:cs="Arial"/>
                <w:b/>
                <w:sz w:val="14"/>
                <w:szCs w:val="14"/>
              </w:rPr>
            </w:pPr>
            <w:r w:rsidRPr="00157D7F">
              <w:rPr>
                <w:rFonts w:cs="Arial"/>
                <w:b/>
                <w:sz w:val="14"/>
                <w:szCs w:val="14"/>
              </w:rPr>
              <w:t>Administered</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6C247B08"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4E90DEBC"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26BDC3D1" w14:textId="77777777">
            <w:pPr>
              <w:spacing w:after="0"/>
              <w:jc w:val="right"/>
              <w:rPr>
                <w:rFonts w:cs="Arial"/>
                <w:b/>
                <w:sz w:val="14"/>
                <w:szCs w:val="14"/>
                <w:lang w:val="en-US"/>
              </w:rPr>
            </w:pP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590DE385"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04DE40CF"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5D68F05B" w14:textId="77777777">
            <w:pPr>
              <w:spacing w:after="0"/>
              <w:jc w:val="right"/>
              <w:rPr>
                <w:rFonts w:cs="Arial"/>
                <w:b/>
                <w:sz w:val="14"/>
                <w:szCs w:val="14"/>
                <w:lang w:val="en-US"/>
              </w:rPr>
            </w:pP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1DD9C4E1" w14:textId="77777777">
            <w:pPr>
              <w:spacing w:after="0"/>
              <w:jc w:val="right"/>
              <w:rPr>
                <w:rFonts w:cs="Arial"/>
                <w:b/>
                <w:sz w:val="14"/>
                <w:szCs w:val="14"/>
                <w:lang w:val="en-US"/>
              </w:rPr>
            </w:pP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46629BD8" w14:textId="77777777">
            <w:pPr>
              <w:spacing w:after="0"/>
              <w:jc w:val="right"/>
              <w:rPr>
                <w:rFonts w:cs="Arial"/>
                <w:b/>
                <w:sz w:val="14"/>
                <w:szCs w:val="14"/>
                <w:lang w:val="en-US"/>
              </w:rPr>
            </w:pP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50017879" w14:textId="77777777">
            <w:pPr>
              <w:spacing w:after="0"/>
              <w:jc w:val="right"/>
              <w:rPr>
                <w:rFonts w:cs="Arial"/>
                <w:b/>
                <w:sz w:val="14"/>
                <w:szCs w:val="14"/>
                <w:lang w:val="en-US"/>
              </w:rPr>
            </w:pP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63778CFA" w14:textId="77777777">
            <w:pPr>
              <w:spacing w:after="0"/>
              <w:jc w:val="right"/>
              <w:rPr>
                <w:rFonts w:cs="Arial"/>
                <w:b/>
                <w:sz w:val="14"/>
                <w:szCs w:val="14"/>
                <w:lang w:val="en-US"/>
              </w:rPr>
            </w:pP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7C68368C" w14:textId="77777777">
            <w:pPr>
              <w:spacing w:after="0"/>
              <w:jc w:val="right"/>
              <w:rPr>
                <w:rFonts w:cs="Arial"/>
                <w:b/>
                <w:sz w:val="14"/>
                <w:szCs w:val="14"/>
                <w:lang w:val="en-US"/>
              </w:rPr>
            </w:pPr>
          </w:p>
        </w:tc>
        <w:tc>
          <w:tcPr>
            <w:tcW w:w="284" w:type="dxa"/>
            <w:tcBorders>
              <w:top w:val="nil"/>
              <w:left w:val="nil"/>
              <w:bottom w:val="nil"/>
              <w:right w:val="nil"/>
            </w:tcBorders>
            <w:tcMar>
              <w:top w:w="28" w:type="dxa"/>
              <w:left w:w="57" w:type="dxa"/>
              <w:bottom w:w="28" w:type="dxa"/>
              <w:right w:w="0" w:type="dxa"/>
            </w:tcMar>
          </w:tcPr>
          <w:p w:rsidRPr="00157D7F" w:rsidR="001F0679" w:rsidP="001F0679" w:rsidRDefault="001F0679" w14:paraId="45018FFF" w14:textId="77777777">
            <w:pPr>
              <w:spacing w:after="0"/>
              <w:jc w:val="right"/>
              <w:rPr>
                <w:rFonts w:cs="Arial"/>
                <w:b/>
                <w:sz w:val="14"/>
                <w:szCs w:val="14"/>
                <w:lang w:val="en-US"/>
              </w:rPr>
            </w:pPr>
          </w:p>
        </w:tc>
      </w:tr>
      <w:tr w:rsidRPr="001F0679" w:rsidR="001F0679" w:rsidTr="00CC210C" w14:paraId="32F9916E" w14:textId="77777777">
        <w:tc>
          <w:tcPr>
            <w:tcW w:w="1304" w:type="dxa"/>
            <w:tcBorders>
              <w:top w:val="nil"/>
              <w:left w:val="nil"/>
              <w:bottom w:val="single" w:color="000000" w:sz="6" w:space="0"/>
              <w:right w:val="nil"/>
            </w:tcBorders>
            <w:tcMar>
              <w:top w:w="28" w:type="dxa"/>
              <w:left w:w="0" w:type="dxa"/>
              <w:bottom w:w="28" w:type="dxa"/>
              <w:right w:w="0" w:type="dxa"/>
            </w:tcMar>
          </w:tcPr>
          <w:p w:rsidRPr="001F0679" w:rsidR="001F0679" w:rsidP="001F0679" w:rsidRDefault="001F0679" w14:paraId="15C43D69" w14:textId="77777777">
            <w:pPr>
              <w:spacing w:after="0"/>
              <w:rPr>
                <w:rFonts w:cs="Arial"/>
                <w:sz w:val="14"/>
                <w:szCs w:val="14"/>
              </w:rPr>
            </w:pPr>
            <w:r w:rsidRPr="001F0679">
              <w:rPr>
                <w:rFonts w:cs="Arial"/>
                <w:sz w:val="14"/>
                <w:szCs w:val="14"/>
              </w:rPr>
              <w:t>Payments made on behalf of State</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474A429" w14:textId="77777777">
            <w:pPr>
              <w:spacing w:after="0"/>
              <w:jc w:val="right"/>
              <w:rPr>
                <w:rFonts w:cs="Arial"/>
                <w:sz w:val="14"/>
                <w:szCs w:val="14"/>
              </w:rPr>
            </w:pPr>
            <w:r w:rsidRPr="001F0679">
              <w:rPr>
                <w:rFonts w:cs="Arial"/>
                <w:sz w:val="14"/>
                <w:szCs w:val="14"/>
              </w:rPr>
              <w:t xml:space="preserve">36,001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29CA8985"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A0A77E0" w14:textId="77777777">
            <w:pPr>
              <w:spacing w:after="0"/>
              <w:jc w:val="right"/>
              <w:rPr>
                <w:rFonts w:cs="Arial"/>
                <w:sz w:val="14"/>
                <w:szCs w:val="14"/>
              </w:rPr>
            </w:pPr>
            <w:r w:rsidRPr="001F0679">
              <w:rPr>
                <w:rFonts w:cs="Arial"/>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EA5ADEE"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150E7056"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65F843CB" w14:textId="77777777">
            <w:pPr>
              <w:spacing w:after="0"/>
              <w:jc w:val="right"/>
              <w:rPr>
                <w:rFonts w:cs="Arial"/>
                <w:sz w:val="14"/>
                <w:szCs w:val="14"/>
              </w:rPr>
            </w:pPr>
            <w:r w:rsidRPr="001F0679">
              <w:rPr>
                <w:rFonts w:cs="Arial"/>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004DB790" w14:textId="77777777">
            <w:pPr>
              <w:spacing w:after="0"/>
              <w:jc w:val="right"/>
              <w:rPr>
                <w:rFonts w:cs="Arial"/>
                <w:sz w:val="14"/>
                <w:szCs w:val="14"/>
              </w:rPr>
            </w:pPr>
            <w:r w:rsidRPr="001F0679">
              <w:rPr>
                <w:rFonts w:cs="Arial"/>
                <w:sz w:val="14"/>
                <w:szCs w:val="14"/>
              </w:rPr>
              <w:t xml:space="preserve">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4087C99B" w14:textId="77777777">
            <w:pPr>
              <w:spacing w:after="0"/>
              <w:jc w:val="right"/>
              <w:rPr>
                <w:rFonts w:cs="Arial"/>
                <w:sz w:val="14"/>
                <w:szCs w:val="14"/>
              </w:rPr>
            </w:pPr>
            <w:r w:rsidRPr="001F0679">
              <w:rPr>
                <w:rFonts w:cs="Arial"/>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44E254A" w14:textId="77777777">
            <w:pPr>
              <w:spacing w:after="0"/>
              <w:jc w:val="right"/>
              <w:rPr>
                <w:rFonts w:cs="Arial"/>
                <w:sz w:val="14"/>
                <w:szCs w:val="14"/>
              </w:rPr>
            </w:pPr>
            <w:r w:rsidRPr="001F0679">
              <w:rPr>
                <w:rFonts w:cs="Arial"/>
                <w:sz w:val="14"/>
                <w:szCs w:val="14"/>
              </w:rPr>
              <w:t xml:space="preserve">36,001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34F951EA" w14:textId="77777777">
            <w:pPr>
              <w:spacing w:after="0"/>
              <w:jc w:val="right"/>
              <w:rPr>
                <w:rFonts w:cs="Arial"/>
                <w:sz w:val="14"/>
                <w:szCs w:val="14"/>
              </w:rPr>
            </w:pPr>
            <w:r w:rsidRPr="001F0679">
              <w:rPr>
                <w:rFonts w:cs="Arial"/>
                <w:sz w:val="14"/>
                <w:szCs w:val="14"/>
              </w:rPr>
              <w:t xml:space="preserve">28,976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F0679" w:rsidR="001F0679" w:rsidP="001F0679" w:rsidRDefault="001F0679" w14:paraId="5BC8432A" w14:textId="77777777">
            <w:pPr>
              <w:spacing w:after="0"/>
              <w:jc w:val="right"/>
              <w:rPr>
                <w:rFonts w:cs="Arial"/>
                <w:sz w:val="14"/>
                <w:szCs w:val="14"/>
              </w:rPr>
            </w:pPr>
            <w:r w:rsidRPr="001F0679">
              <w:rPr>
                <w:rFonts w:cs="Arial"/>
                <w:sz w:val="14"/>
                <w:szCs w:val="14"/>
              </w:rPr>
              <w:t xml:space="preserve">7,025 </w:t>
            </w:r>
          </w:p>
        </w:tc>
        <w:tc>
          <w:tcPr>
            <w:tcW w:w="284" w:type="dxa"/>
            <w:tcBorders>
              <w:top w:val="nil"/>
              <w:left w:val="nil"/>
              <w:bottom w:val="nil"/>
              <w:right w:val="nil"/>
            </w:tcBorders>
            <w:tcMar>
              <w:top w:w="28" w:type="dxa"/>
              <w:left w:w="57" w:type="dxa"/>
              <w:bottom w:w="28" w:type="dxa"/>
              <w:right w:w="0" w:type="dxa"/>
            </w:tcMar>
          </w:tcPr>
          <w:p w:rsidRPr="001F0679" w:rsidR="001F0679" w:rsidP="001F0679" w:rsidRDefault="001F0679" w14:paraId="2CC59533" w14:textId="77777777">
            <w:pPr>
              <w:spacing w:after="0"/>
              <w:jc w:val="right"/>
              <w:rPr>
                <w:rFonts w:cs="Arial"/>
                <w:sz w:val="14"/>
                <w:szCs w:val="14"/>
                <w:lang w:val="en-US"/>
              </w:rPr>
            </w:pPr>
          </w:p>
        </w:tc>
      </w:tr>
      <w:tr w:rsidRPr="00157D7F" w:rsidR="001F0679" w:rsidTr="00CC210C" w14:paraId="453C4ED6" w14:textId="77777777">
        <w:tc>
          <w:tcPr>
            <w:tcW w:w="130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2B4D02E0" w14:textId="77777777">
            <w:pPr>
              <w:spacing w:after="0"/>
              <w:rPr>
                <w:rFonts w:cs="Arial"/>
                <w:b/>
                <w:sz w:val="14"/>
                <w:szCs w:val="14"/>
              </w:rPr>
            </w:pPr>
            <w:r w:rsidRPr="00157D7F">
              <w:rPr>
                <w:rFonts w:cs="Arial"/>
                <w:b/>
                <w:sz w:val="14"/>
                <w:szCs w:val="14"/>
              </w:rPr>
              <w:t>Total</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44742404" w14:textId="77777777">
            <w:pPr>
              <w:spacing w:after="0"/>
              <w:jc w:val="right"/>
              <w:rPr>
                <w:rFonts w:cs="Arial"/>
                <w:b/>
                <w:sz w:val="14"/>
                <w:szCs w:val="14"/>
              </w:rPr>
            </w:pPr>
            <w:r w:rsidRPr="00157D7F">
              <w:rPr>
                <w:rFonts w:cs="Arial"/>
                <w:b/>
                <w:sz w:val="14"/>
                <w:szCs w:val="14"/>
              </w:rPr>
              <w:t xml:space="preserve">7,136,707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369682B9" w14:textId="77777777">
            <w:pPr>
              <w:spacing w:after="0"/>
              <w:jc w:val="right"/>
              <w:rPr>
                <w:rFonts w:cs="Arial"/>
                <w:b/>
                <w:sz w:val="14"/>
                <w:szCs w:val="14"/>
              </w:rPr>
            </w:pPr>
            <w:r w:rsidRPr="00157D7F">
              <w:rPr>
                <w:rFonts w:cs="Arial"/>
                <w:b/>
                <w:sz w:val="14"/>
                <w:szCs w:val="14"/>
              </w:rPr>
              <w:t xml:space="preserve">355,558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4721C1CF" w14:textId="77777777">
            <w:pPr>
              <w:spacing w:after="0"/>
              <w:jc w:val="right"/>
              <w:rPr>
                <w:rFonts w:cs="Arial"/>
                <w:b/>
                <w:sz w:val="14"/>
                <w:szCs w:val="14"/>
              </w:rPr>
            </w:pPr>
            <w:r w:rsidRPr="00157D7F">
              <w:rPr>
                <w:rFonts w:cs="Arial"/>
                <w:b/>
                <w:sz w:val="14"/>
                <w:szCs w:val="14"/>
              </w:rPr>
              <w:t xml:space="preserve">0 </w:t>
            </w:r>
          </w:p>
        </w:tc>
        <w:tc>
          <w:tcPr>
            <w:tcW w:w="62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7514EA6D" w14:textId="77777777">
            <w:pPr>
              <w:spacing w:after="0"/>
              <w:jc w:val="right"/>
              <w:rPr>
                <w:rFonts w:cs="Arial"/>
                <w:b/>
                <w:sz w:val="14"/>
                <w:szCs w:val="14"/>
              </w:rPr>
            </w:pPr>
            <w:r w:rsidRPr="00157D7F">
              <w:rPr>
                <w:rFonts w:cs="Arial"/>
                <w:b/>
                <w:sz w:val="14"/>
                <w:szCs w:val="14"/>
              </w:rPr>
              <w:t xml:space="preserve">238,080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3E725BB2" w14:textId="77777777">
            <w:pPr>
              <w:spacing w:after="0"/>
              <w:jc w:val="right"/>
              <w:rPr>
                <w:rFonts w:cs="Arial"/>
                <w:b/>
                <w:sz w:val="14"/>
                <w:szCs w:val="14"/>
              </w:rPr>
            </w:pPr>
            <w:r w:rsidRPr="00157D7F">
              <w:rPr>
                <w:rFonts w:cs="Arial"/>
                <w:b/>
                <w:sz w:val="14"/>
                <w:szCs w:val="14"/>
              </w:rPr>
              <w:t xml:space="preserve">0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44349E7F" w14:textId="77777777">
            <w:pPr>
              <w:spacing w:after="0"/>
              <w:jc w:val="right"/>
              <w:rPr>
                <w:rFonts w:cs="Arial"/>
                <w:b/>
                <w:sz w:val="14"/>
                <w:szCs w:val="14"/>
              </w:rPr>
            </w:pPr>
            <w:r w:rsidRPr="00157D7F">
              <w:rPr>
                <w:rFonts w:cs="Arial"/>
                <w:b/>
                <w:sz w:val="14"/>
                <w:szCs w:val="14"/>
              </w:rPr>
              <w:t xml:space="preserve">165,353 </w:t>
            </w:r>
          </w:p>
        </w:tc>
        <w:tc>
          <w:tcPr>
            <w:tcW w:w="595"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31B13804" w14:textId="77777777">
            <w:pPr>
              <w:spacing w:after="0"/>
              <w:jc w:val="right"/>
              <w:rPr>
                <w:rFonts w:cs="Arial"/>
                <w:b/>
                <w:sz w:val="14"/>
                <w:szCs w:val="14"/>
              </w:rPr>
            </w:pPr>
            <w:r w:rsidRPr="00157D7F">
              <w:rPr>
                <w:rFonts w:cs="Arial"/>
                <w:b/>
                <w:sz w:val="14"/>
                <w:szCs w:val="14"/>
              </w:rPr>
              <w:t xml:space="preserve">22,940 </w:t>
            </w:r>
          </w:p>
        </w:tc>
        <w:tc>
          <w:tcPr>
            <w:tcW w:w="96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76BECF09" w14:textId="77777777">
            <w:pPr>
              <w:spacing w:after="0"/>
              <w:jc w:val="right"/>
              <w:rPr>
                <w:rFonts w:cs="Arial"/>
                <w:b/>
                <w:sz w:val="14"/>
                <w:szCs w:val="14"/>
              </w:rPr>
            </w:pPr>
            <w:r w:rsidRPr="00157D7F">
              <w:rPr>
                <w:rFonts w:cs="Arial"/>
                <w:b/>
                <w:sz w:val="14"/>
                <w:szCs w:val="14"/>
              </w:rPr>
              <w:t xml:space="preserve">0 </w:t>
            </w:r>
          </w:p>
        </w:tc>
        <w:tc>
          <w:tcPr>
            <w:tcW w:w="107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11198774" w14:textId="77777777">
            <w:pPr>
              <w:spacing w:after="0"/>
              <w:jc w:val="right"/>
              <w:rPr>
                <w:rFonts w:cs="Arial"/>
                <w:b/>
                <w:sz w:val="14"/>
                <w:szCs w:val="14"/>
              </w:rPr>
            </w:pPr>
            <w:r w:rsidRPr="00157D7F">
              <w:rPr>
                <w:rFonts w:cs="Arial"/>
                <w:b/>
                <w:sz w:val="14"/>
                <w:szCs w:val="14"/>
              </w:rPr>
              <w:t xml:space="preserve">7,918,638 </w:t>
            </w:r>
          </w:p>
        </w:tc>
        <w:tc>
          <w:tcPr>
            <w:tcW w:w="1134"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1B6E384C" w14:textId="77777777">
            <w:pPr>
              <w:spacing w:after="0"/>
              <w:jc w:val="right"/>
              <w:rPr>
                <w:rFonts w:cs="Arial"/>
                <w:b/>
                <w:sz w:val="14"/>
                <w:szCs w:val="14"/>
              </w:rPr>
            </w:pPr>
            <w:r w:rsidRPr="00157D7F">
              <w:rPr>
                <w:rFonts w:cs="Arial"/>
                <w:b/>
                <w:sz w:val="14"/>
                <w:szCs w:val="14"/>
              </w:rPr>
              <w:t xml:space="preserve">7,478,030 </w:t>
            </w:r>
          </w:p>
        </w:tc>
        <w:tc>
          <w:tcPr>
            <w:tcW w:w="737" w:type="dxa"/>
            <w:tcBorders>
              <w:top w:val="single" w:color="000000" w:sz="6" w:space="0"/>
              <w:left w:val="nil"/>
              <w:bottom w:val="single" w:color="000000" w:sz="6" w:space="0"/>
              <w:right w:val="nil"/>
            </w:tcBorders>
            <w:tcMar>
              <w:top w:w="28" w:type="dxa"/>
              <w:left w:w="0" w:type="dxa"/>
              <w:bottom w:w="28" w:type="dxa"/>
              <w:right w:w="0" w:type="dxa"/>
            </w:tcMar>
          </w:tcPr>
          <w:p w:rsidRPr="00157D7F" w:rsidR="001F0679" w:rsidP="001F0679" w:rsidRDefault="001F0679" w14:paraId="6E727633" w14:textId="77777777">
            <w:pPr>
              <w:spacing w:after="0"/>
              <w:jc w:val="right"/>
              <w:rPr>
                <w:rFonts w:cs="Arial"/>
                <w:b/>
                <w:sz w:val="14"/>
                <w:szCs w:val="14"/>
              </w:rPr>
            </w:pPr>
            <w:r w:rsidRPr="00157D7F">
              <w:rPr>
                <w:rFonts w:cs="Arial"/>
                <w:b/>
                <w:sz w:val="14"/>
                <w:szCs w:val="14"/>
              </w:rPr>
              <w:t xml:space="preserve">440,608 </w:t>
            </w:r>
          </w:p>
        </w:tc>
        <w:tc>
          <w:tcPr>
            <w:tcW w:w="284" w:type="dxa"/>
            <w:tcBorders>
              <w:top w:val="nil"/>
              <w:left w:val="nil"/>
              <w:bottom w:val="nil"/>
              <w:right w:val="nil"/>
            </w:tcBorders>
            <w:tcMar>
              <w:top w:w="28" w:type="dxa"/>
              <w:left w:w="57" w:type="dxa"/>
              <w:bottom w:w="28" w:type="dxa"/>
              <w:right w:w="0" w:type="dxa"/>
            </w:tcMar>
          </w:tcPr>
          <w:p w:rsidRPr="00157D7F" w:rsidR="001F0679" w:rsidP="001F0679" w:rsidRDefault="001F0679" w14:paraId="382D8461" w14:textId="77777777">
            <w:pPr>
              <w:spacing w:after="0"/>
              <w:jc w:val="right"/>
              <w:rPr>
                <w:rFonts w:cs="Arial"/>
                <w:b/>
                <w:sz w:val="14"/>
                <w:szCs w:val="14"/>
                <w:lang w:val="en-US"/>
              </w:rPr>
            </w:pPr>
          </w:p>
        </w:tc>
      </w:tr>
    </w:tbl>
    <w:p w:rsidRPr="00157D7F" w:rsidR="001F0679" w:rsidP="00157D7F" w:rsidRDefault="001F0679" w14:paraId="35A93A2A" w14:textId="77777777">
      <w:pPr>
        <w:pStyle w:val="notes"/>
        <w:spacing w:after="0"/>
      </w:pPr>
    </w:p>
    <w:p w:rsidRPr="00157D7F" w:rsidR="001F0679" w:rsidP="00157D7F" w:rsidRDefault="001F0679" w14:paraId="38292F9B" w14:textId="77777777">
      <w:pPr>
        <w:pStyle w:val="notes"/>
        <w:spacing w:after="0"/>
        <w:ind w:left="284" w:hanging="284"/>
        <w:rPr>
          <w:b/>
        </w:rPr>
      </w:pPr>
      <w:r w:rsidRPr="00157D7F">
        <w:rPr>
          <w:b/>
        </w:rPr>
        <w:t>(i)</w:t>
      </w:r>
      <w:r w:rsidRPr="00157D7F">
        <w:rPr>
          <w:b/>
        </w:rPr>
        <w:tab/>
        <w:t>Controlled - provision of outputs (including Victorian Law Reform Commission)</w:t>
      </w:r>
    </w:p>
    <w:p w:rsidRPr="00157D7F" w:rsidR="001F0679" w:rsidP="00157D7F" w:rsidRDefault="001F0679" w14:paraId="1F1418B0" w14:textId="77777777">
      <w:pPr>
        <w:pStyle w:val="notes"/>
        <w:spacing w:after="0"/>
        <w:ind w:left="284" w:hanging="284"/>
      </w:pPr>
      <w:r w:rsidRPr="00157D7F">
        <w:tab/>
        <w:t>The majority of the $120.386 million variance (2018: $168.496 million) relates to carryover of output appropriations from 2018-19 to 2019-20.</w:t>
      </w:r>
    </w:p>
    <w:p w:rsidRPr="00157D7F" w:rsidR="001F0679" w:rsidP="00157D7F" w:rsidRDefault="001F0679" w14:paraId="6103E76F" w14:textId="77777777">
      <w:pPr>
        <w:pStyle w:val="notes"/>
        <w:spacing w:after="0"/>
        <w:ind w:left="284" w:hanging="284"/>
      </w:pPr>
      <w:r w:rsidRPr="00157D7F">
        <w:tab/>
        <w:t>The primary drivers of the carryovers are:</w:t>
      </w:r>
    </w:p>
    <w:p w:rsidRPr="00157D7F" w:rsidR="001F0679" w:rsidP="00157D7F" w:rsidRDefault="001F0679" w14:paraId="6DD282CF" w14:textId="7BF31619">
      <w:pPr>
        <w:pStyle w:val="Bullet2"/>
        <w:spacing w:after="0"/>
        <w:ind w:left="568" w:hanging="284"/>
        <w:rPr>
          <w:sz w:val="15"/>
          <w:szCs w:val="15"/>
        </w:rPr>
      </w:pPr>
      <w:r w:rsidRPr="00157D7F">
        <w:rPr>
          <w:sz w:val="15"/>
          <w:szCs w:val="15"/>
        </w:rPr>
        <w:t>Community Crime Prevention Grants – The carryover of funds for the Melbourne CBD security measures initiative is required to support scheduled works in 2019-20. Implementation delays have occurred to deliver benefits identified through latest specialist advice on the security approach to protective effectiveness and other site outcomes.</w:t>
      </w:r>
    </w:p>
    <w:p w:rsidRPr="00157D7F" w:rsidR="001F0679" w:rsidP="00157D7F" w:rsidRDefault="001F0679" w14:paraId="3FF13835" w14:textId="37A3C501">
      <w:pPr>
        <w:pStyle w:val="Bullet2"/>
        <w:spacing w:after="0"/>
        <w:ind w:left="568" w:hanging="284"/>
        <w:rPr>
          <w:sz w:val="15"/>
          <w:szCs w:val="15"/>
        </w:rPr>
      </w:pPr>
      <w:r w:rsidRPr="00157D7F">
        <w:rPr>
          <w:sz w:val="15"/>
          <w:szCs w:val="15"/>
        </w:rPr>
        <w:t xml:space="preserve">Natural Disaster Resilience Grant Scheme – The scheme is contracted over two financial years under the National Partnership Agreement (NPA). Due to some grant recipients not meeting the required deliverable and delays in the NPA project implementation, payments of grants have been extended into 2019-20. </w:t>
      </w:r>
    </w:p>
    <w:p w:rsidRPr="00157D7F" w:rsidR="001F0679" w:rsidP="00157D7F" w:rsidRDefault="001F0679" w14:paraId="24063095" w14:textId="20C97E06">
      <w:pPr>
        <w:pStyle w:val="Bullet2"/>
        <w:spacing w:after="0"/>
        <w:ind w:left="568" w:hanging="284"/>
        <w:rPr>
          <w:sz w:val="15"/>
          <w:szCs w:val="15"/>
        </w:rPr>
      </w:pPr>
      <w:r w:rsidRPr="00157D7F">
        <w:rPr>
          <w:sz w:val="15"/>
          <w:szCs w:val="15"/>
        </w:rPr>
        <w:t>Correction Victoria prison related projects - The carryover of funds is required for the implementation of the Management of Serious Offenders and Community Corrections - Contributing to a Safer Community initiative. A number of related projects have been delayed in 2018-19 and the carryover will ensure the department can complete the program. In addition, evaluations for the Expanding community corrections and Family Violence reforms under the Community Corrections - Contributing to a Safer Community initiative have been delayed, which further increases the carryover of funds in 2019-20.</w:t>
      </w:r>
    </w:p>
    <w:p w:rsidRPr="00157D7F" w:rsidR="001F0679" w:rsidP="00157D7F" w:rsidRDefault="001F0679" w14:paraId="1C828A1D" w14:textId="6CF46AAB">
      <w:pPr>
        <w:pStyle w:val="Bullet2"/>
        <w:spacing w:after="0"/>
        <w:ind w:left="568" w:hanging="284"/>
        <w:rPr>
          <w:sz w:val="15"/>
          <w:szCs w:val="15"/>
        </w:rPr>
      </w:pPr>
      <w:r w:rsidRPr="00157D7F">
        <w:rPr>
          <w:sz w:val="15"/>
          <w:szCs w:val="15"/>
        </w:rPr>
        <w:t>Community Safety Statement and Public Safety - Police Response initiatives  - The funding reflects a major investment in Victoria Police to fight crime and ensure that it has the powers and resources it needs to reduce harm in the community and keep Victorians safe. A carryover is required into 2019-20 subject to approval, predominately due to delays in procurement and implementation processes.</w:t>
      </w:r>
    </w:p>
    <w:p w:rsidRPr="00157D7F" w:rsidR="001F0679" w:rsidP="00157D7F" w:rsidRDefault="001F0679" w14:paraId="56F94709" w14:textId="77777777">
      <w:pPr>
        <w:pStyle w:val="notes"/>
        <w:spacing w:after="0"/>
        <w:ind w:left="284" w:hanging="284"/>
        <w:rPr>
          <w:b/>
        </w:rPr>
      </w:pPr>
      <w:r w:rsidRPr="00157D7F">
        <w:rPr>
          <w:b/>
        </w:rPr>
        <w:t xml:space="preserve">(ii) </w:t>
      </w:r>
      <w:r w:rsidRPr="00157D7F">
        <w:rPr>
          <w:b/>
        </w:rPr>
        <w:tab/>
        <w:t>Controlled - additions to net asset base (ATNAB)</w:t>
      </w:r>
    </w:p>
    <w:p w:rsidRPr="00157D7F" w:rsidR="001F0679" w:rsidP="00157D7F" w:rsidRDefault="001F0679" w14:paraId="34270F91" w14:textId="77777777">
      <w:pPr>
        <w:pStyle w:val="notes"/>
        <w:spacing w:after="0"/>
        <w:ind w:left="284" w:hanging="284"/>
      </w:pPr>
      <w:r w:rsidRPr="00157D7F">
        <w:tab/>
        <w:t>The majority of the $353.175 million variance (2018: $265.087 million) relates to rephasing and carryover of ATNAB appropriation from 2018-19 into 2019-20.</w:t>
      </w:r>
    </w:p>
    <w:p w:rsidRPr="00157D7F" w:rsidR="001F0679" w:rsidP="00157D7F" w:rsidRDefault="001F0679" w14:paraId="598D0BB6" w14:textId="77777777">
      <w:pPr>
        <w:pStyle w:val="notes"/>
        <w:spacing w:after="0"/>
        <w:ind w:left="284" w:hanging="284"/>
      </w:pPr>
      <w:r w:rsidRPr="00157D7F">
        <w:tab/>
        <w:t>The primary drivers of the rephasing and carryover are:</w:t>
      </w:r>
    </w:p>
    <w:p w:rsidRPr="00157D7F" w:rsidR="001F0679" w:rsidP="00157D7F" w:rsidRDefault="001F0679" w14:paraId="13071D63" w14:textId="19CFA0AC">
      <w:pPr>
        <w:pStyle w:val="notebullets"/>
      </w:pPr>
      <w:r w:rsidRPr="00157D7F">
        <w:t>New Youth Justice Facility (Cherry Creek) - The Government announced funding of $288.700 million in the 2017-18 Budget to build a fit-for-purpose youth justice facility at Cherry Creek, with scope for further expansion within the allocated government-owned site. As part of the site due diligence, environmental assessments were undertaken and two critically endangered species were identified under the Environment Protection and Biodiversity Conservation Act. Construction of the youth justice facility required the removal of confirmed habitat for both species which has resulted in a delay to commence construction. A funding rephase and carryover are requested to align the budget to the revised timelines.</w:t>
      </w:r>
    </w:p>
    <w:p w:rsidRPr="00157D7F" w:rsidR="001F0679" w:rsidP="00157D7F" w:rsidRDefault="001F0679" w14:paraId="12FF1165" w14:textId="4D53AD71">
      <w:pPr>
        <w:pStyle w:val="notebullets"/>
      </w:pPr>
      <w:r w:rsidRPr="00157D7F">
        <w:t>Prison Capacity Expansion - The scope for the construction of the expansion of Fulham Correctional Centre has been increased to accommodate an increased prisoner population and schedule adjusted to achieve efficiencies. As a result, there has been a change to the date of delivery from July 2019 to April 2020 with auxiliary works to be completed by October 2020.  Subsequently, a rephase and carryover is requested to align the budget to the revised timelines.</w:t>
      </w:r>
    </w:p>
    <w:p w:rsidRPr="00157D7F" w:rsidR="001F0679" w:rsidP="00157D7F" w:rsidRDefault="001F0679" w14:paraId="5E4B0C88" w14:textId="1E31A26B">
      <w:pPr>
        <w:pStyle w:val="notebullets"/>
      </w:pPr>
      <w:r w:rsidRPr="00157D7F">
        <w:t xml:space="preserve">Essential Services to Manage Growth in Prison - The works in 2019-20 at </w:t>
      </w:r>
      <w:proofErr w:type="spellStart"/>
      <w:r w:rsidRPr="00157D7F">
        <w:t>Barwon</w:t>
      </w:r>
      <w:proofErr w:type="spellEnd"/>
      <w:r w:rsidRPr="00157D7F">
        <w:t>, Port Phillip Prison and Dame Phyllis Frost Centre will provide essential infrastructure and services to meet the needs of the expanded prison system. This includes upgraded security, health services and expand program capacity across these prisons to support prisoner, staff and community safety. A rephase and carryover are required in 2019-20 to enable the department to continue with the required deliverables.</w:t>
      </w:r>
    </w:p>
    <w:p w:rsidRPr="00157D7F" w:rsidR="001F0679" w:rsidP="00157D7F" w:rsidRDefault="001F0679" w14:paraId="002CAA22" w14:textId="71309898">
      <w:pPr>
        <w:pStyle w:val="notebullets"/>
      </w:pPr>
      <w:r w:rsidRPr="00157D7F">
        <w:t>Chisholm Road prison project - This precinct will support a safe, secure and well-equipped prison system to meet forecast demand. Due to delays in the procurement process in 2018-19, a carryover is required for the department to continue with the deliverables in 2019-20.</w:t>
      </w:r>
    </w:p>
    <w:p w:rsidRPr="00157D7F" w:rsidR="001F0679" w:rsidP="00157D7F" w:rsidRDefault="001F0679" w14:paraId="4C877CF8" w14:textId="705AE21F">
      <w:pPr>
        <w:pStyle w:val="notebullets"/>
      </w:pPr>
      <w:r w:rsidRPr="00157D7F">
        <w:t>Community Safety Statement and Public Safety - Police response initiatives  - The investment in infrastructure works supports Victoria Police’s capability to provide safe communities. A carryover is required to align the budget to the revised timelines into 2019-20 subject to approval.</w:t>
      </w:r>
    </w:p>
    <w:p w:rsidRPr="00157D7F" w:rsidR="001F0679" w:rsidP="00157D7F" w:rsidRDefault="001F0679" w14:paraId="04D20CCB" w14:textId="77777777">
      <w:pPr>
        <w:pStyle w:val="notes"/>
        <w:spacing w:after="0"/>
        <w:ind w:left="284" w:hanging="284"/>
        <w:rPr>
          <w:b/>
        </w:rPr>
      </w:pPr>
      <w:r w:rsidRPr="00157D7F">
        <w:rPr>
          <w:b/>
        </w:rPr>
        <w:t xml:space="preserve">(iii) </w:t>
      </w:r>
      <w:r w:rsidRPr="00157D7F">
        <w:rPr>
          <w:b/>
        </w:rPr>
        <w:tab/>
        <w:t>Section 30 transfers</w:t>
      </w:r>
    </w:p>
    <w:p w:rsidRPr="00157D7F" w:rsidR="001F0679" w:rsidP="00157D7F" w:rsidRDefault="001F0679" w14:paraId="09416951" w14:textId="77777777">
      <w:pPr>
        <w:pStyle w:val="notes"/>
        <w:spacing w:after="0"/>
        <w:ind w:left="284" w:hanging="284"/>
      </w:pPr>
      <w:r w:rsidRPr="00157D7F">
        <w:tab/>
        <w:t xml:space="preserve">A transfer from capital to operating funding of $35.688 million has occurred in 2018-19 in accordance with section 30 of the </w:t>
      </w:r>
      <w:r w:rsidRPr="00157D7F">
        <w:rPr>
          <w:i/>
        </w:rPr>
        <w:t>Financial Management Act 1994</w:t>
      </w:r>
      <w:r w:rsidRPr="00157D7F">
        <w:t xml:space="preserve"> to support Victoria Police’s business operations.</w:t>
      </w:r>
    </w:p>
    <w:p w:rsidRPr="00157D7F" w:rsidR="00157D7F" w:rsidP="00157D7F" w:rsidRDefault="00157D7F" w14:paraId="50F89179" w14:textId="77777777">
      <w:pPr>
        <w:pStyle w:val="Heading3"/>
      </w:pPr>
      <w:r w:rsidRPr="00157D7F">
        <w:lastRenderedPageBreak/>
        <w:t>2.3 Summary of compliance with special appropriations</w:t>
      </w:r>
    </w:p>
    <w:p w:rsidRPr="00157D7F" w:rsidR="00157D7F" w:rsidP="00157D7F" w:rsidRDefault="00157D7F" w14:paraId="6AF19E01" w14:textId="77777777">
      <w:r w:rsidRPr="00157D7F">
        <w:t>A special appropriation is a provision within an Act that provides authority to spend money for a particular purpose.  Special appropriations represent a standing authority and remain in force until the relevant legislation providing for the special appropriation is amended or repealed by Parliament.</w:t>
      </w:r>
    </w:p>
    <w:p w:rsidRPr="00157D7F" w:rsidR="00157D7F" w:rsidP="00157D7F" w:rsidRDefault="00157D7F" w14:paraId="52477E67" w14:textId="77777777">
      <w:r w:rsidRPr="00157D7F">
        <w:t>Income is recognised when the amount appropriated for a specific purpose is due and payable by the department.</w:t>
      </w:r>
    </w:p>
    <w:p w:rsidRPr="00157D7F" w:rsidR="00157D7F" w:rsidP="00157D7F" w:rsidRDefault="00157D7F" w14:paraId="0E018A22" w14:textId="2D5D6484">
      <w:r w:rsidRPr="00157D7F">
        <w:t>The following table discloses the details of compliance with special appropriations.</w:t>
      </w:r>
    </w:p>
    <w:tbl>
      <w:tblPr>
        <w:tblW w:w="0" w:type="auto"/>
        <w:tblLayout w:type="fixed"/>
        <w:tblCellMar>
          <w:left w:w="0" w:type="dxa"/>
          <w:right w:w="0" w:type="dxa"/>
        </w:tblCellMar>
        <w:tblLook w:firstRow="1" w:lastRow="0" w:firstColumn="0" w:lastColumn="0" w:noHBand="0" w:noVBand="0" w:val="0020"/>
      </w:tblPr>
      <w:tblGrid>
        <w:gridCol w:w="283"/>
        <w:gridCol w:w="4112"/>
        <w:gridCol w:w="3827"/>
        <w:gridCol w:w="850"/>
        <w:gridCol w:w="993"/>
      </w:tblGrid>
      <w:tr w:rsidRPr="00157D7F" w:rsidR="00157D7F" w:rsidTr="00CC210C" w14:paraId="129735AD" w14:textId="77777777">
        <w:trPr>
          <w:tblHeader/>
        </w:trPr>
        <w:tc>
          <w:tcPr>
            <w:tcW w:w="283" w:type="dxa"/>
            <w:tcBorders>
              <w:top w:val="nil"/>
              <w:left w:val="nil"/>
              <w:bottom w:val="single" w:color="000000" w:sz="8" w:space="0"/>
              <w:right w:val="nil"/>
            </w:tcBorders>
            <w:tcMar>
              <w:top w:w="57" w:type="dxa"/>
              <w:left w:w="0" w:type="dxa"/>
              <w:bottom w:w="57" w:type="dxa"/>
              <w:right w:w="0" w:type="dxa"/>
            </w:tcMar>
          </w:tcPr>
          <w:p w:rsidRPr="00157D7F" w:rsidR="00157D7F" w:rsidP="00157D7F" w:rsidRDefault="00157D7F" w14:paraId="6C1CDFE3" w14:textId="77777777">
            <w:pPr>
              <w:spacing w:after="0"/>
              <w:rPr>
                <w:rFonts w:cs="Arial"/>
                <w:b/>
                <w:sz w:val="16"/>
                <w:szCs w:val="16"/>
                <w:lang w:val="en-US"/>
              </w:rPr>
            </w:pPr>
          </w:p>
        </w:tc>
        <w:tc>
          <w:tcPr>
            <w:tcW w:w="4112" w:type="dxa"/>
            <w:tcBorders>
              <w:top w:val="nil"/>
              <w:left w:val="nil"/>
              <w:bottom w:val="single" w:color="000000" w:sz="6" w:space="0"/>
              <w:right w:val="nil"/>
            </w:tcBorders>
            <w:tcMar>
              <w:top w:w="57" w:type="dxa"/>
              <w:left w:w="0" w:type="dxa"/>
              <w:bottom w:w="57" w:type="dxa"/>
              <w:right w:w="227" w:type="dxa"/>
            </w:tcMar>
          </w:tcPr>
          <w:p w:rsidRPr="00157D7F" w:rsidR="00157D7F" w:rsidP="00157D7F" w:rsidRDefault="00157D7F" w14:paraId="2AC607BE" w14:textId="77777777">
            <w:pPr>
              <w:spacing w:after="0"/>
              <w:rPr>
                <w:rFonts w:cs="Arial"/>
                <w:b/>
                <w:sz w:val="16"/>
                <w:szCs w:val="16"/>
                <w:lang w:val="en-US"/>
              </w:rPr>
            </w:pPr>
          </w:p>
        </w:tc>
        <w:tc>
          <w:tcPr>
            <w:tcW w:w="3827" w:type="dxa"/>
            <w:tcBorders>
              <w:top w:val="nil"/>
              <w:left w:val="nil"/>
              <w:bottom w:val="single" w:color="000000" w:sz="6" w:space="0"/>
              <w:right w:val="nil"/>
            </w:tcBorders>
            <w:tcMar>
              <w:top w:w="57" w:type="dxa"/>
              <w:left w:w="0" w:type="dxa"/>
              <w:bottom w:w="57" w:type="dxa"/>
              <w:right w:w="113" w:type="dxa"/>
            </w:tcMar>
          </w:tcPr>
          <w:p w:rsidRPr="00157D7F" w:rsidR="00157D7F" w:rsidP="00157D7F" w:rsidRDefault="00157D7F" w14:paraId="0A23DCAB" w14:textId="77777777">
            <w:pPr>
              <w:spacing w:after="0"/>
              <w:rPr>
                <w:rFonts w:cs="Arial"/>
                <w:b/>
                <w:sz w:val="16"/>
                <w:szCs w:val="16"/>
                <w:lang w:val="en-US"/>
              </w:rPr>
            </w:pPr>
          </w:p>
        </w:tc>
        <w:tc>
          <w:tcPr>
            <w:tcW w:w="850"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1CD53B07" w14:textId="77777777">
            <w:pPr>
              <w:spacing w:after="0"/>
              <w:jc w:val="right"/>
              <w:rPr>
                <w:rFonts w:cs="Arial"/>
                <w:b/>
                <w:sz w:val="16"/>
                <w:szCs w:val="16"/>
                <w:lang w:val="en-US"/>
              </w:rPr>
            </w:pPr>
          </w:p>
        </w:tc>
        <w:tc>
          <w:tcPr>
            <w:tcW w:w="993"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3B464A25" w14:textId="77777777">
            <w:pPr>
              <w:spacing w:after="0"/>
              <w:jc w:val="right"/>
              <w:rPr>
                <w:rFonts w:cs="Arial"/>
                <w:b/>
                <w:sz w:val="16"/>
                <w:szCs w:val="16"/>
              </w:rPr>
            </w:pPr>
            <w:r w:rsidRPr="00157D7F">
              <w:rPr>
                <w:rFonts w:cs="Arial"/>
                <w:b/>
                <w:sz w:val="16"/>
                <w:szCs w:val="16"/>
              </w:rPr>
              <w:t>($ thousand)</w:t>
            </w:r>
          </w:p>
        </w:tc>
      </w:tr>
      <w:tr w:rsidRPr="00157D7F" w:rsidR="00157D7F" w:rsidTr="00CC210C" w14:paraId="70D54797" w14:textId="77777777">
        <w:trPr>
          <w:tblHeader/>
        </w:trPr>
        <w:tc>
          <w:tcPr>
            <w:tcW w:w="283" w:type="dxa"/>
            <w:tcBorders>
              <w:top w:val="single" w:color="000000" w:sz="8" w:space="0"/>
              <w:left w:val="nil"/>
              <w:bottom w:val="single" w:color="000000" w:sz="6" w:space="0"/>
              <w:right w:val="nil"/>
            </w:tcBorders>
            <w:tcMar>
              <w:top w:w="57" w:type="dxa"/>
              <w:left w:w="0" w:type="dxa"/>
              <w:bottom w:w="57" w:type="dxa"/>
              <w:right w:w="0" w:type="dxa"/>
            </w:tcMar>
          </w:tcPr>
          <w:p w:rsidRPr="00157D7F" w:rsidR="00157D7F" w:rsidP="00157D7F" w:rsidRDefault="00157D7F" w14:paraId="4DF2E538" w14:textId="77777777">
            <w:pPr>
              <w:spacing w:after="0"/>
              <w:rPr>
                <w:rFonts w:cs="Arial"/>
                <w:b/>
                <w:sz w:val="16"/>
                <w:szCs w:val="16"/>
                <w:lang w:val="en-US"/>
              </w:rPr>
            </w:pPr>
          </w:p>
        </w:tc>
        <w:tc>
          <w:tcPr>
            <w:tcW w:w="4112" w:type="dxa"/>
            <w:tcBorders>
              <w:top w:val="single" w:color="000000" w:sz="6" w:space="0"/>
              <w:left w:val="nil"/>
              <w:bottom w:val="single" w:color="000000" w:sz="6" w:space="0"/>
              <w:right w:val="nil"/>
            </w:tcBorders>
            <w:tcMar>
              <w:top w:w="57" w:type="dxa"/>
              <w:left w:w="0" w:type="dxa"/>
              <w:bottom w:w="57" w:type="dxa"/>
              <w:right w:w="227" w:type="dxa"/>
            </w:tcMar>
          </w:tcPr>
          <w:p w:rsidRPr="00157D7F" w:rsidR="00157D7F" w:rsidP="00157D7F" w:rsidRDefault="00157D7F" w14:paraId="7A507819" w14:textId="77777777">
            <w:pPr>
              <w:spacing w:after="0"/>
              <w:rPr>
                <w:rFonts w:cs="Arial"/>
                <w:b/>
                <w:sz w:val="16"/>
                <w:szCs w:val="16"/>
              </w:rPr>
            </w:pPr>
            <w:r w:rsidRPr="00157D7F">
              <w:rPr>
                <w:rFonts w:cs="Arial"/>
                <w:b/>
                <w:sz w:val="16"/>
                <w:szCs w:val="16"/>
              </w:rPr>
              <w:t>Authority</w:t>
            </w:r>
          </w:p>
        </w:tc>
        <w:tc>
          <w:tcPr>
            <w:tcW w:w="3827" w:type="dxa"/>
            <w:tcBorders>
              <w:top w:val="single" w:color="000000" w:sz="6" w:space="0"/>
              <w:left w:val="nil"/>
              <w:bottom w:val="single" w:color="000000" w:sz="6" w:space="0"/>
              <w:right w:val="nil"/>
            </w:tcBorders>
            <w:tcMar>
              <w:top w:w="57" w:type="dxa"/>
              <w:left w:w="0" w:type="dxa"/>
              <w:bottom w:w="57" w:type="dxa"/>
              <w:right w:w="113" w:type="dxa"/>
            </w:tcMar>
          </w:tcPr>
          <w:p w:rsidRPr="00157D7F" w:rsidR="00157D7F" w:rsidP="00157D7F" w:rsidRDefault="00157D7F" w14:paraId="7C1C405A" w14:textId="77777777">
            <w:pPr>
              <w:spacing w:after="0"/>
              <w:rPr>
                <w:rFonts w:cs="Arial"/>
                <w:b/>
                <w:sz w:val="16"/>
                <w:szCs w:val="16"/>
              </w:rPr>
            </w:pPr>
            <w:r w:rsidRPr="00157D7F">
              <w:rPr>
                <w:rFonts w:cs="Arial"/>
                <w:b/>
                <w:sz w:val="16"/>
                <w:szCs w:val="16"/>
              </w:rPr>
              <w:t>Purpose</w:t>
            </w:r>
          </w:p>
        </w:tc>
        <w:tc>
          <w:tcPr>
            <w:tcW w:w="1843" w:type="dxa"/>
            <w:gridSpan w:val="2"/>
            <w:tcBorders>
              <w:top w:val="single" w:color="000000" w:sz="6" w:space="0"/>
              <w:left w:val="nil"/>
              <w:bottom w:val="single" w:color="000000" w:sz="6" w:space="0"/>
              <w:right w:val="nil"/>
            </w:tcBorders>
            <w:tcMar>
              <w:top w:w="57" w:type="dxa"/>
              <w:left w:w="0" w:type="dxa"/>
              <w:bottom w:w="57" w:type="dxa"/>
              <w:right w:w="0" w:type="dxa"/>
            </w:tcMar>
          </w:tcPr>
          <w:p w:rsidRPr="00157D7F" w:rsidR="00157D7F" w:rsidP="00157D7F" w:rsidRDefault="00157D7F" w14:paraId="62DDC4D7" w14:textId="77777777">
            <w:pPr>
              <w:spacing w:after="0"/>
              <w:jc w:val="right"/>
              <w:rPr>
                <w:rFonts w:cs="Arial"/>
                <w:b/>
                <w:sz w:val="16"/>
                <w:szCs w:val="16"/>
              </w:rPr>
            </w:pPr>
            <w:r w:rsidRPr="00157D7F">
              <w:rPr>
                <w:rFonts w:cs="Arial"/>
                <w:b/>
                <w:sz w:val="16"/>
                <w:szCs w:val="16"/>
              </w:rPr>
              <w:t>Appropriations applied</w:t>
            </w:r>
          </w:p>
        </w:tc>
      </w:tr>
      <w:tr w:rsidRPr="00157D7F" w:rsidR="00157D7F" w:rsidTr="00CC210C" w14:paraId="3C00E026" w14:textId="77777777">
        <w:trPr>
          <w:tblHeader/>
        </w:trPr>
        <w:tc>
          <w:tcPr>
            <w:tcW w:w="283" w:type="dxa"/>
            <w:tcBorders>
              <w:top w:val="single" w:color="000000" w:sz="6" w:space="0"/>
              <w:left w:val="nil"/>
              <w:bottom w:val="single" w:color="000000" w:sz="8" w:space="0"/>
              <w:right w:val="nil"/>
            </w:tcBorders>
            <w:tcMar>
              <w:top w:w="57" w:type="dxa"/>
              <w:left w:w="0" w:type="dxa"/>
              <w:bottom w:w="57" w:type="dxa"/>
              <w:right w:w="0" w:type="dxa"/>
            </w:tcMar>
          </w:tcPr>
          <w:p w:rsidRPr="00157D7F" w:rsidR="00157D7F" w:rsidP="00157D7F" w:rsidRDefault="00157D7F" w14:paraId="412863BE" w14:textId="77777777">
            <w:pPr>
              <w:spacing w:after="0"/>
              <w:rPr>
                <w:rFonts w:cs="Arial"/>
                <w:b/>
                <w:sz w:val="16"/>
                <w:szCs w:val="16"/>
                <w:lang w:val="en-US"/>
              </w:rPr>
            </w:pPr>
          </w:p>
        </w:tc>
        <w:tc>
          <w:tcPr>
            <w:tcW w:w="4112" w:type="dxa"/>
            <w:tcBorders>
              <w:top w:val="single" w:color="000000" w:sz="6" w:space="0"/>
              <w:left w:val="nil"/>
              <w:bottom w:val="single" w:color="000000" w:sz="8" w:space="0"/>
              <w:right w:val="nil"/>
            </w:tcBorders>
            <w:tcMar>
              <w:top w:w="57" w:type="dxa"/>
              <w:left w:w="0" w:type="dxa"/>
              <w:bottom w:w="57" w:type="dxa"/>
              <w:right w:w="227" w:type="dxa"/>
            </w:tcMar>
          </w:tcPr>
          <w:p w:rsidRPr="00157D7F" w:rsidR="00157D7F" w:rsidP="00157D7F" w:rsidRDefault="00157D7F" w14:paraId="45873B7A" w14:textId="77777777">
            <w:pPr>
              <w:spacing w:after="0"/>
              <w:rPr>
                <w:rFonts w:cs="Arial"/>
                <w:b/>
                <w:sz w:val="16"/>
                <w:szCs w:val="16"/>
                <w:lang w:val="en-US"/>
              </w:rPr>
            </w:pPr>
          </w:p>
        </w:tc>
        <w:tc>
          <w:tcPr>
            <w:tcW w:w="3827" w:type="dxa"/>
            <w:tcBorders>
              <w:top w:val="single" w:color="000000" w:sz="6" w:space="0"/>
              <w:left w:val="nil"/>
              <w:bottom w:val="single" w:color="000000" w:sz="8" w:space="0"/>
              <w:right w:val="nil"/>
            </w:tcBorders>
            <w:tcMar>
              <w:top w:w="57" w:type="dxa"/>
              <w:left w:w="0" w:type="dxa"/>
              <w:bottom w:w="57" w:type="dxa"/>
              <w:right w:w="113" w:type="dxa"/>
            </w:tcMar>
          </w:tcPr>
          <w:p w:rsidRPr="00157D7F" w:rsidR="00157D7F" w:rsidP="00157D7F" w:rsidRDefault="00157D7F" w14:paraId="70018DC9" w14:textId="77777777">
            <w:pPr>
              <w:spacing w:after="0"/>
              <w:rPr>
                <w:rFonts w:cs="Arial"/>
                <w:b/>
                <w:sz w:val="16"/>
                <w:szCs w:val="16"/>
                <w:lang w:val="en-US"/>
              </w:rPr>
            </w:pPr>
          </w:p>
        </w:tc>
        <w:tc>
          <w:tcPr>
            <w:tcW w:w="850" w:type="dxa"/>
            <w:tcBorders>
              <w:top w:val="single" w:color="000000" w:sz="6" w:space="0"/>
              <w:left w:val="nil"/>
              <w:bottom w:val="single" w:color="000000" w:sz="8" w:space="0"/>
              <w:right w:val="nil"/>
            </w:tcBorders>
            <w:tcMar>
              <w:top w:w="57" w:type="dxa"/>
              <w:left w:w="0" w:type="dxa"/>
              <w:bottom w:w="57" w:type="dxa"/>
              <w:right w:w="0" w:type="dxa"/>
            </w:tcMar>
          </w:tcPr>
          <w:p w:rsidRPr="00157D7F" w:rsidR="00157D7F" w:rsidP="00157D7F" w:rsidRDefault="00157D7F" w14:paraId="06A94964" w14:textId="77777777">
            <w:pPr>
              <w:spacing w:after="0"/>
              <w:jc w:val="right"/>
              <w:rPr>
                <w:rFonts w:cs="Arial"/>
                <w:b/>
                <w:sz w:val="16"/>
                <w:szCs w:val="16"/>
              </w:rPr>
            </w:pPr>
            <w:r w:rsidRPr="00157D7F">
              <w:rPr>
                <w:rFonts w:cs="Arial"/>
                <w:b/>
                <w:sz w:val="16"/>
                <w:szCs w:val="16"/>
              </w:rPr>
              <w:t>2019</w:t>
            </w:r>
          </w:p>
        </w:tc>
        <w:tc>
          <w:tcPr>
            <w:tcW w:w="993" w:type="dxa"/>
            <w:tcBorders>
              <w:top w:val="single" w:color="000000" w:sz="6" w:space="0"/>
              <w:left w:val="nil"/>
              <w:bottom w:val="single" w:color="000000" w:sz="8" w:space="0"/>
              <w:right w:val="nil"/>
            </w:tcBorders>
            <w:tcMar>
              <w:top w:w="57" w:type="dxa"/>
              <w:left w:w="0" w:type="dxa"/>
              <w:bottom w:w="57" w:type="dxa"/>
              <w:right w:w="0" w:type="dxa"/>
            </w:tcMar>
          </w:tcPr>
          <w:p w:rsidRPr="00157D7F" w:rsidR="00157D7F" w:rsidP="00157D7F" w:rsidRDefault="00157D7F" w14:paraId="27712E10" w14:textId="77777777">
            <w:pPr>
              <w:spacing w:after="0"/>
              <w:jc w:val="right"/>
              <w:rPr>
                <w:rFonts w:cs="Arial"/>
                <w:b/>
                <w:sz w:val="16"/>
                <w:szCs w:val="16"/>
              </w:rPr>
            </w:pPr>
            <w:r w:rsidRPr="00157D7F">
              <w:rPr>
                <w:rFonts w:cs="Arial"/>
                <w:b/>
                <w:sz w:val="16"/>
                <w:szCs w:val="16"/>
              </w:rPr>
              <w:t>2018</w:t>
            </w:r>
          </w:p>
        </w:tc>
      </w:tr>
      <w:tr w:rsidRPr="00157D7F" w:rsidR="00157D7F" w:rsidTr="00CC210C" w14:paraId="0702493B" w14:textId="77777777">
        <w:tc>
          <w:tcPr>
            <w:tcW w:w="283" w:type="dxa"/>
            <w:tcBorders>
              <w:top w:val="single" w:color="000000" w:sz="8" w:space="0"/>
              <w:left w:val="nil"/>
              <w:bottom w:val="nil"/>
              <w:right w:val="nil"/>
            </w:tcBorders>
            <w:tcMar>
              <w:top w:w="57" w:type="dxa"/>
              <w:left w:w="0" w:type="dxa"/>
              <w:bottom w:w="57" w:type="dxa"/>
              <w:right w:w="0" w:type="dxa"/>
            </w:tcMar>
          </w:tcPr>
          <w:p w:rsidRPr="00157D7F" w:rsidR="00157D7F" w:rsidP="00157D7F" w:rsidRDefault="00157D7F" w14:paraId="08A3DE76" w14:textId="77777777">
            <w:pPr>
              <w:spacing w:after="0"/>
              <w:rPr>
                <w:rFonts w:cs="Arial"/>
                <w:sz w:val="16"/>
                <w:szCs w:val="16"/>
                <w:lang w:val="en-US"/>
              </w:rPr>
            </w:pPr>
          </w:p>
        </w:tc>
        <w:tc>
          <w:tcPr>
            <w:tcW w:w="4112" w:type="dxa"/>
            <w:tcBorders>
              <w:top w:val="single" w:color="000000" w:sz="8" w:space="0"/>
              <w:left w:val="nil"/>
              <w:bottom w:val="nil"/>
              <w:right w:val="nil"/>
            </w:tcBorders>
            <w:tcMar>
              <w:top w:w="57" w:type="dxa"/>
              <w:left w:w="0" w:type="dxa"/>
              <w:bottom w:w="57" w:type="dxa"/>
              <w:right w:w="227" w:type="dxa"/>
            </w:tcMar>
          </w:tcPr>
          <w:p w:rsidRPr="00157D7F" w:rsidR="00157D7F" w:rsidP="00157D7F" w:rsidRDefault="00157D7F" w14:paraId="119A0161" w14:textId="77777777">
            <w:pPr>
              <w:spacing w:after="0"/>
              <w:rPr>
                <w:rFonts w:cs="Arial"/>
                <w:sz w:val="16"/>
                <w:szCs w:val="16"/>
              </w:rPr>
            </w:pPr>
            <w:r w:rsidRPr="00157D7F">
              <w:rPr>
                <w:rFonts w:cs="Arial"/>
                <w:sz w:val="16"/>
                <w:szCs w:val="16"/>
              </w:rPr>
              <w:t>Controlled</w:t>
            </w:r>
          </w:p>
        </w:tc>
        <w:tc>
          <w:tcPr>
            <w:tcW w:w="3827" w:type="dxa"/>
            <w:tcBorders>
              <w:top w:val="single" w:color="000000" w:sz="8" w:space="0"/>
              <w:left w:val="nil"/>
              <w:bottom w:val="nil"/>
              <w:right w:val="nil"/>
            </w:tcBorders>
            <w:tcMar>
              <w:top w:w="57" w:type="dxa"/>
              <w:left w:w="0" w:type="dxa"/>
              <w:bottom w:w="57" w:type="dxa"/>
              <w:right w:w="113" w:type="dxa"/>
            </w:tcMar>
          </w:tcPr>
          <w:p w:rsidRPr="00157D7F" w:rsidR="00157D7F" w:rsidP="00157D7F" w:rsidRDefault="00157D7F" w14:paraId="5C3395AB" w14:textId="77777777">
            <w:pPr>
              <w:spacing w:after="0"/>
              <w:rPr>
                <w:rFonts w:cs="Arial"/>
                <w:sz w:val="16"/>
                <w:szCs w:val="16"/>
                <w:lang w:val="en-US"/>
              </w:rPr>
            </w:pPr>
          </w:p>
        </w:tc>
        <w:tc>
          <w:tcPr>
            <w:tcW w:w="850" w:type="dxa"/>
            <w:tcBorders>
              <w:top w:val="single" w:color="000000" w:sz="8" w:space="0"/>
              <w:left w:val="nil"/>
              <w:bottom w:val="nil"/>
              <w:right w:val="nil"/>
            </w:tcBorders>
            <w:tcMar>
              <w:top w:w="57" w:type="dxa"/>
              <w:left w:w="0" w:type="dxa"/>
              <w:bottom w:w="57" w:type="dxa"/>
              <w:right w:w="0" w:type="dxa"/>
            </w:tcMar>
          </w:tcPr>
          <w:p w:rsidRPr="00157D7F" w:rsidR="00157D7F" w:rsidP="00157D7F" w:rsidRDefault="00157D7F" w14:paraId="42019A23" w14:textId="77777777">
            <w:pPr>
              <w:spacing w:after="0"/>
              <w:jc w:val="right"/>
              <w:rPr>
                <w:rFonts w:cs="Arial"/>
                <w:sz w:val="16"/>
                <w:szCs w:val="16"/>
                <w:lang w:val="en-US"/>
              </w:rPr>
            </w:pPr>
          </w:p>
        </w:tc>
        <w:tc>
          <w:tcPr>
            <w:tcW w:w="993" w:type="dxa"/>
            <w:tcBorders>
              <w:top w:val="single" w:color="000000" w:sz="8" w:space="0"/>
              <w:left w:val="nil"/>
              <w:bottom w:val="nil"/>
              <w:right w:val="nil"/>
            </w:tcBorders>
            <w:tcMar>
              <w:top w:w="57" w:type="dxa"/>
              <w:left w:w="0" w:type="dxa"/>
              <w:bottom w:w="57" w:type="dxa"/>
              <w:right w:w="0" w:type="dxa"/>
            </w:tcMar>
          </w:tcPr>
          <w:p w:rsidRPr="00157D7F" w:rsidR="00157D7F" w:rsidP="00157D7F" w:rsidRDefault="00157D7F" w14:paraId="52830276" w14:textId="77777777">
            <w:pPr>
              <w:spacing w:after="0"/>
              <w:jc w:val="right"/>
              <w:rPr>
                <w:rFonts w:cs="Arial"/>
                <w:sz w:val="16"/>
                <w:szCs w:val="16"/>
                <w:lang w:val="en-US"/>
              </w:rPr>
            </w:pPr>
          </w:p>
        </w:tc>
      </w:tr>
      <w:tr w:rsidRPr="00157D7F" w:rsidR="00157D7F" w:rsidTr="00CC210C" w14:paraId="6954E95B"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7DC0002C" w14:textId="77777777">
            <w:pPr>
              <w:spacing w:after="0"/>
              <w:rPr>
                <w:rFonts w:cs="Arial"/>
                <w:sz w:val="16"/>
                <w:szCs w:val="16"/>
              </w:rPr>
            </w:pPr>
            <w:r w:rsidRPr="00157D7F">
              <w:rPr>
                <w:rFonts w:cs="Arial"/>
                <w:sz w:val="16"/>
                <w:szCs w:val="16"/>
              </w:rPr>
              <w:t>1</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49D38A79" w14:textId="77777777">
            <w:pPr>
              <w:spacing w:after="0"/>
              <w:rPr>
                <w:rFonts w:cs="Arial"/>
                <w:sz w:val="16"/>
                <w:szCs w:val="16"/>
              </w:rPr>
            </w:pPr>
            <w:r w:rsidRPr="00157D7F">
              <w:rPr>
                <w:rFonts w:cs="Arial"/>
                <w:i/>
                <w:iCs/>
                <w:sz w:val="16"/>
                <w:szCs w:val="16"/>
              </w:rPr>
              <w:t>Corrections Act 1986 (No. 117/1986), s.104ZW</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537432C6" w14:textId="77777777">
            <w:pPr>
              <w:spacing w:after="0"/>
              <w:rPr>
                <w:rFonts w:cs="Arial"/>
                <w:sz w:val="16"/>
                <w:szCs w:val="16"/>
              </w:rPr>
            </w:pPr>
            <w:r w:rsidRPr="00157D7F">
              <w:rPr>
                <w:rFonts w:cs="Arial"/>
                <w:sz w:val="16"/>
                <w:szCs w:val="16"/>
              </w:rPr>
              <w:t xml:space="preserve">Compensation to CCS from the </w:t>
            </w:r>
            <w:proofErr w:type="spellStart"/>
            <w:r w:rsidRPr="00157D7F">
              <w:rPr>
                <w:rFonts w:cs="Arial"/>
                <w:sz w:val="16"/>
                <w:szCs w:val="16"/>
              </w:rPr>
              <w:t>WorkCover</w:t>
            </w:r>
            <w:proofErr w:type="spellEnd"/>
            <w:r w:rsidRPr="00157D7F">
              <w:rPr>
                <w:rFonts w:cs="Arial"/>
                <w:sz w:val="16"/>
                <w:szCs w:val="16"/>
              </w:rPr>
              <w:t xml:space="preserve"> Authority Fund under the </w:t>
            </w:r>
            <w:r w:rsidRPr="00157D7F">
              <w:rPr>
                <w:rFonts w:cs="Arial"/>
                <w:i/>
                <w:iCs/>
                <w:sz w:val="16"/>
                <w:szCs w:val="16"/>
              </w:rPr>
              <w:t>Accident Compensation Act 1985</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2BCCC892" w14:textId="77777777">
            <w:pPr>
              <w:spacing w:after="0"/>
              <w:jc w:val="right"/>
              <w:rPr>
                <w:rFonts w:cs="Arial"/>
                <w:sz w:val="16"/>
                <w:szCs w:val="16"/>
              </w:rPr>
            </w:pPr>
            <w:r w:rsidRPr="00157D7F">
              <w:rPr>
                <w:rFonts w:cs="Arial"/>
                <w:sz w:val="16"/>
                <w:szCs w:val="16"/>
              </w:rPr>
              <w:t xml:space="preserve">157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6A375F6E" w14:textId="77777777">
            <w:pPr>
              <w:spacing w:after="0"/>
              <w:jc w:val="right"/>
              <w:rPr>
                <w:rFonts w:cs="Arial"/>
                <w:sz w:val="16"/>
                <w:szCs w:val="16"/>
              </w:rPr>
            </w:pPr>
            <w:r w:rsidRPr="00157D7F">
              <w:rPr>
                <w:rFonts w:cs="Arial"/>
                <w:sz w:val="16"/>
                <w:szCs w:val="16"/>
              </w:rPr>
              <w:t xml:space="preserve">72 </w:t>
            </w:r>
          </w:p>
        </w:tc>
      </w:tr>
      <w:tr w:rsidRPr="00157D7F" w:rsidR="00157D7F" w:rsidTr="00CC210C" w14:paraId="2B4646CF"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7989458F" w14:textId="77777777">
            <w:pPr>
              <w:spacing w:after="0"/>
              <w:rPr>
                <w:rFonts w:cs="Arial"/>
                <w:sz w:val="16"/>
                <w:szCs w:val="16"/>
              </w:rPr>
            </w:pPr>
            <w:r w:rsidRPr="00157D7F">
              <w:rPr>
                <w:rFonts w:cs="Arial"/>
                <w:sz w:val="16"/>
                <w:szCs w:val="16"/>
              </w:rPr>
              <w:t>2</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223E88AB" w14:textId="77777777">
            <w:pPr>
              <w:spacing w:after="0"/>
              <w:rPr>
                <w:rFonts w:cs="Arial"/>
                <w:sz w:val="16"/>
                <w:szCs w:val="16"/>
              </w:rPr>
            </w:pPr>
            <w:r w:rsidRPr="00157D7F">
              <w:rPr>
                <w:rFonts w:cs="Arial"/>
                <w:i/>
                <w:iCs/>
                <w:sz w:val="16"/>
                <w:szCs w:val="16"/>
              </w:rPr>
              <w:t>Emergency Management Act 1986 (No. 30/1986), s.32</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540DDC90" w14:textId="77777777">
            <w:pPr>
              <w:spacing w:after="0"/>
              <w:rPr>
                <w:rFonts w:cs="Arial"/>
                <w:sz w:val="16"/>
                <w:szCs w:val="16"/>
              </w:rPr>
            </w:pPr>
            <w:r w:rsidRPr="00157D7F">
              <w:rPr>
                <w:rFonts w:cs="Arial"/>
                <w:sz w:val="16"/>
                <w:szCs w:val="16"/>
              </w:rPr>
              <w:t>Payments to volunteers for work related injuries under the Act</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32D3755A" w14:textId="77777777">
            <w:pPr>
              <w:spacing w:after="0"/>
              <w:jc w:val="right"/>
              <w:rPr>
                <w:rFonts w:cs="Arial"/>
                <w:sz w:val="16"/>
                <w:szCs w:val="16"/>
              </w:rPr>
            </w:pPr>
            <w:r w:rsidRPr="00157D7F">
              <w:rPr>
                <w:rFonts w:cs="Arial"/>
                <w:sz w:val="16"/>
                <w:szCs w:val="16"/>
              </w:rPr>
              <w:t xml:space="preserve">189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7549CCE4" w14:textId="77777777">
            <w:pPr>
              <w:spacing w:after="0"/>
              <w:jc w:val="right"/>
              <w:rPr>
                <w:rFonts w:cs="Arial"/>
                <w:sz w:val="16"/>
                <w:szCs w:val="16"/>
              </w:rPr>
            </w:pPr>
            <w:r w:rsidRPr="00157D7F">
              <w:rPr>
                <w:rFonts w:cs="Arial"/>
                <w:sz w:val="16"/>
                <w:szCs w:val="16"/>
              </w:rPr>
              <w:t xml:space="preserve">181 </w:t>
            </w:r>
          </w:p>
        </w:tc>
      </w:tr>
      <w:tr w:rsidRPr="00157D7F" w:rsidR="00157D7F" w:rsidTr="00CC210C" w14:paraId="55503790"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42172FF7" w14:textId="77777777">
            <w:pPr>
              <w:spacing w:after="0"/>
              <w:rPr>
                <w:rFonts w:cs="Arial"/>
                <w:sz w:val="16"/>
                <w:szCs w:val="16"/>
              </w:rPr>
            </w:pPr>
            <w:r w:rsidRPr="00157D7F">
              <w:rPr>
                <w:rFonts w:cs="Arial"/>
                <w:sz w:val="16"/>
                <w:szCs w:val="16"/>
              </w:rPr>
              <w:t>3</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0E97FC7D" w14:textId="77777777">
            <w:pPr>
              <w:spacing w:after="0"/>
              <w:rPr>
                <w:rFonts w:cs="Arial"/>
                <w:sz w:val="16"/>
                <w:szCs w:val="16"/>
              </w:rPr>
            </w:pPr>
            <w:r w:rsidRPr="00157D7F">
              <w:rPr>
                <w:rFonts w:cs="Arial"/>
                <w:i/>
                <w:iCs/>
                <w:sz w:val="16"/>
                <w:szCs w:val="16"/>
              </w:rPr>
              <w:t>Victoria State Emergency Service Act 2005 (No. 51/2005), s.52</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77BDEE25" w14:textId="77777777">
            <w:pPr>
              <w:spacing w:after="0"/>
              <w:rPr>
                <w:rFonts w:cs="Arial"/>
                <w:sz w:val="16"/>
                <w:szCs w:val="16"/>
              </w:rPr>
            </w:pPr>
            <w:r w:rsidRPr="00157D7F">
              <w:rPr>
                <w:rFonts w:cs="Arial"/>
                <w:sz w:val="16"/>
                <w:szCs w:val="16"/>
              </w:rPr>
              <w:t>Payments to volunteers for work related injuries under the Act</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4C65FE1F" w14:textId="77777777">
            <w:pPr>
              <w:spacing w:after="0"/>
              <w:jc w:val="right"/>
              <w:rPr>
                <w:rFonts w:cs="Arial"/>
                <w:sz w:val="16"/>
                <w:szCs w:val="16"/>
              </w:rPr>
            </w:pPr>
            <w:r w:rsidRPr="00157D7F">
              <w:rPr>
                <w:rFonts w:cs="Arial"/>
                <w:sz w:val="16"/>
                <w:szCs w:val="16"/>
              </w:rPr>
              <w:t xml:space="preserve">972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7FD2CEB0" w14:textId="77777777">
            <w:pPr>
              <w:spacing w:after="0"/>
              <w:jc w:val="right"/>
              <w:rPr>
                <w:rFonts w:cs="Arial"/>
                <w:sz w:val="16"/>
                <w:szCs w:val="16"/>
              </w:rPr>
            </w:pPr>
            <w:r w:rsidRPr="00157D7F">
              <w:rPr>
                <w:rFonts w:cs="Arial"/>
                <w:sz w:val="16"/>
                <w:szCs w:val="16"/>
              </w:rPr>
              <w:t xml:space="preserve">401 </w:t>
            </w:r>
          </w:p>
        </w:tc>
      </w:tr>
      <w:tr w:rsidRPr="00157D7F" w:rsidR="00157D7F" w:rsidTr="00CC210C" w14:paraId="18C5A3C8"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01707272" w14:textId="77777777">
            <w:pPr>
              <w:spacing w:after="0"/>
              <w:rPr>
                <w:rFonts w:cs="Arial"/>
                <w:sz w:val="16"/>
                <w:szCs w:val="16"/>
              </w:rPr>
            </w:pPr>
            <w:r w:rsidRPr="00157D7F">
              <w:rPr>
                <w:rFonts w:cs="Arial"/>
                <w:sz w:val="16"/>
                <w:szCs w:val="16"/>
              </w:rPr>
              <w:t>4</w:t>
            </w:r>
          </w:p>
        </w:tc>
        <w:tc>
          <w:tcPr>
            <w:tcW w:w="4112" w:type="dxa"/>
            <w:tcBorders>
              <w:top w:val="nil"/>
              <w:left w:val="nil"/>
              <w:bottom w:val="single" w:color="000000" w:sz="6" w:space="0"/>
              <w:right w:val="nil"/>
            </w:tcBorders>
            <w:tcMar>
              <w:top w:w="57" w:type="dxa"/>
              <w:left w:w="0" w:type="dxa"/>
              <w:bottom w:w="57" w:type="dxa"/>
              <w:right w:w="227" w:type="dxa"/>
            </w:tcMar>
          </w:tcPr>
          <w:p w:rsidRPr="00157D7F" w:rsidR="00157D7F" w:rsidP="00157D7F" w:rsidRDefault="00157D7F" w14:paraId="51E33ECD" w14:textId="77777777">
            <w:pPr>
              <w:spacing w:after="0"/>
              <w:rPr>
                <w:rFonts w:cs="Arial"/>
                <w:sz w:val="16"/>
                <w:szCs w:val="16"/>
              </w:rPr>
            </w:pPr>
            <w:r w:rsidRPr="00157D7F">
              <w:rPr>
                <w:rFonts w:cs="Arial"/>
                <w:i/>
                <w:iCs/>
                <w:sz w:val="16"/>
                <w:szCs w:val="16"/>
              </w:rPr>
              <w:t>National Redress Scheme for Institutional Child Sexual Abuse (Commonwealth Powers) Act 2018 (No. 21/2018), s.11</w:t>
            </w:r>
          </w:p>
        </w:tc>
        <w:tc>
          <w:tcPr>
            <w:tcW w:w="3827" w:type="dxa"/>
            <w:tcBorders>
              <w:top w:val="nil"/>
              <w:left w:val="nil"/>
              <w:bottom w:val="single" w:color="000000" w:sz="6" w:space="0"/>
              <w:right w:val="nil"/>
            </w:tcBorders>
            <w:tcMar>
              <w:top w:w="57" w:type="dxa"/>
              <w:left w:w="0" w:type="dxa"/>
              <w:bottom w:w="57" w:type="dxa"/>
              <w:right w:w="113" w:type="dxa"/>
            </w:tcMar>
          </w:tcPr>
          <w:p w:rsidRPr="00157D7F" w:rsidR="00157D7F" w:rsidP="00157D7F" w:rsidRDefault="00157D7F" w14:paraId="15ED31F1" w14:textId="77777777">
            <w:pPr>
              <w:spacing w:after="0"/>
              <w:rPr>
                <w:rFonts w:cs="Arial"/>
                <w:sz w:val="16"/>
                <w:szCs w:val="16"/>
              </w:rPr>
            </w:pPr>
            <w:r w:rsidRPr="00157D7F">
              <w:rPr>
                <w:rFonts w:cs="Arial"/>
                <w:sz w:val="16"/>
                <w:szCs w:val="16"/>
              </w:rPr>
              <w:t>Costs of administering the State’s participation in the National Redress Scheme</w:t>
            </w:r>
          </w:p>
        </w:tc>
        <w:tc>
          <w:tcPr>
            <w:tcW w:w="850"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47A1A5F8" w14:textId="77777777">
            <w:pPr>
              <w:spacing w:after="0"/>
              <w:jc w:val="right"/>
              <w:rPr>
                <w:rFonts w:cs="Arial"/>
                <w:sz w:val="16"/>
                <w:szCs w:val="16"/>
              </w:rPr>
            </w:pPr>
            <w:r w:rsidRPr="00157D7F">
              <w:rPr>
                <w:rFonts w:cs="Arial"/>
                <w:sz w:val="16"/>
                <w:szCs w:val="16"/>
              </w:rPr>
              <w:t xml:space="preserve">2,082 </w:t>
            </w:r>
          </w:p>
        </w:tc>
        <w:tc>
          <w:tcPr>
            <w:tcW w:w="993"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1F68F682" w14:textId="77777777">
            <w:pPr>
              <w:spacing w:after="0"/>
              <w:jc w:val="right"/>
              <w:rPr>
                <w:rFonts w:cs="Arial"/>
                <w:sz w:val="16"/>
                <w:szCs w:val="16"/>
              </w:rPr>
            </w:pPr>
            <w:r w:rsidRPr="00157D7F">
              <w:rPr>
                <w:rFonts w:cs="Arial"/>
                <w:sz w:val="16"/>
                <w:szCs w:val="16"/>
              </w:rPr>
              <w:t xml:space="preserve">0 </w:t>
            </w:r>
          </w:p>
        </w:tc>
      </w:tr>
      <w:tr w:rsidRPr="00157D7F" w:rsidR="00157D7F" w:rsidTr="00CC210C" w14:paraId="3B37859A"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7128FF3A" w14:textId="77777777">
            <w:pPr>
              <w:spacing w:after="0"/>
              <w:rPr>
                <w:rFonts w:cs="Arial"/>
                <w:b/>
                <w:sz w:val="16"/>
                <w:szCs w:val="16"/>
                <w:lang w:val="en-US"/>
              </w:rPr>
            </w:pPr>
          </w:p>
        </w:tc>
        <w:tc>
          <w:tcPr>
            <w:tcW w:w="4112" w:type="dxa"/>
            <w:tcBorders>
              <w:top w:val="single" w:color="000000" w:sz="6" w:space="0"/>
              <w:left w:val="nil"/>
              <w:bottom w:val="single" w:color="000000" w:sz="12" w:space="0"/>
              <w:right w:val="nil"/>
            </w:tcBorders>
            <w:tcMar>
              <w:top w:w="57" w:type="dxa"/>
              <w:left w:w="0" w:type="dxa"/>
              <w:bottom w:w="57" w:type="dxa"/>
              <w:right w:w="227" w:type="dxa"/>
            </w:tcMar>
          </w:tcPr>
          <w:p w:rsidRPr="00157D7F" w:rsidR="00157D7F" w:rsidP="00157D7F" w:rsidRDefault="00157D7F" w14:paraId="4CD45087" w14:textId="77777777">
            <w:pPr>
              <w:spacing w:after="0"/>
              <w:rPr>
                <w:rFonts w:cs="Arial"/>
                <w:b/>
                <w:sz w:val="16"/>
                <w:szCs w:val="16"/>
              </w:rPr>
            </w:pPr>
            <w:r w:rsidRPr="00157D7F">
              <w:rPr>
                <w:rFonts w:cs="Arial"/>
                <w:b/>
                <w:sz w:val="16"/>
                <w:szCs w:val="16"/>
              </w:rPr>
              <w:t>Total</w:t>
            </w:r>
          </w:p>
        </w:tc>
        <w:tc>
          <w:tcPr>
            <w:tcW w:w="3827" w:type="dxa"/>
            <w:tcBorders>
              <w:top w:val="single" w:color="000000" w:sz="6" w:space="0"/>
              <w:left w:val="nil"/>
              <w:bottom w:val="single" w:color="000000" w:sz="12" w:space="0"/>
              <w:right w:val="nil"/>
            </w:tcBorders>
            <w:tcMar>
              <w:top w:w="57" w:type="dxa"/>
              <w:left w:w="0" w:type="dxa"/>
              <w:bottom w:w="57" w:type="dxa"/>
              <w:right w:w="113" w:type="dxa"/>
            </w:tcMar>
          </w:tcPr>
          <w:p w:rsidRPr="00157D7F" w:rsidR="00157D7F" w:rsidP="00157D7F" w:rsidRDefault="00157D7F" w14:paraId="082219A5" w14:textId="77777777">
            <w:pPr>
              <w:spacing w:after="0"/>
              <w:rPr>
                <w:rFonts w:cs="Arial"/>
                <w:b/>
                <w:sz w:val="16"/>
                <w:szCs w:val="16"/>
                <w:lang w:val="en-US"/>
              </w:rPr>
            </w:pPr>
          </w:p>
        </w:tc>
        <w:tc>
          <w:tcPr>
            <w:tcW w:w="850" w:type="dxa"/>
            <w:tcBorders>
              <w:top w:val="single" w:color="000000" w:sz="6" w:space="0"/>
              <w:left w:val="nil"/>
              <w:bottom w:val="single" w:color="000000" w:sz="12" w:space="0"/>
              <w:right w:val="nil"/>
            </w:tcBorders>
            <w:tcMar>
              <w:top w:w="57" w:type="dxa"/>
              <w:left w:w="0" w:type="dxa"/>
              <w:bottom w:w="57" w:type="dxa"/>
              <w:right w:w="0" w:type="dxa"/>
            </w:tcMar>
          </w:tcPr>
          <w:p w:rsidRPr="00157D7F" w:rsidR="00157D7F" w:rsidP="00157D7F" w:rsidRDefault="00157D7F" w14:paraId="1F3E972D" w14:textId="77777777">
            <w:pPr>
              <w:spacing w:after="0"/>
              <w:jc w:val="right"/>
              <w:rPr>
                <w:rFonts w:cs="Arial"/>
                <w:b/>
                <w:sz w:val="16"/>
                <w:szCs w:val="16"/>
              </w:rPr>
            </w:pPr>
            <w:r w:rsidRPr="00157D7F">
              <w:rPr>
                <w:rFonts w:cs="Arial"/>
                <w:b/>
                <w:sz w:val="16"/>
                <w:szCs w:val="16"/>
              </w:rPr>
              <w:t xml:space="preserve">3,400 </w:t>
            </w:r>
          </w:p>
        </w:tc>
        <w:tc>
          <w:tcPr>
            <w:tcW w:w="993" w:type="dxa"/>
            <w:tcBorders>
              <w:top w:val="single" w:color="000000" w:sz="6" w:space="0"/>
              <w:left w:val="nil"/>
              <w:bottom w:val="single" w:color="000000" w:sz="12" w:space="0"/>
              <w:right w:val="nil"/>
            </w:tcBorders>
            <w:tcMar>
              <w:top w:w="57" w:type="dxa"/>
              <w:left w:w="0" w:type="dxa"/>
              <w:bottom w:w="57" w:type="dxa"/>
              <w:right w:w="0" w:type="dxa"/>
            </w:tcMar>
          </w:tcPr>
          <w:p w:rsidRPr="00157D7F" w:rsidR="00157D7F" w:rsidP="00157D7F" w:rsidRDefault="00157D7F" w14:paraId="3F3A50B8" w14:textId="77777777">
            <w:pPr>
              <w:spacing w:after="0"/>
              <w:jc w:val="right"/>
              <w:rPr>
                <w:rFonts w:cs="Arial"/>
                <w:b/>
                <w:sz w:val="16"/>
                <w:szCs w:val="16"/>
              </w:rPr>
            </w:pPr>
            <w:r w:rsidRPr="00157D7F">
              <w:rPr>
                <w:rFonts w:cs="Arial"/>
                <w:b/>
                <w:sz w:val="16"/>
                <w:szCs w:val="16"/>
              </w:rPr>
              <w:t xml:space="preserve">654 </w:t>
            </w:r>
          </w:p>
        </w:tc>
      </w:tr>
      <w:tr w:rsidRPr="00157D7F" w:rsidR="00157D7F" w:rsidTr="00CC210C" w14:paraId="6963219B"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5C0D27DB" w14:textId="77777777">
            <w:pPr>
              <w:spacing w:after="0"/>
              <w:rPr>
                <w:rFonts w:cs="Arial"/>
                <w:sz w:val="16"/>
                <w:szCs w:val="16"/>
                <w:lang w:val="en-US"/>
              </w:rPr>
            </w:pPr>
          </w:p>
        </w:tc>
        <w:tc>
          <w:tcPr>
            <w:tcW w:w="4112" w:type="dxa"/>
            <w:tcBorders>
              <w:top w:val="single" w:color="000000" w:sz="12" w:space="0"/>
              <w:left w:val="nil"/>
              <w:bottom w:val="nil"/>
              <w:right w:val="nil"/>
            </w:tcBorders>
            <w:tcMar>
              <w:top w:w="57" w:type="dxa"/>
              <w:left w:w="0" w:type="dxa"/>
              <w:bottom w:w="57" w:type="dxa"/>
              <w:right w:w="227" w:type="dxa"/>
            </w:tcMar>
          </w:tcPr>
          <w:p w:rsidRPr="00157D7F" w:rsidR="00157D7F" w:rsidP="00157D7F" w:rsidRDefault="00157D7F" w14:paraId="7FBEDE43" w14:textId="77777777">
            <w:pPr>
              <w:spacing w:after="0"/>
              <w:rPr>
                <w:rFonts w:cs="Arial"/>
                <w:sz w:val="16"/>
                <w:szCs w:val="16"/>
              </w:rPr>
            </w:pPr>
            <w:r w:rsidRPr="00157D7F">
              <w:rPr>
                <w:rFonts w:cs="Arial"/>
                <w:sz w:val="16"/>
                <w:szCs w:val="16"/>
              </w:rPr>
              <w:t>Administered</w:t>
            </w:r>
          </w:p>
        </w:tc>
        <w:tc>
          <w:tcPr>
            <w:tcW w:w="3827" w:type="dxa"/>
            <w:tcBorders>
              <w:top w:val="single" w:color="000000" w:sz="12" w:space="0"/>
              <w:left w:val="nil"/>
              <w:bottom w:val="nil"/>
              <w:right w:val="nil"/>
            </w:tcBorders>
            <w:tcMar>
              <w:top w:w="57" w:type="dxa"/>
              <w:left w:w="0" w:type="dxa"/>
              <w:bottom w:w="57" w:type="dxa"/>
              <w:right w:w="113" w:type="dxa"/>
            </w:tcMar>
          </w:tcPr>
          <w:p w:rsidRPr="00157D7F" w:rsidR="00157D7F" w:rsidP="00157D7F" w:rsidRDefault="00157D7F" w14:paraId="5861AB25" w14:textId="77777777">
            <w:pPr>
              <w:spacing w:after="0"/>
              <w:rPr>
                <w:rFonts w:cs="Arial"/>
                <w:sz w:val="16"/>
                <w:szCs w:val="16"/>
                <w:lang w:val="en-US"/>
              </w:rPr>
            </w:pPr>
          </w:p>
        </w:tc>
        <w:tc>
          <w:tcPr>
            <w:tcW w:w="850" w:type="dxa"/>
            <w:tcBorders>
              <w:top w:val="single" w:color="000000" w:sz="12" w:space="0"/>
              <w:left w:val="nil"/>
              <w:bottom w:val="nil"/>
              <w:right w:val="nil"/>
            </w:tcBorders>
            <w:tcMar>
              <w:top w:w="57" w:type="dxa"/>
              <w:left w:w="0" w:type="dxa"/>
              <w:bottom w:w="57" w:type="dxa"/>
              <w:right w:w="0" w:type="dxa"/>
            </w:tcMar>
          </w:tcPr>
          <w:p w:rsidRPr="00157D7F" w:rsidR="00157D7F" w:rsidP="00157D7F" w:rsidRDefault="00157D7F" w14:paraId="35EF9F8E" w14:textId="77777777">
            <w:pPr>
              <w:spacing w:after="0"/>
              <w:jc w:val="right"/>
              <w:rPr>
                <w:rFonts w:cs="Arial"/>
                <w:sz w:val="16"/>
                <w:szCs w:val="16"/>
                <w:lang w:val="en-US"/>
              </w:rPr>
            </w:pPr>
          </w:p>
        </w:tc>
        <w:tc>
          <w:tcPr>
            <w:tcW w:w="993" w:type="dxa"/>
            <w:tcBorders>
              <w:top w:val="single" w:color="000000" w:sz="12" w:space="0"/>
              <w:left w:val="nil"/>
              <w:bottom w:val="nil"/>
              <w:right w:val="nil"/>
            </w:tcBorders>
            <w:tcMar>
              <w:top w:w="57" w:type="dxa"/>
              <w:left w:w="0" w:type="dxa"/>
              <w:bottom w:w="57" w:type="dxa"/>
              <w:right w:w="0" w:type="dxa"/>
            </w:tcMar>
          </w:tcPr>
          <w:p w:rsidRPr="00157D7F" w:rsidR="00157D7F" w:rsidP="00157D7F" w:rsidRDefault="00157D7F" w14:paraId="44C8E0C1" w14:textId="77777777">
            <w:pPr>
              <w:spacing w:after="0"/>
              <w:jc w:val="right"/>
              <w:rPr>
                <w:rFonts w:cs="Arial"/>
                <w:sz w:val="16"/>
                <w:szCs w:val="16"/>
                <w:lang w:val="en-US"/>
              </w:rPr>
            </w:pPr>
          </w:p>
        </w:tc>
      </w:tr>
      <w:tr w:rsidRPr="00157D7F" w:rsidR="00157D7F" w:rsidTr="00CC210C" w14:paraId="4A68741D"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1B0D1AD1" w14:textId="77777777">
            <w:pPr>
              <w:spacing w:after="0"/>
              <w:rPr>
                <w:rFonts w:cs="Arial"/>
                <w:sz w:val="16"/>
                <w:szCs w:val="16"/>
              </w:rPr>
            </w:pPr>
            <w:r w:rsidRPr="00157D7F">
              <w:rPr>
                <w:rFonts w:cs="Arial"/>
                <w:sz w:val="16"/>
                <w:szCs w:val="16"/>
              </w:rPr>
              <w:t>5</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60CA7FCB" w14:textId="2A3DF9C6">
            <w:pPr>
              <w:spacing w:after="0"/>
              <w:rPr>
                <w:rFonts w:cs="Arial"/>
                <w:sz w:val="16"/>
                <w:szCs w:val="16"/>
              </w:rPr>
            </w:pPr>
            <w:r w:rsidRPr="00157D7F">
              <w:rPr>
                <w:rFonts w:cs="Arial"/>
                <w:i/>
                <w:iCs/>
                <w:sz w:val="16"/>
                <w:szCs w:val="16"/>
              </w:rPr>
              <w:t>Melbourne City Link Act 1995 (No. 107/1995), s.14(4)</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53956D9B" w14:textId="77777777">
            <w:pPr>
              <w:spacing w:after="0"/>
              <w:rPr>
                <w:rFonts w:cs="Arial"/>
                <w:sz w:val="16"/>
                <w:szCs w:val="16"/>
              </w:rPr>
            </w:pPr>
            <w:r w:rsidRPr="00157D7F">
              <w:rPr>
                <w:rFonts w:cs="Arial"/>
                <w:sz w:val="16"/>
                <w:szCs w:val="16"/>
              </w:rPr>
              <w:t>Payments to City Link</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269AAB80" w14:textId="77777777">
            <w:pPr>
              <w:spacing w:after="0"/>
              <w:jc w:val="right"/>
              <w:rPr>
                <w:rFonts w:cs="Arial"/>
                <w:sz w:val="16"/>
                <w:szCs w:val="16"/>
              </w:rPr>
            </w:pPr>
            <w:r w:rsidRPr="00157D7F">
              <w:rPr>
                <w:rFonts w:cs="Arial"/>
                <w:sz w:val="16"/>
                <w:szCs w:val="16"/>
              </w:rPr>
              <w:t xml:space="preserve">939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16B21F53" w14:textId="77777777">
            <w:pPr>
              <w:spacing w:after="0"/>
              <w:jc w:val="right"/>
              <w:rPr>
                <w:rFonts w:cs="Arial"/>
                <w:sz w:val="16"/>
                <w:szCs w:val="16"/>
              </w:rPr>
            </w:pPr>
            <w:r w:rsidRPr="00157D7F">
              <w:rPr>
                <w:rFonts w:cs="Arial"/>
                <w:sz w:val="16"/>
                <w:szCs w:val="16"/>
              </w:rPr>
              <w:t xml:space="preserve">1,370 </w:t>
            </w:r>
          </w:p>
        </w:tc>
      </w:tr>
      <w:tr w:rsidRPr="00157D7F" w:rsidR="00157D7F" w:rsidTr="00CC210C" w14:paraId="6BA3F9C5"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243B68E2" w14:textId="77777777">
            <w:pPr>
              <w:spacing w:after="0"/>
              <w:rPr>
                <w:rFonts w:cs="Arial"/>
                <w:sz w:val="16"/>
                <w:szCs w:val="16"/>
              </w:rPr>
            </w:pPr>
            <w:r w:rsidRPr="00157D7F">
              <w:rPr>
                <w:rFonts w:cs="Arial"/>
                <w:sz w:val="16"/>
                <w:szCs w:val="16"/>
              </w:rPr>
              <w:t>6</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1633729B" w14:textId="1869B47E">
            <w:pPr>
              <w:spacing w:after="0"/>
              <w:rPr>
                <w:rFonts w:cs="Arial"/>
                <w:sz w:val="16"/>
                <w:szCs w:val="16"/>
              </w:rPr>
            </w:pPr>
            <w:proofErr w:type="spellStart"/>
            <w:r w:rsidRPr="00157D7F">
              <w:rPr>
                <w:rFonts w:cs="Arial"/>
                <w:i/>
                <w:iCs/>
                <w:sz w:val="16"/>
                <w:szCs w:val="16"/>
              </w:rPr>
              <w:t>EastLink</w:t>
            </w:r>
            <w:proofErr w:type="spellEnd"/>
            <w:r w:rsidRPr="00157D7F">
              <w:rPr>
                <w:rFonts w:cs="Arial"/>
                <w:i/>
                <w:iCs/>
                <w:sz w:val="16"/>
                <w:szCs w:val="16"/>
              </w:rPr>
              <w:t xml:space="preserve"> Project Act 2004 (No. 39/2004), s.26</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4EC0693E" w14:textId="77777777">
            <w:pPr>
              <w:spacing w:after="0"/>
              <w:rPr>
                <w:rFonts w:cs="Arial"/>
                <w:sz w:val="16"/>
                <w:szCs w:val="16"/>
              </w:rPr>
            </w:pPr>
            <w:r w:rsidRPr="00157D7F">
              <w:rPr>
                <w:rFonts w:cs="Arial"/>
                <w:sz w:val="16"/>
                <w:szCs w:val="16"/>
              </w:rPr>
              <w:t>Payments to East Link</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46924D8F" w14:textId="77777777">
            <w:pPr>
              <w:spacing w:after="0"/>
              <w:jc w:val="right"/>
              <w:rPr>
                <w:rFonts w:cs="Arial"/>
                <w:sz w:val="16"/>
                <w:szCs w:val="16"/>
              </w:rPr>
            </w:pPr>
            <w:r w:rsidRPr="00157D7F">
              <w:rPr>
                <w:rFonts w:cs="Arial"/>
                <w:sz w:val="16"/>
                <w:szCs w:val="16"/>
              </w:rPr>
              <w:t xml:space="preserve">1,058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75B63F36" w14:textId="77777777">
            <w:pPr>
              <w:spacing w:after="0"/>
              <w:jc w:val="right"/>
              <w:rPr>
                <w:rFonts w:cs="Arial"/>
                <w:sz w:val="16"/>
                <w:szCs w:val="16"/>
              </w:rPr>
            </w:pPr>
            <w:r w:rsidRPr="00157D7F">
              <w:rPr>
                <w:rFonts w:cs="Arial"/>
                <w:sz w:val="16"/>
                <w:szCs w:val="16"/>
              </w:rPr>
              <w:t xml:space="preserve">1,172 </w:t>
            </w:r>
          </w:p>
        </w:tc>
      </w:tr>
      <w:tr w:rsidRPr="00157D7F" w:rsidR="00157D7F" w:rsidTr="00CC210C" w14:paraId="259FBEDF"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0CB1DDDA" w14:textId="77777777">
            <w:pPr>
              <w:spacing w:after="0"/>
              <w:rPr>
                <w:rFonts w:cs="Arial"/>
                <w:sz w:val="16"/>
                <w:szCs w:val="16"/>
              </w:rPr>
            </w:pPr>
            <w:r w:rsidRPr="00157D7F">
              <w:rPr>
                <w:rFonts w:cs="Arial"/>
                <w:sz w:val="16"/>
                <w:szCs w:val="16"/>
              </w:rPr>
              <w:t>7</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1E989B3C" w14:textId="77777777">
            <w:pPr>
              <w:spacing w:after="0"/>
              <w:rPr>
                <w:rFonts w:cs="Arial"/>
                <w:sz w:val="16"/>
                <w:szCs w:val="16"/>
              </w:rPr>
            </w:pPr>
            <w:r w:rsidRPr="00157D7F">
              <w:rPr>
                <w:rFonts w:cs="Arial"/>
                <w:i/>
                <w:iCs/>
                <w:sz w:val="16"/>
                <w:szCs w:val="16"/>
              </w:rPr>
              <w:t xml:space="preserve">Crown Proceedings Act 1958 </w:t>
            </w:r>
            <w:r w:rsidRPr="00157D7F">
              <w:rPr>
                <w:rFonts w:cs="Arial"/>
                <w:i/>
                <w:iCs/>
                <w:sz w:val="16"/>
                <w:szCs w:val="16"/>
              </w:rPr>
              <w:br/>
              <w:t xml:space="preserve">(No. 6232/1958), s.26 </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5F88189F" w14:textId="77777777">
            <w:pPr>
              <w:spacing w:after="0"/>
              <w:rPr>
                <w:rFonts w:cs="Arial"/>
                <w:sz w:val="16"/>
                <w:szCs w:val="16"/>
              </w:rPr>
            </w:pPr>
            <w:r w:rsidRPr="00157D7F">
              <w:rPr>
                <w:rFonts w:cs="Arial"/>
                <w:sz w:val="16"/>
                <w:szCs w:val="16"/>
              </w:rPr>
              <w:t>Payments from Crown Proceedings in the Supreme Court of Victoria</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03258513" w14:textId="77777777">
            <w:pPr>
              <w:spacing w:after="0"/>
              <w:jc w:val="right"/>
              <w:rPr>
                <w:rFonts w:cs="Arial"/>
                <w:sz w:val="16"/>
                <w:szCs w:val="16"/>
              </w:rPr>
            </w:pPr>
            <w:r w:rsidRPr="00157D7F">
              <w:rPr>
                <w:rFonts w:cs="Arial"/>
                <w:sz w:val="16"/>
                <w:szCs w:val="16"/>
              </w:rPr>
              <w:t xml:space="preserve">16,497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516EE04D" w14:textId="77777777">
            <w:pPr>
              <w:spacing w:after="0"/>
              <w:jc w:val="right"/>
              <w:rPr>
                <w:rFonts w:cs="Arial"/>
                <w:sz w:val="16"/>
                <w:szCs w:val="16"/>
              </w:rPr>
            </w:pPr>
            <w:r w:rsidRPr="00157D7F">
              <w:rPr>
                <w:rFonts w:cs="Arial"/>
                <w:sz w:val="16"/>
                <w:szCs w:val="16"/>
              </w:rPr>
              <w:t xml:space="preserve">2,490 </w:t>
            </w:r>
          </w:p>
        </w:tc>
      </w:tr>
      <w:tr w:rsidRPr="00157D7F" w:rsidR="00157D7F" w:rsidTr="00CC210C" w14:paraId="407D39CA"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7C6A33C5" w14:textId="77777777">
            <w:pPr>
              <w:spacing w:after="0"/>
              <w:rPr>
                <w:rFonts w:cs="Arial"/>
                <w:sz w:val="16"/>
                <w:szCs w:val="16"/>
              </w:rPr>
            </w:pPr>
            <w:r w:rsidRPr="00157D7F">
              <w:rPr>
                <w:rFonts w:cs="Arial"/>
                <w:sz w:val="16"/>
                <w:szCs w:val="16"/>
              </w:rPr>
              <w:t>8</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115106B4" w14:textId="0B5034EC">
            <w:pPr>
              <w:spacing w:after="0"/>
              <w:rPr>
                <w:rFonts w:cs="Arial"/>
                <w:sz w:val="16"/>
                <w:szCs w:val="16"/>
              </w:rPr>
            </w:pPr>
            <w:r w:rsidRPr="00157D7F">
              <w:rPr>
                <w:rFonts w:cs="Arial"/>
                <w:i/>
                <w:iCs/>
                <w:sz w:val="16"/>
                <w:szCs w:val="16"/>
              </w:rPr>
              <w:t xml:space="preserve">National Redress Scheme for Institutional Child Sexual Abuse (Commonwealth Powers) Act 2018 </w:t>
            </w:r>
            <w:r>
              <w:rPr>
                <w:rFonts w:cs="Arial"/>
                <w:i/>
                <w:iCs/>
                <w:sz w:val="16"/>
                <w:szCs w:val="16"/>
              </w:rPr>
              <w:br/>
            </w:r>
            <w:r w:rsidRPr="00157D7F">
              <w:rPr>
                <w:rFonts w:cs="Arial"/>
                <w:i/>
                <w:iCs/>
                <w:sz w:val="16"/>
                <w:szCs w:val="16"/>
              </w:rPr>
              <w:t>(No. 21/2018), s.11</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6C7ADDDC" w14:textId="77777777">
            <w:pPr>
              <w:spacing w:after="0"/>
              <w:rPr>
                <w:rFonts w:cs="Arial"/>
                <w:sz w:val="16"/>
                <w:szCs w:val="16"/>
              </w:rPr>
            </w:pPr>
            <w:r w:rsidRPr="00157D7F">
              <w:rPr>
                <w:rFonts w:cs="Arial"/>
                <w:sz w:val="16"/>
                <w:szCs w:val="16"/>
              </w:rPr>
              <w:t>Payments to the Commonwealth for the funding contribution that the State is liable to pay under section 149 of the National Redress Act.</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409E4326" w14:textId="77777777">
            <w:pPr>
              <w:spacing w:after="0"/>
              <w:jc w:val="right"/>
              <w:rPr>
                <w:rFonts w:cs="Arial"/>
                <w:sz w:val="16"/>
                <w:szCs w:val="16"/>
              </w:rPr>
            </w:pPr>
            <w:r w:rsidRPr="00157D7F">
              <w:rPr>
                <w:rFonts w:cs="Arial"/>
                <w:sz w:val="16"/>
                <w:szCs w:val="16"/>
              </w:rPr>
              <w:t xml:space="preserve">3,862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1282D6F5" w14:textId="77777777">
            <w:pPr>
              <w:spacing w:after="0"/>
              <w:jc w:val="right"/>
              <w:rPr>
                <w:rFonts w:cs="Arial"/>
                <w:sz w:val="16"/>
                <w:szCs w:val="16"/>
              </w:rPr>
            </w:pPr>
            <w:r w:rsidRPr="00157D7F">
              <w:rPr>
                <w:rFonts w:cs="Arial"/>
                <w:sz w:val="16"/>
                <w:szCs w:val="16"/>
              </w:rPr>
              <w:t xml:space="preserve">0 </w:t>
            </w:r>
          </w:p>
        </w:tc>
      </w:tr>
      <w:tr w:rsidRPr="00157D7F" w:rsidR="00157D7F" w:rsidTr="00CC210C" w14:paraId="32D999C6"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1F1ECA7C" w14:textId="77777777">
            <w:pPr>
              <w:spacing w:after="0"/>
              <w:rPr>
                <w:rFonts w:cs="Arial"/>
                <w:sz w:val="16"/>
                <w:szCs w:val="16"/>
              </w:rPr>
            </w:pPr>
            <w:r w:rsidRPr="00157D7F">
              <w:rPr>
                <w:rFonts w:cs="Arial"/>
                <w:sz w:val="16"/>
                <w:szCs w:val="16"/>
              </w:rPr>
              <w:t>9</w:t>
            </w:r>
          </w:p>
        </w:tc>
        <w:tc>
          <w:tcPr>
            <w:tcW w:w="4112" w:type="dxa"/>
            <w:tcBorders>
              <w:top w:val="nil"/>
              <w:left w:val="nil"/>
              <w:bottom w:val="nil"/>
              <w:right w:val="nil"/>
            </w:tcBorders>
            <w:tcMar>
              <w:top w:w="57" w:type="dxa"/>
              <w:left w:w="0" w:type="dxa"/>
              <w:bottom w:w="57" w:type="dxa"/>
              <w:right w:w="227" w:type="dxa"/>
            </w:tcMar>
          </w:tcPr>
          <w:p w:rsidRPr="00157D7F" w:rsidR="00157D7F" w:rsidP="00157D7F" w:rsidRDefault="00157D7F" w14:paraId="7B4AB130" w14:textId="1F0B021A">
            <w:pPr>
              <w:spacing w:after="0"/>
              <w:rPr>
                <w:rFonts w:cs="Arial"/>
                <w:sz w:val="16"/>
                <w:szCs w:val="16"/>
              </w:rPr>
            </w:pPr>
            <w:r w:rsidRPr="00157D7F">
              <w:rPr>
                <w:rFonts w:cs="Arial"/>
                <w:i/>
                <w:iCs/>
                <w:sz w:val="16"/>
                <w:szCs w:val="16"/>
              </w:rPr>
              <w:t xml:space="preserve">National Redress Scheme for Institutional Child Sexual Abuse (Commonwealth Powers) Act 2018 </w:t>
            </w:r>
            <w:r>
              <w:rPr>
                <w:rFonts w:cs="Arial"/>
                <w:i/>
                <w:iCs/>
                <w:sz w:val="16"/>
                <w:szCs w:val="16"/>
              </w:rPr>
              <w:br/>
            </w:r>
            <w:r w:rsidRPr="00157D7F">
              <w:rPr>
                <w:rFonts w:cs="Arial"/>
                <w:i/>
                <w:iCs/>
                <w:sz w:val="16"/>
                <w:szCs w:val="16"/>
              </w:rPr>
              <w:t>(No. 21/2018), s.11</w:t>
            </w:r>
          </w:p>
        </w:tc>
        <w:tc>
          <w:tcPr>
            <w:tcW w:w="3827" w:type="dxa"/>
            <w:tcBorders>
              <w:top w:val="nil"/>
              <w:left w:val="nil"/>
              <w:bottom w:val="nil"/>
              <w:right w:val="nil"/>
            </w:tcBorders>
            <w:tcMar>
              <w:top w:w="57" w:type="dxa"/>
              <w:left w:w="0" w:type="dxa"/>
              <w:bottom w:w="57" w:type="dxa"/>
              <w:right w:w="113" w:type="dxa"/>
            </w:tcMar>
          </w:tcPr>
          <w:p w:rsidRPr="00157D7F" w:rsidR="00157D7F" w:rsidP="00157D7F" w:rsidRDefault="00157D7F" w14:paraId="7B7C7CD7" w14:textId="77777777">
            <w:pPr>
              <w:spacing w:after="0"/>
              <w:rPr>
                <w:rFonts w:cs="Arial"/>
                <w:sz w:val="16"/>
                <w:szCs w:val="16"/>
              </w:rPr>
            </w:pPr>
            <w:r w:rsidRPr="00157D7F">
              <w:rPr>
                <w:rFonts w:cs="Arial"/>
                <w:sz w:val="16"/>
                <w:szCs w:val="16"/>
              </w:rPr>
              <w:t>Payments for support services, including the provision of counselling and psychological services within the meaning of section 52(1)(b) of the National Redress Act.</w:t>
            </w:r>
          </w:p>
        </w:tc>
        <w:tc>
          <w:tcPr>
            <w:tcW w:w="850" w:type="dxa"/>
            <w:tcBorders>
              <w:top w:val="nil"/>
              <w:left w:val="nil"/>
              <w:bottom w:val="nil"/>
              <w:right w:val="nil"/>
            </w:tcBorders>
            <w:tcMar>
              <w:top w:w="57" w:type="dxa"/>
              <w:left w:w="0" w:type="dxa"/>
              <w:bottom w:w="57" w:type="dxa"/>
              <w:right w:w="0" w:type="dxa"/>
            </w:tcMar>
          </w:tcPr>
          <w:p w:rsidRPr="00157D7F" w:rsidR="00157D7F" w:rsidP="00157D7F" w:rsidRDefault="00157D7F" w14:paraId="71CE2E6D" w14:textId="77777777">
            <w:pPr>
              <w:spacing w:after="0"/>
              <w:jc w:val="right"/>
              <w:rPr>
                <w:rFonts w:cs="Arial"/>
                <w:sz w:val="16"/>
                <w:szCs w:val="16"/>
              </w:rPr>
            </w:pPr>
            <w:r w:rsidRPr="00157D7F">
              <w:rPr>
                <w:rFonts w:cs="Arial"/>
                <w:sz w:val="16"/>
                <w:szCs w:val="16"/>
              </w:rPr>
              <w:t xml:space="preserve">529 </w:t>
            </w:r>
          </w:p>
        </w:tc>
        <w:tc>
          <w:tcPr>
            <w:tcW w:w="993" w:type="dxa"/>
            <w:tcBorders>
              <w:top w:val="nil"/>
              <w:left w:val="nil"/>
              <w:bottom w:val="nil"/>
              <w:right w:val="nil"/>
            </w:tcBorders>
            <w:tcMar>
              <w:top w:w="57" w:type="dxa"/>
              <w:left w:w="0" w:type="dxa"/>
              <w:bottom w:w="57" w:type="dxa"/>
              <w:right w:w="0" w:type="dxa"/>
            </w:tcMar>
          </w:tcPr>
          <w:p w:rsidRPr="00157D7F" w:rsidR="00157D7F" w:rsidP="00157D7F" w:rsidRDefault="00157D7F" w14:paraId="0DD80236" w14:textId="77777777">
            <w:pPr>
              <w:spacing w:after="0"/>
              <w:jc w:val="right"/>
              <w:rPr>
                <w:rFonts w:cs="Arial"/>
                <w:sz w:val="16"/>
                <w:szCs w:val="16"/>
              </w:rPr>
            </w:pPr>
            <w:r w:rsidRPr="00157D7F">
              <w:rPr>
                <w:rFonts w:cs="Arial"/>
                <w:sz w:val="16"/>
                <w:szCs w:val="16"/>
              </w:rPr>
              <w:t xml:space="preserve">0 </w:t>
            </w:r>
          </w:p>
        </w:tc>
      </w:tr>
      <w:tr w:rsidRPr="00157D7F" w:rsidR="00157D7F" w:rsidTr="00CC210C" w14:paraId="5A7E2A84"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60ED17B2" w14:textId="77777777">
            <w:pPr>
              <w:spacing w:after="0"/>
              <w:rPr>
                <w:rFonts w:cs="Arial"/>
                <w:sz w:val="16"/>
                <w:szCs w:val="16"/>
              </w:rPr>
            </w:pPr>
            <w:r w:rsidRPr="00157D7F">
              <w:rPr>
                <w:rFonts w:cs="Arial"/>
                <w:sz w:val="16"/>
                <w:szCs w:val="16"/>
              </w:rPr>
              <w:t>10</w:t>
            </w:r>
          </w:p>
        </w:tc>
        <w:tc>
          <w:tcPr>
            <w:tcW w:w="4112" w:type="dxa"/>
            <w:tcBorders>
              <w:top w:val="nil"/>
              <w:left w:val="nil"/>
              <w:bottom w:val="single" w:color="000000" w:sz="6" w:space="0"/>
              <w:right w:val="nil"/>
            </w:tcBorders>
            <w:tcMar>
              <w:top w:w="57" w:type="dxa"/>
              <w:left w:w="0" w:type="dxa"/>
              <w:bottom w:w="57" w:type="dxa"/>
              <w:right w:w="227" w:type="dxa"/>
            </w:tcMar>
          </w:tcPr>
          <w:p w:rsidRPr="00157D7F" w:rsidR="00157D7F" w:rsidP="00157D7F" w:rsidRDefault="00157D7F" w14:paraId="02B2EE8B" w14:textId="77777777">
            <w:pPr>
              <w:spacing w:after="0"/>
              <w:rPr>
                <w:rFonts w:cs="Arial"/>
                <w:sz w:val="16"/>
                <w:szCs w:val="16"/>
              </w:rPr>
            </w:pPr>
            <w:r w:rsidRPr="00157D7F">
              <w:rPr>
                <w:rFonts w:cs="Arial"/>
                <w:i/>
                <w:iCs/>
                <w:sz w:val="16"/>
                <w:szCs w:val="16"/>
              </w:rPr>
              <w:t>Inquiries Act 2014 (No. 67/2014), s.11</w:t>
            </w:r>
          </w:p>
        </w:tc>
        <w:tc>
          <w:tcPr>
            <w:tcW w:w="3827" w:type="dxa"/>
            <w:tcBorders>
              <w:top w:val="nil"/>
              <w:left w:val="nil"/>
              <w:bottom w:val="single" w:color="000000" w:sz="6" w:space="0"/>
              <w:right w:val="nil"/>
            </w:tcBorders>
            <w:tcMar>
              <w:top w:w="57" w:type="dxa"/>
              <w:left w:w="0" w:type="dxa"/>
              <w:bottom w:w="57" w:type="dxa"/>
              <w:right w:w="113" w:type="dxa"/>
            </w:tcMar>
          </w:tcPr>
          <w:p w:rsidRPr="00157D7F" w:rsidR="00157D7F" w:rsidP="00157D7F" w:rsidRDefault="00157D7F" w14:paraId="25760D09" w14:textId="77777777">
            <w:pPr>
              <w:spacing w:after="0"/>
              <w:rPr>
                <w:rFonts w:cs="Arial"/>
                <w:sz w:val="16"/>
                <w:szCs w:val="16"/>
              </w:rPr>
            </w:pPr>
            <w:r w:rsidRPr="00157D7F">
              <w:rPr>
                <w:rFonts w:cs="Arial"/>
                <w:sz w:val="16"/>
                <w:szCs w:val="16"/>
              </w:rPr>
              <w:t>Costs incurred by the Royal Commission into the Management of Police Informants</w:t>
            </w:r>
          </w:p>
        </w:tc>
        <w:tc>
          <w:tcPr>
            <w:tcW w:w="850"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3CDED123" w14:textId="77777777">
            <w:pPr>
              <w:spacing w:after="0"/>
              <w:jc w:val="right"/>
              <w:rPr>
                <w:rFonts w:cs="Arial"/>
                <w:sz w:val="16"/>
                <w:szCs w:val="16"/>
              </w:rPr>
            </w:pPr>
            <w:r w:rsidRPr="00157D7F">
              <w:rPr>
                <w:rFonts w:cs="Arial"/>
                <w:sz w:val="16"/>
                <w:szCs w:val="16"/>
              </w:rPr>
              <w:t xml:space="preserve">7,500 </w:t>
            </w:r>
          </w:p>
        </w:tc>
        <w:tc>
          <w:tcPr>
            <w:tcW w:w="993" w:type="dxa"/>
            <w:tcBorders>
              <w:top w:val="nil"/>
              <w:left w:val="nil"/>
              <w:bottom w:val="single" w:color="000000" w:sz="6" w:space="0"/>
              <w:right w:val="nil"/>
            </w:tcBorders>
            <w:tcMar>
              <w:top w:w="57" w:type="dxa"/>
              <w:left w:w="0" w:type="dxa"/>
              <w:bottom w:w="57" w:type="dxa"/>
              <w:right w:w="0" w:type="dxa"/>
            </w:tcMar>
          </w:tcPr>
          <w:p w:rsidRPr="00157D7F" w:rsidR="00157D7F" w:rsidP="00157D7F" w:rsidRDefault="00157D7F" w14:paraId="4B0A0567" w14:textId="77777777">
            <w:pPr>
              <w:spacing w:after="0"/>
              <w:jc w:val="right"/>
              <w:rPr>
                <w:rFonts w:cs="Arial"/>
                <w:sz w:val="16"/>
                <w:szCs w:val="16"/>
              </w:rPr>
            </w:pPr>
            <w:r w:rsidRPr="00157D7F">
              <w:rPr>
                <w:rFonts w:cs="Arial"/>
                <w:sz w:val="16"/>
                <w:szCs w:val="16"/>
              </w:rPr>
              <w:t xml:space="preserve">0 </w:t>
            </w:r>
          </w:p>
        </w:tc>
      </w:tr>
      <w:tr w:rsidRPr="00157D7F" w:rsidR="00157D7F" w:rsidTr="00CC210C" w14:paraId="085A1A49" w14:textId="77777777">
        <w:tc>
          <w:tcPr>
            <w:tcW w:w="283" w:type="dxa"/>
            <w:tcBorders>
              <w:top w:val="nil"/>
              <w:left w:val="nil"/>
              <w:bottom w:val="nil"/>
              <w:right w:val="nil"/>
            </w:tcBorders>
            <w:tcMar>
              <w:top w:w="57" w:type="dxa"/>
              <w:left w:w="0" w:type="dxa"/>
              <w:bottom w:w="57" w:type="dxa"/>
              <w:right w:w="0" w:type="dxa"/>
            </w:tcMar>
          </w:tcPr>
          <w:p w:rsidRPr="00157D7F" w:rsidR="00157D7F" w:rsidP="00157D7F" w:rsidRDefault="00157D7F" w14:paraId="3531EB96" w14:textId="77777777">
            <w:pPr>
              <w:spacing w:after="0"/>
              <w:rPr>
                <w:rFonts w:cs="Arial"/>
                <w:b/>
                <w:sz w:val="16"/>
                <w:szCs w:val="16"/>
                <w:lang w:val="en-US"/>
              </w:rPr>
            </w:pPr>
          </w:p>
        </w:tc>
        <w:tc>
          <w:tcPr>
            <w:tcW w:w="4112" w:type="dxa"/>
            <w:tcBorders>
              <w:top w:val="single" w:color="000000" w:sz="6" w:space="0"/>
              <w:left w:val="nil"/>
              <w:bottom w:val="single" w:color="000000" w:sz="12" w:space="0"/>
              <w:right w:val="nil"/>
            </w:tcBorders>
            <w:tcMar>
              <w:top w:w="57" w:type="dxa"/>
              <w:left w:w="0" w:type="dxa"/>
              <w:bottom w:w="57" w:type="dxa"/>
              <w:right w:w="227" w:type="dxa"/>
            </w:tcMar>
          </w:tcPr>
          <w:p w:rsidRPr="00157D7F" w:rsidR="00157D7F" w:rsidP="00157D7F" w:rsidRDefault="00157D7F" w14:paraId="5727A6F8" w14:textId="77777777">
            <w:pPr>
              <w:spacing w:after="0"/>
              <w:rPr>
                <w:rFonts w:cs="Arial"/>
                <w:b/>
                <w:sz w:val="16"/>
                <w:szCs w:val="16"/>
              </w:rPr>
            </w:pPr>
            <w:r w:rsidRPr="00157D7F">
              <w:rPr>
                <w:rFonts w:cs="Arial"/>
                <w:b/>
                <w:sz w:val="16"/>
                <w:szCs w:val="16"/>
              </w:rPr>
              <w:t>Total</w:t>
            </w:r>
          </w:p>
        </w:tc>
        <w:tc>
          <w:tcPr>
            <w:tcW w:w="3827" w:type="dxa"/>
            <w:tcBorders>
              <w:top w:val="single" w:color="000000" w:sz="6" w:space="0"/>
              <w:left w:val="nil"/>
              <w:bottom w:val="single" w:color="000000" w:sz="12" w:space="0"/>
              <w:right w:val="nil"/>
            </w:tcBorders>
            <w:tcMar>
              <w:top w:w="57" w:type="dxa"/>
              <w:left w:w="0" w:type="dxa"/>
              <w:bottom w:w="57" w:type="dxa"/>
              <w:right w:w="113" w:type="dxa"/>
            </w:tcMar>
          </w:tcPr>
          <w:p w:rsidRPr="00157D7F" w:rsidR="00157D7F" w:rsidP="00157D7F" w:rsidRDefault="00157D7F" w14:paraId="273D4AE4" w14:textId="77777777">
            <w:pPr>
              <w:spacing w:after="0"/>
              <w:rPr>
                <w:rFonts w:cs="Arial"/>
                <w:b/>
                <w:sz w:val="16"/>
                <w:szCs w:val="16"/>
                <w:lang w:val="en-US"/>
              </w:rPr>
            </w:pPr>
          </w:p>
        </w:tc>
        <w:tc>
          <w:tcPr>
            <w:tcW w:w="850" w:type="dxa"/>
            <w:tcBorders>
              <w:top w:val="single" w:color="000000" w:sz="6" w:space="0"/>
              <w:left w:val="nil"/>
              <w:bottom w:val="single" w:color="000000" w:sz="12" w:space="0"/>
              <w:right w:val="nil"/>
            </w:tcBorders>
            <w:tcMar>
              <w:top w:w="57" w:type="dxa"/>
              <w:left w:w="0" w:type="dxa"/>
              <w:bottom w:w="57" w:type="dxa"/>
              <w:right w:w="0" w:type="dxa"/>
            </w:tcMar>
          </w:tcPr>
          <w:p w:rsidRPr="00157D7F" w:rsidR="00157D7F" w:rsidP="00157D7F" w:rsidRDefault="00157D7F" w14:paraId="756EDBA6" w14:textId="77777777">
            <w:pPr>
              <w:spacing w:after="0"/>
              <w:jc w:val="right"/>
              <w:rPr>
                <w:rFonts w:cs="Arial"/>
                <w:b/>
                <w:sz w:val="16"/>
                <w:szCs w:val="16"/>
              </w:rPr>
            </w:pPr>
            <w:r w:rsidRPr="00157D7F">
              <w:rPr>
                <w:rFonts w:cs="Arial"/>
                <w:b/>
                <w:sz w:val="16"/>
                <w:szCs w:val="16"/>
              </w:rPr>
              <w:t xml:space="preserve">30,385 </w:t>
            </w:r>
          </w:p>
        </w:tc>
        <w:tc>
          <w:tcPr>
            <w:tcW w:w="993" w:type="dxa"/>
            <w:tcBorders>
              <w:top w:val="single" w:color="000000" w:sz="6" w:space="0"/>
              <w:left w:val="nil"/>
              <w:bottom w:val="single" w:color="000000" w:sz="12" w:space="0"/>
              <w:right w:val="nil"/>
            </w:tcBorders>
            <w:tcMar>
              <w:top w:w="57" w:type="dxa"/>
              <w:left w:w="0" w:type="dxa"/>
              <w:bottom w:w="57" w:type="dxa"/>
              <w:right w:w="0" w:type="dxa"/>
            </w:tcMar>
          </w:tcPr>
          <w:p w:rsidRPr="00157D7F" w:rsidR="00157D7F" w:rsidP="00157D7F" w:rsidRDefault="00157D7F" w14:paraId="38ED72CE" w14:textId="77777777">
            <w:pPr>
              <w:spacing w:after="0"/>
              <w:jc w:val="right"/>
              <w:rPr>
                <w:rFonts w:cs="Arial"/>
                <w:b/>
                <w:sz w:val="16"/>
                <w:szCs w:val="16"/>
              </w:rPr>
            </w:pPr>
            <w:r w:rsidRPr="00157D7F">
              <w:rPr>
                <w:rFonts w:cs="Arial"/>
                <w:b/>
                <w:sz w:val="16"/>
                <w:szCs w:val="16"/>
              </w:rPr>
              <w:t xml:space="preserve">5,032 </w:t>
            </w:r>
          </w:p>
        </w:tc>
      </w:tr>
    </w:tbl>
    <w:p w:rsidR="00157D7F" w:rsidRDefault="00157D7F" w14:paraId="2D720A4A" w14:textId="2FD528A4">
      <w:pPr>
        <w:spacing w:after="0"/>
      </w:pPr>
    </w:p>
    <w:p w:rsidRPr="00157D7F" w:rsidR="00157D7F" w:rsidP="00157D7F" w:rsidRDefault="00157D7F" w14:paraId="28E33E32" w14:textId="1CD8400A">
      <w:pPr>
        <w:pStyle w:val="Heading3"/>
      </w:pPr>
      <w:r w:rsidRPr="00157D7F">
        <w:t>2.4 Interest income</w:t>
      </w:r>
    </w:p>
    <w:tbl>
      <w:tblPr>
        <w:tblW w:w="0" w:type="auto"/>
        <w:tblLayout w:type="fixed"/>
        <w:tblCellMar>
          <w:left w:w="0" w:type="dxa"/>
          <w:right w:w="0" w:type="dxa"/>
        </w:tblCellMar>
        <w:tblLook w:firstRow="1" w:lastRow="0" w:firstColumn="0" w:lastColumn="0" w:noHBand="0" w:noVBand="0" w:val="0020"/>
      </w:tblPr>
      <w:tblGrid>
        <w:gridCol w:w="380"/>
        <w:gridCol w:w="6721"/>
        <w:gridCol w:w="1417"/>
        <w:gridCol w:w="1417"/>
      </w:tblGrid>
      <w:tr w:rsidRPr="006F485B" w:rsidR="00157D7F" w:rsidTr="00CC210C" w14:paraId="7DF386BC" w14:textId="77777777">
        <w:trPr>
          <w:tblHeader/>
        </w:trPr>
        <w:tc>
          <w:tcPr>
            <w:tcW w:w="380"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30D5D9F5" w14:textId="77777777">
            <w:pPr>
              <w:spacing w:after="0"/>
              <w:rPr>
                <w:b/>
                <w:sz w:val="16"/>
                <w:szCs w:val="16"/>
                <w:lang w:val="en-US"/>
              </w:rPr>
            </w:pPr>
          </w:p>
        </w:tc>
        <w:tc>
          <w:tcPr>
            <w:tcW w:w="6721"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17176506" w14:textId="77777777">
            <w:pPr>
              <w:spacing w:after="0"/>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778B428F" w14:textId="77777777">
            <w:pPr>
              <w:spacing w:after="0"/>
              <w:jc w:val="right"/>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34856EAC" w14:textId="77777777">
            <w:pPr>
              <w:spacing w:after="0"/>
              <w:jc w:val="right"/>
              <w:rPr>
                <w:b/>
                <w:sz w:val="16"/>
                <w:szCs w:val="16"/>
              </w:rPr>
            </w:pPr>
            <w:r w:rsidRPr="006F485B">
              <w:rPr>
                <w:b/>
                <w:sz w:val="16"/>
                <w:szCs w:val="16"/>
              </w:rPr>
              <w:t>($ thousand)</w:t>
            </w:r>
          </w:p>
        </w:tc>
      </w:tr>
      <w:tr w:rsidRPr="006F485B" w:rsidR="00157D7F" w:rsidTr="00CC210C" w14:paraId="50A1D002" w14:textId="77777777">
        <w:trPr>
          <w:tblHeader/>
        </w:trPr>
        <w:tc>
          <w:tcPr>
            <w:tcW w:w="38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0284DABA" w14:textId="77777777">
            <w:pPr>
              <w:spacing w:after="0"/>
              <w:rPr>
                <w:b/>
                <w:sz w:val="16"/>
                <w:szCs w:val="16"/>
                <w:lang w:val="en-US"/>
              </w:rPr>
            </w:pPr>
          </w:p>
        </w:tc>
        <w:tc>
          <w:tcPr>
            <w:tcW w:w="672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3DC7D1EF" w14:textId="77777777">
            <w:pPr>
              <w:spacing w:after="0"/>
              <w:rPr>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35CD98CA" w14:textId="77777777">
            <w:pPr>
              <w:spacing w:after="0"/>
              <w:jc w:val="right"/>
              <w:rPr>
                <w:b/>
                <w:sz w:val="16"/>
                <w:szCs w:val="16"/>
              </w:rPr>
            </w:pPr>
            <w:r w:rsidRPr="006F485B">
              <w:rPr>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2B6B5B7F" w14:textId="77777777">
            <w:pPr>
              <w:spacing w:after="0"/>
              <w:jc w:val="right"/>
              <w:rPr>
                <w:b/>
                <w:sz w:val="16"/>
                <w:szCs w:val="16"/>
              </w:rPr>
            </w:pPr>
            <w:r w:rsidRPr="006F485B">
              <w:rPr>
                <w:b/>
                <w:sz w:val="16"/>
                <w:szCs w:val="16"/>
              </w:rPr>
              <w:t>2018</w:t>
            </w:r>
          </w:p>
        </w:tc>
      </w:tr>
      <w:tr w:rsidRPr="00157D7F" w:rsidR="00157D7F" w:rsidTr="00CC210C" w14:paraId="444C7671" w14:textId="77777777">
        <w:tc>
          <w:tcPr>
            <w:tcW w:w="7101" w:type="dxa"/>
            <w:gridSpan w:val="2"/>
            <w:tcBorders>
              <w:top w:val="single" w:color="000000" w:sz="6" w:space="0"/>
              <w:left w:val="nil"/>
              <w:bottom w:val="nil"/>
              <w:right w:val="nil"/>
            </w:tcBorders>
            <w:tcMar>
              <w:top w:w="57" w:type="dxa"/>
              <w:left w:w="0" w:type="dxa"/>
              <w:bottom w:w="57" w:type="dxa"/>
              <w:right w:w="0" w:type="dxa"/>
            </w:tcMar>
            <w:vAlign w:val="bottom"/>
          </w:tcPr>
          <w:p w:rsidRPr="00157D7F" w:rsidR="00157D7F" w:rsidP="00157D7F" w:rsidRDefault="00157D7F" w14:paraId="6AB5B165" w14:textId="77777777">
            <w:pPr>
              <w:spacing w:after="0"/>
              <w:rPr>
                <w:sz w:val="16"/>
                <w:szCs w:val="16"/>
              </w:rPr>
            </w:pPr>
            <w:r w:rsidRPr="00157D7F">
              <w:rPr>
                <w:sz w:val="16"/>
                <w:szCs w:val="16"/>
              </w:rPr>
              <w:t>Interest from financial assets not at fair value through profit/loss:</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57635345" w14:textId="77777777">
            <w:pPr>
              <w:spacing w:after="0"/>
              <w:jc w:val="right"/>
              <w:rPr>
                <w:sz w:val="16"/>
                <w:szCs w:val="16"/>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187E6745" w14:textId="77777777">
            <w:pPr>
              <w:spacing w:after="0"/>
              <w:jc w:val="right"/>
              <w:rPr>
                <w:sz w:val="16"/>
                <w:szCs w:val="16"/>
                <w:lang w:val="en-US"/>
              </w:rPr>
            </w:pPr>
          </w:p>
        </w:tc>
      </w:tr>
      <w:tr w:rsidRPr="00157D7F" w:rsidR="00157D7F" w:rsidTr="00CC210C" w14:paraId="52BBFDA4" w14:textId="77777777">
        <w:tc>
          <w:tcPr>
            <w:tcW w:w="380"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4468A59E" w14:textId="48512821">
            <w:pPr>
              <w:spacing w:after="0"/>
              <w:rPr>
                <w:sz w:val="16"/>
                <w:szCs w:val="16"/>
              </w:rPr>
            </w:pPr>
          </w:p>
        </w:tc>
        <w:tc>
          <w:tcPr>
            <w:tcW w:w="6721" w:type="dxa"/>
            <w:tcBorders>
              <w:top w:val="nil"/>
              <w:left w:val="nil"/>
              <w:bottom w:val="nil"/>
              <w:right w:val="nil"/>
            </w:tcBorders>
            <w:tcMar>
              <w:top w:w="57" w:type="dxa"/>
              <w:left w:w="0" w:type="dxa"/>
              <w:bottom w:w="57" w:type="dxa"/>
              <w:right w:w="0" w:type="dxa"/>
            </w:tcMar>
            <w:vAlign w:val="bottom"/>
          </w:tcPr>
          <w:p w:rsidRPr="006F485B" w:rsidR="00157D7F" w:rsidP="006F485B" w:rsidRDefault="00157D7F" w14:paraId="7DA66CB2" w14:textId="77777777">
            <w:pPr>
              <w:pStyle w:val="Bullet1"/>
              <w:spacing w:after="0"/>
              <w:rPr>
                <w:sz w:val="16"/>
                <w:szCs w:val="16"/>
              </w:rPr>
            </w:pPr>
            <w:r w:rsidRPr="006F485B">
              <w:rPr>
                <w:sz w:val="16"/>
                <w:szCs w:val="16"/>
              </w:rPr>
              <w:t>Interest from deposits and investments</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74A4E1BF" w14:textId="77777777">
            <w:pPr>
              <w:spacing w:after="0"/>
              <w:jc w:val="right"/>
              <w:rPr>
                <w:sz w:val="16"/>
                <w:szCs w:val="16"/>
              </w:rPr>
            </w:pPr>
            <w:r w:rsidRPr="00157D7F">
              <w:rPr>
                <w:sz w:val="16"/>
                <w:szCs w:val="16"/>
              </w:rPr>
              <w:t xml:space="preserve">1,273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74754A9A" w14:textId="77777777">
            <w:pPr>
              <w:spacing w:after="0"/>
              <w:jc w:val="right"/>
              <w:rPr>
                <w:sz w:val="16"/>
                <w:szCs w:val="16"/>
              </w:rPr>
            </w:pPr>
            <w:r w:rsidRPr="00157D7F">
              <w:rPr>
                <w:sz w:val="16"/>
                <w:szCs w:val="16"/>
              </w:rPr>
              <w:t xml:space="preserve">1,814 </w:t>
            </w:r>
          </w:p>
        </w:tc>
      </w:tr>
      <w:tr w:rsidRPr="00157D7F" w:rsidR="00157D7F" w:rsidTr="00CC210C" w14:paraId="4089B833" w14:textId="77777777">
        <w:tc>
          <w:tcPr>
            <w:tcW w:w="380"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157D7F" w:rsidRDefault="00157D7F" w14:paraId="10FE549F" w14:textId="6C7D5207">
            <w:pPr>
              <w:spacing w:after="0"/>
              <w:rPr>
                <w:sz w:val="16"/>
                <w:szCs w:val="16"/>
              </w:rPr>
            </w:pPr>
          </w:p>
        </w:tc>
        <w:tc>
          <w:tcPr>
            <w:tcW w:w="6721"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08011BA7" w14:textId="77777777">
            <w:pPr>
              <w:pStyle w:val="Bullet1"/>
              <w:spacing w:after="0"/>
              <w:rPr>
                <w:sz w:val="16"/>
                <w:szCs w:val="16"/>
              </w:rPr>
            </w:pPr>
            <w:r w:rsidRPr="006F485B">
              <w:rPr>
                <w:sz w:val="16"/>
                <w:szCs w:val="16"/>
              </w:rPr>
              <w:t>Interest from real estate agent and conveyancer trust accounts</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2D8E7883" w14:textId="77777777">
            <w:pPr>
              <w:spacing w:after="0"/>
              <w:jc w:val="right"/>
              <w:rPr>
                <w:sz w:val="16"/>
                <w:szCs w:val="16"/>
              </w:rPr>
            </w:pPr>
            <w:r w:rsidRPr="00157D7F">
              <w:rPr>
                <w:sz w:val="16"/>
                <w:szCs w:val="16"/>
              </w:rPr>
              <w:t xml:space="preserve">22,309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4DB1FED3" w14:textId="77777777">
            <w:pPr>
              <w:spacing w:after="0"/>
              <w:jc w:val="right"/>
              <w:rPr>
                <w:sz w:val="16"/>
                <w:szCs w:val="16"/>
              </w:rPr>
            </w:pPr>
            <w:r w:rsidRPr="00157D7F">
              <w:rPr>
                <w:sz w:val="16"/>
                <w:szCs w:val="16"/>
              </w:rPr>
              <w:t xml:space="preserve">25,794 </w:t>
            </w:r>
          </w:p>
        </w:tc>
      </w:tr>
      <w:tr w:rsidRPr="006F485B" w:rsidR="00157D7F" w:rsidTr="00CC210C" w14:paraId="6E69BA70" w14:textId="77777777">
        <w:tc>
          <w:tcPr>
            <w:tcW w:w="7101"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7E6C444E" w14:textId="77777777">
            <w:pPr>
              <w:spacing w:after="0"/>
              <w:rPr>
                <w:b/>
                <w:sz w:val="16"/>
                <w:szCs w:val="16"/>
              </w:rPr>
            </w:pPr>
            <w:r w:rsidRPr="006F485B">
              <w:rPr>
                <w:b/>
                <w:sz w:val="16"/>
                <w:szCs w:val="16"/>
              </w:rPr>
              <w:t>Total interest income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1A8564FE" w14:textId="77777777">
            <w:pPr>
              <w:spacing w:after="0"/>
              <w:jc w:val="right"/>
              <w:rPr>
                <w:b/>
                <w:sz w:val="16"/>
                <w:szCs w:val="16"/>
              </w:rPr>
            </w:pPr>
            <w:r w:rsidRPr="006F485B">
              <w:rPr>
                <w:b/>
                <w:sz w:val="16"/>
                <w:szCs w:val="16"/>
              </w:rPr>
              <w:t xml:space="preserve">23,582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0A80131B" w14:textId="77777777">
            <w:pPr>
              <w:spacing w:after="0"/>
              <w:jc w:val="right"/>
              <w:rPr>
                <w:b/>
                <w:sz w:val="16"/>
                <w:szCs w:val="16"/>
              </w:rPr>
            </w:pPr>
            <w:r w:rsidRPr="006F485B">
              <w:rPr>
                <w:b/>
                <w:sz w:val="16"/>
                <w:szCs w:val="16"/>
              </w:rPr>
              <w:t xml:space="preserve">27,608 </w:t>
            </w:r>
          </w:p>
        </w:tc>
      </w:tr>
    </w:tbl>
    <w:p w:rsidRPr="00157D7F" w:rsidR="00157D7F" w:rsidP="00157D7F" w:rsidRDefault="00157D7F" w14:paraId="640045DA" w14:textId="77777777">
      <w:r w:rsidRPr="006F485B">
        <w:rPr>
          <w:b/>
        </w:rPr>
        <w:t>Interest income</w:t>
      </w:r>
      <w:r w:rsidRPr="00157D7F">
        <w:t xml:space="preserve"> includes interest received on bank term deposits and other investments. Interest income is recognised using the effective interest method, which allocates interest over the relevant period.</w:t>
      </w:r>
    </w:p>
    <w:p w:rsidR="00820A42" w:rsidRDefault="00820A42" w14:paraId="5F6872EE" w14:textId="77777777">
      <w:pPr>
        <w:spacing w:after="0"/>
        <w:rPr>
          <w:rFonts w:eastAsiaTheme="majorEastAsia" w:cstheme="majorBidi"/>
          <w:b/>
          <w:color w:val="55575A"/>
          <w:sz w:val="21"/>
        </w:rPr>
      </w:pPr>
      <w:r>
        <w:br w:type="page"/>
      </w:r>
    </w:p>
    <w:p w:rsidRPr="00157D7F" w:rsidR="00157D7F" w:rsidP="00157D7F" w:rsidRDefault="00157D7F" w14:paraId="71652771" w14:textId="744A3F39">
      <w:pPr>
        <w:pStyle w:val="Heading3"/>
      </w:pPr>
      <w:r w:rsidRPr="00157D7F">
        <w:lastRenderedPageBreak/>
        <w:t>2.5 Grant income</w:t>
      </w:r>
    </w:p>
    <w:tbl>
      <w:tblPr>
        <w:tblW w:w="0" w:type="auto"/>
        <w:tblLayout w:type="fixed"/>
        <w:tblCellMar>
          <w:left w:w="0" w:type="dxa"/>
          <w:right w:w="0" w:type="dxa"/>
        </w:tblCellMar>
        <w:tblLook w:firstRow="1" w:lastRow="0" w:firstColumn="0" w:lastColumn="0" w:noHBand="0" w:noVBand="0" w:val="0020"/>
      </w:tblPr>
      <w:tblGrid>
        <w:gridCol w:w="380"/>
        <w:gridCol w:w="6721"/>
        <w:gridCol w:w="1417"/>
        <w:gridCol w:w="1417"/>
      </w:tblGrid>
      <w:tr w:rsidRPr="006F485B" w:rsidR="00157D7F" w:rsidTr="00CC210C" w14:paraId="72458EC6" w14:textId="77777777">
        <w:trPr>
          <w:tblHeader/>
        </w:trPr>
        <w:tc>
          <w:tcPr>
            <w:tcW w:w="380"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50A720B2" w14:textId="77777777">
            <w:pPr>
              <w:spacing w:after="0"/>
              <w:rPr>
                <w:b/>
                <w:sz w:val="16"/>
                <w:szCs w:val="16"/>
                <w:lang w:val="en-US"/>
              </w:rPr>
            </w:pPr>
          </w:p>
        </w:tc>
        <w:tc>
          <w:tcPr>
            <w:tcW w:w="6721"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369E363D" w14:textId="77777777">
            <w:pPr>
              <w:spacing w:after="0"/>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6E939960" w14:textId="77777777">
            <w:pPr>
              <w:spacing w:after="0"/>
              <w:jc w:val="right"/>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2F6FE233" w14:textId="77777777">
            <w:pPr>
              <w:spacing w:after="0"/>
              <w:jc w:val="right"/>
              <w:rPr>
                <w:b/>
                <w:sz w:val="16"/>
                <w:szCs w:val="16"/>
              </w:rPr>
            </w:pPr>
            <w:r w:rsidRPr="006F485B">
              <w:rPr>
                <w:b/>
                <w:sz w:val="16"/>
                <w:szCs w:val="16"/>
              </w:rPr>
              <w:t>($ thousand)</w:t>
            </w:r>
          </w:p>
        </w:tc>
      </w:tr>
      <w:tr w:rsidRPr="006F485B" w:rsidR="00157D7F" w:rsidTr="00CC210C" w14:paraId="7350A24C" w14:textId="77777777">
        <w:trPr>
          <w:tblHeader/>
        </w:trPr>
        <w:tc>
          <w:tcPr>
            <w:tcW w:w="38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7183305F" w14:textId="77777777">
            <w:pPr>
              <w:spacing w:after="0"/>
              <w:rPr>
                <w:b/>
                <w:sz w:val="16"/>
                <w:szCs w:val="16"/>
                <w:lang w:val="en-US"/>
              </w:rPr>
            </w:pPr>
          </w:p>
        </w:tc>
        <w:tc>
          <w:tcPr>
            <w:tcW w:w="672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50E3A2D3" w14:textId="77777777">
            <w:pPr>
              <w:spacing w:after="0"/>
              <w:rPr>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47EA4B4C" w14:textId="77777777">
            <w:pPr>
              <w:spacing w:after="0"/>
              <w:jc w:val="right"/>
              <w:rPr>
                <w:b/>
                <w:sz w:val="16"/>
                <w:szCs w:val="16"/>
              </w:rPr>
            </w:pPr>
            <w:r w:rsidRPr="006F485B">
              <w:rPr>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025789DD" w14:textId="77777777">
            <w:pPr>
              <w:spacing w:after="0"/>
              <w:jc w:val="right"/>
              <w:rPr>
                <w:b/>
                <w:sz w:val="16"/>
                <w:szCs w:val="16"/>
              </w:rPr>
            </w:pPr>
            <w:r w:rsidRPr="006F485B">
              <w:rPr>
                <w:b/>
                <w:sz w:val="16"/>
                <w:szCs w:val="16"/>
              </w:rPr>
              <w:t>2018</w:t>
            </w:r>
          </w:p>
        </w:tc>
      </w:tr>
      <w:tr w:rsidRPr="00157D7F" w:rsidR="00157D7F" w:rsidTr="00CC210C" w14:paraId="5D23ADEB" w14:textId="77777777">
        <w:tc>
          <w:tcPr>
            <w:tcW w:w="7101" w:type="dxa"/>
            <w:gridSpan w:val="2"/>
            <w:tcBorders>
              <w:top w:val="single" w:color="000000" w:sz="6" w:space="0"/>
              <w:left w:val="nil"/>
              <w:bottom w:val="nil"/>
              <w:right w:val="nil"/>
            </w:tcBorders>
            <w:tcMar>
              <w:top w:w="57" w:type="dxa"/>
              <w:left w:w="0" w:type="dxa"/>
              <w:bottom w:w="57" w:type="dxa"/>
              <w:right w:w="0" w:type="dxa"/>
            </w:tcMar>
            <w:vAlign w:val="bottom"/>
          </w:tcPr>
          <w:p w:rsidRPr="00157D7F" w:rsidR="00157D7F" w:rsidP="00157D7F" w:rsidRDefault="00157D7F" w14:paraId="776F3498" w14:textId="77777777">
            <w:pPr>
              <w:spacing w:after="0"/>
              <w:rPr>
                <w:sz w:val="16"/>
                <w:szCs w:val="16"/>
              </w:rPr>
            </w:pPr>
            <w:r w:rsidRPr="00157D7F">
              <w:rPr>
                <w:sz w:val="16"/>
                <w:szCs w:val="16"/>
              </w:rPr>
              <w:t>Received from:</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0041AD39" w14:textId="77777777">
            <w:pPr>
              <w:spacing w:after="0"/>
              <w:jc w:val="right"/>
              <w:rPr>
                <w:sz w:val="16"/>
                <w:szCs w:val="16"/>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729F1CE0" w14:textId="77777777">
            <w:pPr>
              <w:spacing w:after="0"/>
              <w:jc w:val="right"/>
              <w:rPr>
                <w:sz w:val="16"/>
                <w:szCs w:val="16"/>
                <w:lang w:val="en-US"/>
              </w:rPr>
            </w:pPr>
          </w:p>
        </w:tc>
      </w:tr>
      <w:tr w:rsidRPr="00157D7F" w:rsidR="00157D7F" w:rsidTr="00CC210C" w14:paraId="22680E6C" w14:textId="77777777">
        <w:tc>
          <w:tcPr>
            <w:tcW w:w="380"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3CD3F1DA" w14:textId="1EC0C0CB">
            <w:pPr>
              <w:spacing w:after="0"/>
              <w:rPr>
                <w:sz w:val="16"/>
                <w:szCs w:val="16"/>
              </w:rPr>
            </w:pPr>
          </w:p>
        </w:tc>
        <w:tc>
          <w:tcPr>
            <w:tcW w:w="6721" w:type="dxa"/>
            <w:tcBorders>
              <w:top w:val="nil"/>
              <w:left w:val="nil"/>
              <w:bottom w:val="nil"/>
              <w:right w:val="nil"/>
            </w:tcBorders>
            <w:tcMar>
              <w:top w:w="57" w:type="dxa"/>
              <w:left w:w="0" w:type="dxa"/>
              <w:bottom w:w="57" w:type="dxa"/>
              <w:right w:w="0" w:type="dxa"/>
            </w:tcMar>
            <w:vAlign w:val="bottom"/>
          </w:tcPr>
          <w:p w:rsidRPr="006F485B" w:rsidR="00157D7F" w:rsidP="006F485B" w:rsidRDefault="00157D7F" w14:paraId="29F21E19" w14:textId="77777777">
            <w:pPr>
              <w:pStyle w:val="Bullet1"/>
              <w:spacing w:after="0"/>
              <w:rPr>
                <w:sz w:val="16"/>
                <w:szCs w:val="16"/>
              </w:rPr>
            </w:pPr>
            <w:r w:rsidRPr="006F485B">
              <w:rPr>
                <w:sz w:val="16"/>
                <w:szCs w:val="16"/>
              </w:rPr>
              <w:t>General government within portfolio</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4879801F" w14:textId="77777777">
            <w:pPr>
              <w:spacing w:after="0"/>
              <w:jc w:val="right"/>
              <w:rPr>
                <w:sz w:val="16"/>
                <w:szCs w:val="16"/>
              </w:rPr>
            </w:pPr>
            <w:r w:rsidRPr="00157D7F">
              <w:rPr>
                <w:sz w:val="16"/>
                <w:szCs w:val="16"/>
              </w:rPr>
              <w:t xml:space="preserve">4,969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7834F355" w14:textId="77777777">
            <w:pPr>
              <w:spacing w:after="0"/>
              <w:jc w:val="right"/>
              <w:rPr>
                <w:sz w:val="16"/>
                <w:szCs w:val="16"/>
              </w:rPr>
            </w:pPr>
            <w:r w:rsidRPr="00157D7F">
              <w:rPr>
                <w:sz w:val="16"/>
                <w:szCs w:val="16"/>
              </w:rPr>
              <w:t xml:space="preserve">7 </w:t>
            </w:r>
          </w:p>
        </w:tc>
      </w:tr>
      <w:tr w:rsidRPr="00157D7F" w:rsidR="00157D7F" w:rsidTr="00CC210C" w14:paraId="43AE10E7" w14:textId="77777777">
        <w:tc>
          <w:tcPr>
            <w:tcW w:w="380"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0CFE1988" w14:textId="63B0F519">
            <w:pPr>
              <w:spacing w:after="0"/>
              <w:rPr>
                <w:sz w:val="16"/>
                <w:szCs w:val="16"/>
              </w:rPr>
            </w:pPr>
          </w:p>
        </w:tc>
        <w:tc>
          <w:tcPr>
            <w:tcW w:w="6721" w:type="dxa"/>
            <w:tcBorders>
              <w:top w:val="nil"/>
              <w:left w:val="nil"/>
              <w:bottom w:val="nil"/>
              <w:right w:val="nil"/>
            </w:tcBorders>
            <w:tcMar>
              <w:top w:w="57" w:type="dxa"/>
              <w:left w:w="0" w:type="dxa"/>
              <w:bottom w:w="57" w:type="dxa"/>
              <w:right w:w="0" w:type="dxa"/>
            </w:tcMar>
            <w:vAlign w:val="bottom"/>
          </w:tcPr>
          <w:p w:rsidRPr="006F485B" w:rsidR="00157D7F" w:rsidP="006F485B" w:rsidRDefault="00157D7F" w14:paraId="0B263726" w14:textId="77777777">
            <w:pPr>
              <w:pStyle w:val="Bullet1"/>
              <w:spacing w:after="0"/>
              <w:rPr>
                <w:sz w:val="16"/>
                <w:szCs w:val="16"/>
              </w:rPr>
            </w:pPr>
            <w:r w:rsidRPr="006F485B">
              <w:rPr>
                <w:sz w:val="16"/>
                <w:szCs w:val="16"/>
              </w:rPr>
              <w:t>General government outside portfolio</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541E5DE2" w14:textId="77777777">
            <w:pPr>
              <w:spacing w:after="0"/>
              <w:jc w:val="right"/>
              <w:rPr>
                <w:sz w:val="16"/>
                <w:szCs w:val="16"/>
              </w:rPr>
            </w:pPr>
            <w:r w:rsidRPr="00157D7F">
              <w:rPr>
                <w:sz w:val="16"/>
                <w:szCs w:val="16"/>
              </w:rPr>
              <w:t xml:space="preserve">26,731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2C047FF8" w14:textId="77777777">
            <w:pPr>
              <w:spacing w:after="0"/>
              <w:jc w:val="right"/>
              <w:rPr>
                <w:sz w:val="16"/>
                <w:szCs w:val="16"/>
              </w:rPr>
            </w:pPr>
            <w:r w:rsidRPr="00157D7F">
              <w:rPr>
                <w:sz w:val="16"/>
                <w:szCs w:val="16"/>
              </w:rPr>
              <w:t xml:space="preserve">21,301 </w:t>
            </w:r>
          </w:p>
        </w:tc>
      </w:tr>
      <w:tr w:rsidRPr="00157D7F" w:rsidR="00157D7F" w:rsidTr="00CC210C" w14:paraId="6A2EADC5" w14:textId="77777777">
        <w:tc>
          <w:tcPr>
            <w:tcW w:w="380"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157D7F" w:rsidRDefault="00157D7F" w14:paraId="07CB5686" w14:textId="16B7B99E">
            <w:pPr>
              <w:spacing w:after="0"/>
              <w:rPr>
                <w:sz w:val="16"/>
                <w:szCs w:val="16"/>
              </w:rPr>
            </w:pPr>
          </w:p>
        </w:tc>
        <w:tc>
          <w:tcPr>
            <w:tcW w:w="6721"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1EC2F5AC" w14:textId="77777777">
            <w:pPr>
              <w:pStyle w:val="Bullet1"/>
              <w:spacing w:after="0"/>
              <w:rPr>
                <w:sz w:val="16"/>
                <w:szCs w:val="16"/>
              </w:rPr>
            </w:pPr>
            <w:r w:rsidRPr="006F485B">
              <w:rPr>
                <w:sz w:val="16"/>
                <w:szCs w:val="16"/>
              </w:rPr>
              <w:t>Other</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38579AA8" w14:textId="77777777">
            <w:pPr>
              <w:spacing w:after="0"/>
              <w:jc w:val="right"/>
              <w:rPr>
                <w:sz w:val="16"/>
                <w:szCs w:val="16"/>
              </w:rPr>
            </w:pPr>
            <w:r w:rsidRPr="00157D7F">
              <w:rPr>
                <w:sz w:val="16"/>
                <w:szCs w:val="16"/>
              </w:rPr>
              <w:t xml:space="preserve">250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13D4EA56" w14:textId="77777777">
            <w:pPr>
              <w:spacing w:after="0"/>
              <w:jc w:val="right"/>
              <w:rPr>
                <w:sz w:val="16"/>
                <w:szCs w:val="16"/>
              </w:rPr>
            </w:pPr>
            <w:r w:rsidRPr="00157D7F">
              <w:rPr>
                <w:sz w:val="16"/>
                <w:szCs w:val="16"/>
              </w:rPr>
              <w:t xml:space="preserve">0 </w:t>
            </w:r>
          </w:p>
        </w:tc>
      </w:tr>
      <w:tr w:rsidRPr="006F485B" w:rsidR="00157D7F" w:rsidTr="00CC210C" w14:paraId="095D6B9C" w14:textId="77777777">
        <w:tc>
          <w:tcPr>
            <w:tcW w:w="7101"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1BCD582D" w14:textId="77777777">
            <w:pPr>
              <w:spacing w:after="0"/>
              <w:rPr>
                <w:b/>
                <w:sz w:val="16"/>
                <w:szCs w:val="16"/>
              </w:rPr>
            </w:pPr>
            <w:r w:rsidRPr="006F485B">
              <w:rPr>
                <w:b/>
                <w:sz w:val="16"/>
                <w:szCs w:val="16"/>
              </w:rPr>
              <w:t>Total grant income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2FBC889F" w14:textId="77777777">
            <w:pPr>
              <w:spacing w:after="0"/>
              <w:jc w:val="right"/>
              <w:rPr>
                <w:b/>
                <w:sz w:val="16"/>
                <w:szCs w:val="16"/>
              </w:rPr>
            </w:pPr>
            <w:r w:rsidRPr="006F485B">
              <w:rPr>
                <w:b/>
                <w:sz w:val="16"/>
                <w:szCs w:val="16"/>
              </w:rPr>
              <w:t xml:space="preserve">31,950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6ED2002B" w14:textId="77777777">
            <w:pPr>
              <w:spacing w:after="0"/>
              <w:jc w:val="right"/>
              <w:rPr>
                <w:b/>
                <w:sz w:val="16"/>
                <w:szCs w:val="16"/>
              </w:rPr>
            </w:pPr>
            <w:r w:rsidRPr="006F485B">
              <w:rPr>
                <w:b/>
                <w:sz w:val="16"/>
                <w:szCs w:val="16"/>
              </w:rPr>
              <w:t xml:space="preserve">21,308 </w:t>
            </w:r>
          </w:p>
        </w:tc>
      </w:tr>
    </w:tbl>
    <w:p w:rsidRPr="00157D7F" w:rsidR="00157D7F" w:rsidP="00157D7F" w:rsidRDefault="00157D7F" w14:paraId="77D45D9D" w14:textId="77777777">
      <w:r w:rsidRPr="006F485B">
        <w:rPr>
          <w:b/>
        </w:rPr>
        <w:t>Grant income</w:t>
      </w:r>
      <w:r w:rsidRPr="00157D7F">
        <w:t xml:space="preserve"> arises from transactions in which a party provides goods or assets (or extinguishes a liability) to the department without receiving approximately equal value in return.  While grants may result in the provision of some goods or services to the transferring party, they do not provide a claim to receive benefits directly of approximately equal value (and are termed ‘non-reciprocal’ transfers).  Receipt and sacrifice of approximately equal value may occur, but only by coincidence.  For non-reciprocal grants, the department recognises revenue when the grant is receivable or received.</w:t>
      </w:r>
    </w:p>
    <w:p w:rsidRPr="00157D7F" w:rsidR="00157D7F" w:rsidP="00157D7F" w:rsidRDefault="00157D7F" w14:paraId="29184BE5" w14:textId="77777777">
      <w:r w:rsidRPr="00157D7F">
        <w:t>Grants can be received as general purpose grants, which refers to grants which are not subject to conditions regarding their use.  Alternatively, they may be received as specific purpose grants, which are paid for a particular purpose and/or have conditions attached regarding their use.</w:t>
      </w:r>
    </w:p>
    <w:p w:rsidR="00157D7F" w:rsidP="00157D7F" w:rsidRDefault="00157D7F" w14:paraId="24244D69" w14:textId="450DECCD">
      <w:r w:rsidRPr="00157D7F">
        <w:t>Some grants are reciprocal in nature (i.e. equal value is given back by the recipient of the grant to the provider).  The department recognises income when it has satisfied its performance obligations under the terms of the grant.</w:t>
      </w:r>
    </w:p>
    <w:p w:rsidRPr="00157D7F" w:rsidR="00820A42" w:rsidP="00157D7F" w:rsidRDefault="00820A42" w14:paraId="4242543B" w14:textId="77777777"/>
    <w:p w:rsidRPr="00157D7F" w:rsidR="00157D7F" w:rsidP="00157D7F" w:rsidRDefault="00157D7F" w14:paraId="4F99B2EC" w14:textId="2F1D89E3">
      <w:pPr>
        <w:pStyle w:val="Heading3"/>
      </w:pPr>
      <w:r w:rsidRPr="00157D7F">
        <w:t>2.6 Other income</w:t>
      </w:r>
    </w:p>
    <w:tbl>
      <w:tblPr>
        <w:tblW w:w="0" w:type="auto"/>
        <w:tblLayout w:type="fixed"/>
        <w:tblCellMar>
          <w:left w:w="0" w:type="dxa"/>
          <w:right w:w="0" w:type="dxa"/>
        </w:tblCellMar>
        <w:tblLook w:firstRow="1" w:lastRow="0" w:firstColumn="0" w:lastColumn="0" w:noHBand="0" w:noVBand="0" w:val="0020"/>
      </w:tblPr>
      <w:tblGrid>
        <w:gridCol w:w="7101"/>
        <w:gridCol w:w="1417"/>
        <w:gridCol w:w="1417"/>
      </w:tblGrid>
      <w:tr w:rsidRPr="006F485B" w:rsidR="00157D7F" w:rsidTr="00CC210C" w14:paraId="16B92807" w14:textId="77777777">
        <w:trPr>
          <w:tblHeader/>
        </w:trPr>
        <w:tc>
          <w:tcPr>
            <w:tcW w:w="7101"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5671E04C" w14:textId="77777777">
            <w:pPr>
              <w:spacing w:after="0"/>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69B6B845" w14:textId="77777777">
            <w:pPr>
              <w:spacing w:after="0"/>
              <w:jc w:val="right"/>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21C82827" w14:textId="77777777">
            <w:pPr>
              <w:spacing w:after="0"/>
              <w:jc w:val="right"/>
              <w:rPr>
                <w:b/>
                <w:sz w:val="16"/>
                <w:szCs w:val="16"/>
              </w:rPr>
            </w:pPr>
            <w:r w:rsidRPr="006F485B">
              <w:rPr>
                <w:b/>
                <w:sz w:val="16"/>
                <w:szCs w:val="16"/>
              </w:rPr>
              <w:t>($ thousand)</w:t>
            </w:r>
          </w:p>
        </w:tc>
      </w:tr>
      <w:tr w:rsidRPr="006F485B" w:rsidR="00157D7F" w:rsidTr="00CC210C" w14:paraId="6E598FC5" w14:textId="77777777">
        <w:trPr>
          <w:tblHeader/>
        </w:trPr>
        <w:tc>
          <w:tcPr>
            <w:tcW w:w="710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58414F6F" w14:textId="77777777">
            <w:pPr>
              <w:spacing w:after="0"/>
              <w:rPr>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5C914CAF" w14:textId="77777777">
            <w:pPr>
              <w:spacing w:after="0"/>
              <w:jc w:val="right"/>
              <w:rPr>
                <w:b/>
                <w:sz w:val="16"/>
                <w:szCs w:val="16"/>
              </w:rPr>
            </w:pPr>
            <w:r w:rsidRPr="006F485B">
              <w:rPr>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4D37BCFA" w14:textId="77777777">
            <w:pPr>
              <w:spacing w:after="0"/>
              <w:jc w:val="right"/>
              <w:rPr>
                <w:b/>
                <w:sz w:val="16"/>
                <w:szCs w:val="16"/>
              </w:rPr>
            </w:pPr>
            <w:r w:rsidRPr="006F485B">
              <w:rPr>
                <w:b/>
                <w:sz w:val="16"/>
                <w:szCs w:val="16"/>
              </w:rPr>
              <w:t>2018</w:t>
            </w:r>
          </w:p>
        </w:tc>
      </w:tr>
      <w:tr w:rsidRPr="00157D7F" w:rsidR="00157D7F" w:rsidTr="00CC210C" w14:paraId="6FA433DA" w14:textId="77777777">
        <w:tc>
          <w:tcPr>
            <w:tcW w:w="7101"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157D7F" w:rsidRDefault="00157D7F" w14:paraId="7CED674F" w14:textId="77777777">
            <w:pPr>
              <w:spacing w:after="0"/>
              <w:rPr>
                <w:sz w:val="16"/>
                <w:szCs w:val="16"/>
              </w:rPr>
            </w:pPr>
            <w:r w:rsidRPr="00157D7F">
              <w:rPr>
                <w:sz w:val="16"/>
                <w:szCs w:val="16"/>
              </w:rPr>
              <w:t>Fines and fees</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3AA12D86" w14:textId="77777777">
            <w:pPr>
              <w:spacing w:after="0"/>
              <w:jc w:val="right"/>
              <w:rPr>
                <w:sz w:val="16"/>
                <w:szCs w:val="16"/>
              </w:rPr>
            </w:pPr>
            <w:r w:rsidRPr="00157D7F">
              <w:rPr>
                <w:sz w:val="16"/>
                <w:szCs w:val="16"/>
              </w:rPr>
              <w:t xml:space="preserve">15,221 </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157D7F" w:rsidR="00157D7F" w:rsidP="006F485B" w:rsidRDefault="00157D7F" w14:paraId="545C2FD7" w14:textId="77777777">
            <w:pPr>
              <w:spacing w:after="0"/>
              <w:jc w:val="right"/>
              <w:rPr>
                <w:sz w:val="16"/>
                <w:szCs w:val="16"/>
              </w:rPr>
            </w:pPr>
            <w:r w:rsidRPr="00157D7F">
              <w:rPr>
                <w:sz w:val="16"/>
                <w:szCs w:val="16"/>
              </w:rPr>
              <w:t xml:space="preserve">17,235 </w:t>
            </w:r>
          </w:p>
        </w:tc>
      </w:tr>
      <w:tr w:rsidRPr="00157D7F" w:rsidR="00157D7F" w:rsidTr="00CC210C" w14:paraId="2CC1AA97" w14:textId="77777777">
        <w:tc>
          <w:tcPr>
            <w:tcW w:w="7101"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09662FDB" w14:textId="77777777">
            <w:pPr>
              <w:spacing w:after="0"/>
              <w:rPr>
                <w:sz w:val="16"/>
                <w:szCs w:val="16"/>
              </w:rPr>
            </w:pPr>
            <w:r w:rsidRPr="00157D7F">
              <w:rPr>
                <w:sz w:val="16"/>
                <w:szCs w:val="16"/>
              </w:rPr>
              <w:t>Dividends from investments</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30468933" w14:textId="77777777">
            <w:pPr>
              <w:spacing w:after="0"/>
              <w:jc w:val="right"/>
              <w:rPr>
                <w:sz w:val="16"/>
                <w:szCs w:val="16"/>
              </w:rPr>
            </w:pPr>
            <w:r w:rsidRPr="00157D7F">
              <w:rPr>
                <w:sz w:val="16"/>
                <w:szCs w:val="16"/>
              </w:rPr>
              <w:t xml:space="preserve">14,061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1D0A3C8D" w14:textId="77777777">
            <w:pPr>
              <w:spacing w:after="0"/>
              <w:jc w:val="right"/>
              <w:rPr>
                <w:sz w:val="16"/>
                <w:szCs w:val="16"/>
              </w:rPr>
            </w:pPr>
            <w:r w:rsidRPr="00157D7F">
              <w:rPr>
                <w:sz w:val="16"/>
                <w:szCs w:val="16"/>
              </w:rPr>
              <w:t xml:space="preserve">7,416 </w:t>
            </w:r>
          </w:p>
        </w:tc>
      </w:tr>
      <w:tr w:rsidRPr="00157D7F" w:rsidR="00157D7F" w:rsidTr="00CC210C" w14:paraId="34DF928B" w14:textId="77777777">
        <w:tc>
          <w:tcPr>
            <w:tcW w:w="7101"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1CBA33A1" w14:textId="77777777">
            <w:pPr>
              <w:spacing w:after="0"/>
              <w:rPr>
                <w:sz w:val="16"/>
                <w:szCs w:val="16"/>
              </w:rPr>
            </w:pPr>
            <w:r w:rsidRPr="00157D7F">
              <w:rPr>
                <w:sz w:val="16"/>
                <w:szCs w:val="16"/>
              </w:rPr>
              <w:t>Income from Residential Tenancies Bond Authority (RTBA)</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2E5B79FC" w14:textId="77777777">
            <w:pPr>
              <w:spacing w:after="0"/>
              <w:jc w:val="right"/>
              <w:rPr>
                <w:sz w:val="16"/>
                <w:szCs w:val="16"/>
              </w:rPr>
            </w:pPr>
            <w:r w:rsidRPr="00157D7F">
              <w:rPr>
                <w:sz w:val="16"/>
                <w:szCs w:val="16"/>
              </w:rPr>
              <w:t xml:space="preserve">15,400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066391DE" w14:textId="77777777">
            <w:pPr>
              <w:spacing w:after="0"/>
              <w:jc w:val="right"/>
              <w:rPr>
                <w:sz w:val="16"/>
                <w:szCs w:val="16"/>
              </w:rPr>
            </w:pPr>
            <w:r w:rsidRPr="00157D7F">
              <w:rPr>
                <w:sz w:val="16"/>
                <w:szCs w:val="16"/>
              </w:rPr>
              <w:t xml:space="preserve">18,700 </w:t>
            </w:r>
          </w:p>
        </w:tc>
      </w:tr>
      <w:tr w:rsidRPr="00157D7F" w:rsidR="00157D7F" w:rsidTr="00CC210C" w14:paraId="0E896840" w14:textId="77777777">
        <w:tc>
          <w:tcPr>
            <w:tcW w:w="7101" w:type="dxa"/>
            <w:tcBorders>
              <w:top w:val="nil"/>
              <w:left w:val="nil"/>
              <w:bottom w:val="nil"/>
              <w:right w:val="nil"/>
            </w:tcBorders>
            <w:tcMar>
              <w:top w:w="57" w:type="dxa"/>
              <w:left w:w="0" w:type="dxa"/>
              <w:bottom w:w="57" w:type="dxa"/>
              <w:right w:w="0" w:type="dxa"/>
            </w:tcMar>
            <w:vAlign w:val="bottom"/>
          </w:tcPr>
          <w:p w:rsidRPr="00157D7F" w:rsidR="00157D7F" w:rsidP="00157D7F" w:rsidRDefault="00157D7F" w14:paraId="0005AE60" w14:textId="77777777">
            <w:pPr>
              <w:spacing w:after="0"/>
              <w:rPr>
                <w:sz w:val="16"/>
                <w:szCs w:val="16"/>
              </w:rPr>
            </w:pPr>
            <w:r w:rsidRPr="00157D7F">
              <w:rPr>
                <w:sz w:val="16"/>
                <w:szCs w:val="16"/>
              </w:rPr>
              <w:t>Income from Victorian Building Authority (VBA)</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74FF3E1D" w14:textId="77777777">
            <w:pPr>
              <w:spacing w:after="0"/>
              <w:jc w:val="right"/>
              <w:rPr>
                <w:sz w:val="16"/>
                <w:szCs w:val="16"/>
              </w:rPr>
            </w:pPr>
            <w:r w:rsidRPr="00157D7F">
              <w:rPr>
                <w:sz w:val="16"/>
                <w:szCs w:val="16"/>
              </w:rPr>
              <w:t xml:space="preserve">17,058 </w:t>
            </w:r>
          </w:p>
        </w:tc>
        <w:tc>
          <w:tcPr>
            <w:tcW w:w="1417" w:type="dxa"/>
            <w:tcBorders>
              <w:top w:val="nil"/>
              <w:left w:val="nil"/>
              <w:bottom w:val="nil"/>
              <w:right w:val="nil"/>
            </w:tcBorders>
            <w:tcMar>
              <w:top w:w="57" w:type="dxa"/>
              <w:left w:w="0" w:type="dxa"/>
              <w:bottom w:w="57" w:type="dxa"/>
              <w:right w:w="0" w:type="dxa"/>
            </w:tcMar>
            <w:vAlign w:val="bottom"/>
          </w:tcPr>
          <w:p w:rsidRPr="00157D7F" w:rsidR="00157D7F" w:rsidP="006F485B" w:rsidRDefault="00157D7F" w14:paraId="7EFEC2F0" w14:textId="77777777">
            <w:pPr>
              <w:spacing w:after="0"/>
              <w:jc w:val="right"/>
              <w:rPr>
                <w:sz w:val="16"/>
                <w:szCs w:val="16"/>
              </w:rPr>
            </w:pPr>
            <w:r w:rsidRPr="00157D7F">
              <w:rPr>
                <w:sz w:val="16"/>
                <w:szCs w:val="16"/>
              </w:rPr>
              <w:t xml:space="preserve">13,950 </w:t>
            </w:r>
          </w:p>
        </w:tc>
      </w:tr>
      <w:tr w:rsidRPr="00157D7F" w:rsidR="00157D7F" w:rsidTr="00CC210C" w14:paraId="644ECA86" w14:textId="77777777">
        <w:tc>
          <w:tcPr>
            <w:tcW w:w="7101"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157D7F" w:rsidRDefault="00157D7F" w14:paraId="48712ADA" w14:textId="77777777">
            <w:pPr>
              <w:spacing w:after="0"/>
              <w:rPr>
                <w:sz w:val="16"/>
                <w:szCs w:val="16"/>
              </w:rPr>
            </w:pPr>
            <w:r w:rsidRPr="00157D7F">
              <w:rPr>
                <w:sz w:val="16"/>
                <w:szCs w:val="16"/>
              </w:rPr>
              <w:t>Other</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3885D19A" w14:textId="77777777">
            <w:pPr>
              <w:spacing w:after="0"/>
              <w:jc w:val="right"/>
              <w:rPr>
                <w:sz w:val="16"/>
                <w:szCs w:val="16"/>
              </w:rPr>
            </w:pPr>
            <w:r w:rsidRPr="00157D7F">
              <w:rPr>
                <w:sz w:val="16"/>
                <w:szCs w:val="16"/>
              </w:rPr>
              <w:t xml:space="preserve">27,476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157D7F" w:rsidR="00157D7F" w:rsidP="006F485B" w:rsidRDefault="00157D7F" w14:paraId="00C6C3B6" w14:textId="77777777">
            <w:pPr>
              <w:spacing w:after="0"/>
              <w:jc w:val="right"/>
              <w:rPr>
                <w:sz w:val="16"/>
                <w:szCs w:val="16"/>
              </w:rPr>
            </w:pPr>
            <w:r w:rsidRPr="00157D7F">
              <w:rPr>
                <w:sz w:val="16"/>
                <w:szCs w:val="16"/>
              </w:rPr>
              <w:t xml:space="preserve">13,286 </w:t>
            </w:r>
          </w:p>
        </w:tc>
      </w:tr>
      <w:tr w:rsidRPr="006F485B" w:rsidR="00157D7F" w:rsidTr="00CC210C" w14:paraId="28CAE72D" w14:textId="77777777">
        <w:tc>
          <w:tcPr>
            <w:tcW w:w="710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157D7F" w:rsidRDefault="00157D7F" w14:paraId="3DBC535E" w14:textId="77777777">
            <w:pPr>
              <w:spacing w:after="0"/>
              <w:rPr>
                <w:b/>
                <w:sz w:val="16"/>
                <w:szCs w:val="16"/>
              </w:rPr>
            </w:pPr>
            <w:r w:rsidRPr="006F485B">
              <w:rPr>
                <w:b/>
                <w:sz w:val="16"/>
                <w:szCs w:val="16"/>
              </w:rPr>
              <w:t>Total other income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7CD71689" w14:textId="77777777">
            <w:pPr>
              <w:spacing w:after="0"/>
              <w:jc w:val="right"/>
              <w:rPr>
                <w:b/>
                <w:sz w:val="16"/>
                <w:szCs w:val="16"/>
              </w:rPr>
            </w:pPr>
            <w:r w:rsidRPr="006F485B">
              <w:rPr>
                <w:b/>
                <w:sz w:val="16"/>
                <w:szCs w:val="16"/>
              </w:rPr>
              <w:t xml:space="preserve">89,216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F485B" w:rsidR="00157D7F" w:rsidP="006F485B" w:rsidRDefault="00157D7F" w14:paraId="62887A5B" w14:textId="77777777">
            <w:pPr>
              <w:spacing w:after="0"/>
              <w:jc w:val="right"/>
              <w:rPr>
                <w:b/>
                <w:sz w:val="16"/>
                <w:szCs w:val="16"/>
              </w:rPr>
            </w:pPr>
            <w:r w:rsidRPr="006F485B">
              <w:rPr>
                <w:b/>
                <w:sz w:val="16"/>
                <w:szCs w:val="16"/>
              </w:rPr>
              <w:t xml:space="preserve">70,587 </w:t>
            </w:r>
          </w:p>
        </w:tc>
      </w:tr>
    </w:tbl>
    <w:p w:rsidRPr="00157D7F" w:rsidR="00157D7F" w:rsidP="00157D7F" w:rsidRDefault="00157D7F" w14:paraId="0488D20A" w14:textId="77777777">
      <w:r w:rsidRPr="006F485B">
        <w:rPr>
          <w:b/>
        </w:rPr>
        <w:t>Fines and fees</w:t>
      </w:r>
      <w:r w:rsidRPr="00157D7F">
        <w:t xml:space="preserve"> are recognised upon the receipt of cash paid into various trust funds in accordance with their associated legislation.</w:t>
      </w:r>
    </w:p>
    <w:p w:rsidRPr="00157D7F" w:rsidR="00157D7F" w:rsidP="00157D7F" w:rsidRDefault="00157D7F" w14:paraId="0FEE77CB" w14:textId="77777777">
      <w:r w:rsidRPr="006F485B">
        <w:rPr>
          <w:b/>
        </w:rPr>
        <w:t>Dividends from investments</w:t>
      </w:r>
      <w:r w:rsidRPr="00157D7F">
        <w:t xml:space="preserve"> are recognised when the right to receive payment is established.  Dividends represent the income arising from the department’s investments in financial assets.</w:t>
      </w:r>
    </w:p>
    <w:p w:rsidRPr="00157D7F" w:rsidR="00157D7F" w:rsidP="00157D7F" w:rsidRDefault="00157D7F" w14:paraId="4A765607" w14:textId="77777777">
      <w:r w:rsidRPr="006F485B">
        <w:rPr>
          <w:b/>
        </w:rPr>
        <w:t>Income from RTBA</w:t>
      </w:r>
      <w:r w:rsidRPr="00157D7F">
        <w:t xml:space="preserve"> is recognised upon the receipt of cash paid into the Residential Tenancies Fund by the RTBA in accordance with section 437 of the </w:t>
      </w:r>
      <w:r w:rsidRPr="00157D7F">
        <w:rPr>
          <w:i/>
          <w:iCs/>
        </w:rPr>
        <w:t>Residential Tenancies Act 1997</w:t>
      </w:r>
      <w:r w:rsidRPr="00157D7F">
        <w:t>.</w:t>
      </w:r>
    </w:p>
    <w:p w:rsidRPr="00157D7F" w:rsidR="00157D7F" w:rsidP="00157D7F" w:rsidRDefault="00157D7F" w14:paraId="38CF159F" w14:textId="77777777">
      <w:r w:rsidRPr="006F485B">
        <w:rPr>
          <w:b/>
        </w:rPr>
        <w:t>Income from VBA</w:t>
      </w:r>
      <w:r w:rsidRPr="00157D7F">
        <w:t xml:space="preserve"> relates to the Domestic Building Fund’s share of the building permit levy, and registration and application fees collected by the VBA under the </w:t>
      </w:r>
      <w:r w:rsidRPr="00157D7F">
        <w:rPr>
          <w:i/>
          <w:iCs/>
        </w:rPr>
        <w:t>Building Act 1993</w:t>
      </w:r>
      <w:r w:rsidRPr="00157D7F">
        <w:t>.</w:t>
      </w:r>
    </w:p>
    <w:p w:rsidRPr="001F0679" w:rsidR="001F0679" w:rsidP="001F0679" w:rsidRDefault="001F0679" w14:paraId="0776CCEA" w14:textId="77777777"/>
    <w:p w:rsidR="00047807" w:rsidRDefault="00047807" w14:paraId="0591E742" w14:textId="6ED90E42">
      <w:pPr>
        <w:spacing w:after="0"/>
        <w:rPr>
          <w:lang w:val="en-AU"/>
        </w:rPr>
      </w:pPr>
      <w:r>
        <w:rPr>
          <w:lang w:val="en-AU"/>
        </w:rPr>
        <w:br w:type="page"/>
      </w:r>
    </w:p>
    <w:p w:rsidRPr="00912894" w:rsidR="00047807" w:rsidP="00912894" w:rsidRDefault="00047807" w14:paraId="07669496" w14:textId="77777777">
      <w:pPr>
        <w:pStyle w:val="Heading3"/>
      </w:pPr>
      <w:r w:rsidRPr="00912894">
        <w:lastRenderedPageBreak/>
        <w:t>2.7 Annotated income agreements</w:t>
      </w:r>
    </w:p>
    <w:p w:rsidRPr="00047807" w:rsidR="00047807" w:rsidP="00047807" w:rsidRDefault="00047807" w14:paraId="055EEA54" w14:textId="77777777">
      <w:r w:rsidRPr="00047807">
        <w:t xml:space="preserve">The department is permitted under section 29 of the </w:t>
      </w:r>
      <w:r w:rsidRPr="00047807">
        <w:rPr>
          <w:i/>
          <w:iCs/>
        </w:rPr>
        <w:t>Financial Management Act 1994</w:t>
      </w:r>
      <w:r w:rsidRPr="00047807">
        <w:t xml:space="preserve"> to have certain income annotated to the annual appropriation.  The income which forms part of a section 29 agreement is recognised by the department and the receipts paid into the consolidated fund as an administered item.  At the point of income recognition, section 29 provides for an equivalent amount to be added to the annual appropriation.</w:t>
      </w:r>
    </w:p>
    <w:p w:rsidRPr="00047807" w:rsidR="00047807" w:rsidP="00047807" w:rsidRDefault="00047807" w14:paraId="15FE6FBF" w14:textId="0AD496BA">
      <w:r w:rsidRPr="00047807">
        <w:t xml:space="preserve">The following is a list of annotated income agreements approved by the Treasurer under section 29 of the </w:t>
      </w:r>
      <w:r w:rsidRPr="00047807">
        <w:rPr>
          <w:i/>
          <w:iCs/>
        </w:rPr>
        <w:t>Financial Management Act 1994.</w:t>
      </w:r>
    </w:p>
    <w:tbl>
      <w:tblPr>
        <w:tblW w:w="0" w:type="auto"/>
        <w:tblLayout w:type="fixed"/>
        <w:tblCellMar>
          <w:left w:w="0" w:type="dxa"/>
          <w:right w:w="0" w:type="dxa"/>
        </w:tblCellMar>
        <w:tblLook w:firstRow="1" w:lastRow="0" w:firstColumn="0" w:lastColumn="0" w:noHBand="0" w:noVBand="0" w:val="0020"/>
      </w:tblPr>
      <w:tblGrid>
        <w:gridCol w:w="283"/>
        <w:gridCol w:w="6690"/>
        <w:gridCol w:w="1474"/>
        <w:gridCol w:w="1474"/>
      </w:tblGrid>
      <w:tr w:rsidRPr="00047807" w:rsidR="00047807" w:rsidTr="00CC210C" w14:paraId="6326A897" w14:textId="77777777">
        <w:trPr>
          <w:tblHeader/>
        </w:trPr>
        <w:tc>
          <w:tcPr>
            <w:tcW w:w="283"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5D11C0C3" w14:textId="77777777">
            <w:pPr>
              <w:spacing w:after="0"/>
              <w:rPr>
                <w:rFonts w:cs="Arial"/>
                <w:b/>
                <w:sz w:val="16"/>
                <w:szCs w:val="16"/>
                <w:lang w:val="en-US"/>
              </w:rPr>
            </w:pPr>
          </w:p>
        </w:tc>
        <w:tc>
          <w:tcPr>
            <w:tcW w:w="6690"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0D1CD288" w14:textId="77777777">
            <w:pPr>
              <w:spacing w:after="0"/>
              <w:rPr>
                <w:rFonts w:cs="Arial"/>
                <w:b/>
                <w:sz w:val="16"/>
                <w:szCs w:val="16"/>
                <w:lang w:val="en-US"/>
              </w:rPr>
            </w:pPr>
          </w:p>
        </w:tc>
        <w:tc>
          <w:tcPr>
            <w:tcW w:w="1474"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25C56F25" w14:textId="77777777">
            <w:pPr>
              <w:spacing w:after="0"/>
              <w:jc w:val="right"/>
              <w:rPr>
                <w:rFonts w:cs="Arial"/>
                <w:b/>
                <w:sz w:val="16"/>
                <w:szCs w:val="16"/>
                <w:lang w:val="en-US"/>
              </w:rPr>
            </w:pPr>
          </w:p>
        </w:tc>
        <w:tc>
          <w:tcPr>
            <w:tcW w:w="1474"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224599B6" w14:textId="77777777">
            <w:pPr>
              <w:spacing w:after="0"/>
              <w:jc w:val="right"/>
              <w:rPr>
                <w:rFonts w:cs="Arial"/>
                <w:b/>
                <w:sz w:val="16"/>
                <w:szCs w:val="16"/>
              </w:rPr>
            </w:pPr>
            <w:r w:rsidRPr="00047807">
              <w:rPr>
                <w:rFonts w:cs="Arial"/>
                <w:b/>
                <w:sz w:val="16"/>
                <w:szCs w:val="16"/>
              </w:rPr>
              <w:t>($ thousand)</w:t>
            </w:r>
          </w:p>
        </w:tc>
      </w:tr>
      <w:tr w:rsidRPr="00047807" w:rsidR="00047807" w:rsidTr="00CC210C" w14:paraId="1EB52822"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5D1EA203" w14:textId="77777777">
            <w:pPr>
              <w:spacing w:after="0"/>
              <w:rPr>
                <w:rFonts w:cs="Arial"/>
                <w:b/>
                <w:sz w:val="16"/>
                <w:szCs w:val="16"/>
                <w:lang w:val="en-US"/>
              </w:rPr>
            </w:pPr>
          </w:p>
        </w:tc>
        <w:tc>
          <w:tcPr>
            <w:tcW w:w="669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7B3A4246" w14:textId="77777777">
            <w:pPr>
              <w:spacing w:after="0"/>
              <w:rPr>
                <w:rFonts w:cs="Arial"/>
                <w:b/>
                <w:sz w:val="16"/>
                <w:szCs w:val="16"/>
                <w:lang w:val="en-US"/>
              </w:rPr>
            </w:pPr>
          </w:p>
        </w:tc>
        <w:tc>
          <w:tcPr>
            <w:tcW w:w="147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050D7AEF" w14:textId="77777777">
            <w:pPr>
              <w:spacing w:after="0"/>
              <w:jc w:val="right"/>
              <w:rPr>
                <w:rFonts w:cs="Arial"/>
                <w:b/>
                <w:sz w:val="16"/>
                <w:szCs w:val="16"/>
              </w:rPr>
            </w:pPr>
            <w:r w:rsidRPr="00047807">
              <w:rPr>
                <w:rFonts w:cs="Arial"/>
                <w:b/>
                <w:sz w:val="16"/>
                <w:szCs w:val="16"/>
              </w:rPr>
              <w:t>2019</w:t>
            </w:r>
          </w:p>
        </w:tc>
        <w:tc>
          <w:tcPr>
            <w:tcW w:w="147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7131CDE8" w14:textId="77777777">
            <w:pPr>
              <w:spacing w:after="0"/>
              <w:jc w:val="right"/>
              <w:rPr>
                <w:rFonts w:cs="Arial"/>
                <w:b/>
                <w:sz w:val="16"/>
                <w:szCs w:val="16"/>
              </w:rPr>
            </w:pPr>
            <w:r w:rsidRPr="00047807">
              <w:rPr>
                <w:rFonts w:cs="Arial"/>
                <w:b/>
                <w:sz w:val="16"/>
                <w:szCs w:val="16"/>
              </w:rPr>
              <w:t>2018</w:t>
            </w:r>
          </w:p>
        </w:tc>
      </w:tr>
      <w:tr w:rsidRPr="00047807" w:rsidR="00047807" w:rsidTr="00CC210C" w14:paraId="5111412C" w14:textId="77777777">
        <w:tc>
          <w:tcPr>
            <w:tcW w:w="6973" w:type="dxa"/>
            <w:gridSpan w:val="2"/>
            <w:tcBorders>
              <w:top w:val="single" w:color="000000" w:sz="6" w:space="0"/>
              <w:left w:val="nil"/>
              <w:bottom w:val="nil"/>
              <w:right w:val="nil"/>
            </w:tcBorders>
            <w:tcMar>
              <w:top w:w="57" w:type="dxa"/>
              <w:left w:w="0" w:type="dxa"/>
              <w:bottom w:w="57" w:type="dxa"/>
              <w:right w:w="0" w:type="dxa"/>
            </w:tcMar>
            <w:vAlign w:val="bottom"/>
          </w:tcPr>
          <w:p w:rsidRPr="00047807" w:rsidR="00047807" w:rsidP="00047807" w:rsidRDefault="00047807" w14:paraId="26D154BA" w14:textId="77777777">
            <w:pPr>
              <w:spacing w:after="0"/>
              <w:rPr>
                <w:rFonts w:cs="Arial"/>
                <w:b/>
                <w:sz w:val="16"/>
                <w:szCs w:val="16"/>
              </w:rPr>
            </w:pPr>
            <w:r w:rsidRPr="00047807">
              <w:rPr>
                <w:rFonts w:cs="Arial"/>
                <w:b/>
                <w:sz w:val="16"/>
                <w:szCs w:val="16"/>
              </w:rPr>
              <w:t>User charges, or sales of goods and services</w:t>
            </w:r>
          </w:p>
        </w:tc>
        <w:tc>
          <w:tcPr>
            <w:tcW w:w="1474" w:type="dxa"/>
            <w:tcBorders>
              <w:top w:val="single" w:color="000000" w:sz="6" w:space="0"/>
              <w:left w:val="nil"/>
              <w:bottom w:val="nil"/>
              <w:right w:val="nil"/>
            </w:tcBorders>
            <w:tcMar>
              <w:top w:w="57" w:type="dxa"/>
              <w:left w:w="0" w:type="dxa"/>
              <w:bottom w:w="57" w:type="dxa"/>
              <w:right w:w="0" w:type="dxa"/>
            </w:tcMar>
            <w:vAlign w:val="bottom"/>
          </w:tcPr>
          <w:p w:rsidRPr="00047807" w:rsidR="00047807" w:rsidP="00047807" w:rsidRDefault="00047807" w14:paraId="47AC3C23" w14:textId="77777777">
            <w:pPr>
              <w:spacing w:after="0"/>
              <w:jc w:val="right"/>
              <w:rPr>
                <w:rFonts w:cs="Arial"/>
                <w:b/>
                <w:sz w:val="16"/>
                <w:szCs w:val="16"/>
                <w:lang w:val="en-US"/>
              </w:rPr>
            </w:pPr>
          </w:p>
        </w:tc>
        <w:tc>
          <w:tcPr>
            <w:tcW w:w="1474" w:type="dxa"/>
            <w:tcBorders>
              <w:top w:val="single" w:color="000000" w:sz="6" w:space="0"/>
              <w:left w:val="nil"/>
              <w:bottom w:val="nil"/>
              <w:right w:val="nil"/>
            </w:tcBorders>
            <w:tcMar>
              <w:top w:w="57" w:type="dxa"/>
              <w:left w:w="0" w:type="dxa"/>
              <w:bottom w:w="57" w:type="dxa"/>
              <w:right w:w="0" w:type="dxa"/>
            </w:tcMar>
            <w:vAlign w:val="bottom"/>
          </w:tcPr>
          <w:p w:rsidRPr="00047807" w:rsidR="00047807" w:rsidP="00047807" w:rsidRDefault="00047807" w14:paraId="358BD904" w14:textId="77777777">
            <w:pPr>
              <w:spacing w:after="0"/>
              <w:jc w:val="right"/>
              <w:rPr>
                <w:rFonts w:cs="Arial"/>
                <w:b/>
                <w:sz w:val="16"/>
                <w:szCs w:val="16"/>
                <w:lang w:val="en-US"/>
              </w:rPr>
            </w:pPr>
          </w:p>
        </w:tc>
      </w:tr>
      <w:tr w:rsidRPr="00047807" w:rsidR="00047807" w:rsidTr="00CC210C" w14:paraId="6B7A2253"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DFE2335"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9996326" w14:textId="77777777">
            <w:pPr>
              <w:spacing w:after="0"/>
              <w:rPr>
                <w:rFonts w:cs="Arial"/>
                <w:sz w:val="16"/>
                <w:szCs w:val="16"/>
              </w:rPr>
            </w:pPr>
            <w:r w:rsidRPr="00047807">
              <w:rPr>
                <w:rFonts w:cs="Arial"/>
                <w:sz w:val="16"/>
                <w:szCs w:val="16"/>
              </w:rPr>
              <w:t>Consumer Affairs Victoria publications and conferences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C7D79CD" w14:textId="77777777">
            <w:pPr>
              <w:spacing w:after="0"/>
              <w:jc w:val="right"/>
              <w:rPr>
                <w:rFonts w:cs="Arial"/>
                <w:sz w:val="16"/>
                <w:szCs w:val="16"/>
              </w:rPr>
            </w:pPr>
            <w:r w:rsidRPr="00047807">
              <w:rPr>
                <w:rFonts w:cs="Arial"/>
                <w:sz w:val="16"/>
                <w:szCs w:val="16"/>
              </w:rPr>
              <w:t xml:space="preserve">76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4B694E1" w14:textId="77777777">
            <w:pPr>
              <w:spacing w:after="0"/>
              <w:jc w:val="right"/>
              <w:rPr>
                <w:rFonts w:cs="Arial"/>
                <w:sz w:val="16"/>
                <w:szCs w:val="16"/>
              </w:rPr>
            </w:pPr>
            <w:r w:rsidRPr="00047807">
              <w:rPr>
                <w:rFonts w:cs="Arial"/>
                <w:sz w:val="16"/>
                <w:szCs w:val="16"/>
              </w:rPr>
              <w:t xml:space="preserve">70 </w:t>
            </w:r>
          </w:p>
        </w:tc>
      </w:tr>
      <w:tr w:rsidRPr="00047807" w:rsidR="00047807" w:rsidTr="00CC210C" w14:paraId="086BBB6D"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783B8E5"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3591504" w14:textId="77777777">
            <w:pPr>
              <w:spacing w:after="0"/>
              <w:rPr>
                <w:rFonts w:cs="Arial"/>
                <w:sz w:val="16"/>
                <w:szCs w:val="16"/>
              </w:rPr>
            </w:pPr>
            <w:r w:rsidRPr="00047807">
              <w:rPr>
                <w:rFonts w:cs="Arial"/>
                <w:sz w:val="16"/>
                <w:szCs w:val="16"/>
              </w:rPr>
              <w:t>Corrections Victoria prison industries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B87FC8B" w14:textId="77777777">
            <w:pPr>
              <w:spacing w:after="0"/>
              <w:jc w:val="right"/>
              <w:rPr>
                <w:rFonts w:cs="Arial"/>
                <w:sz w:val="16"/>
                <w:szCs w:val="16"/>
              </w:rPr>
            </w:pPr>
            <w:r w:rsidRPr="00047807">
              <w:rPr>
                <w:rFonts w:cs="Arial"/>
                <w:sz w:val="16"/>
                <w:szCs w:val="16"/>
              </w:rPr>
              <w:t xml:space="preserve">22,586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AF01BEB" w14:textId="77777777">
            <w:pPr>
              <w:spacing w:after="0"/>
              <w:jc w:val="right"/>
              <w:rPr>
                <w:rFonts w:cs="Arial"/>
                <w:sz w:val="16"/>
                <w:szCs w:val="16"/>
              </w:rPr>
            </w:pPr>
            <w:r w:rsidRPr="00047807">
              <w:rPr>
                <w:rFonts w:cs="Arial"/>
                <w:sz w:val="16"/>
                <w:szCs w:val="16"/>
              </w:rPr>
              <w:t xml:space="preserve">15,878 </w:t>
            </w:r>
          </w:p>
        </w:tc>
      </w:tr>
      <w:tr w:rsidRPr="00047807" w:rsidR="00047807" w:rsidTr="00CC210C" w14:paraId="2076BBCF"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801E8CA"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C4C5CF4" w14:textId="77777777">
            <w:pPr>
              <w:spacing w:after="0"/>
              <w:rPr>
                <w:rFonts w:cs="Arial"/>
                <w:sz w:val="16"/>
                <w:szCs w:val="16"/>
              </w:rPr>
            </w:pPr>
            <w:r w:rsidRPr="00047807">
              <w:rPr>
                <w:rFonts w:cs="Arial"/>
                <w:sz w:val="16"/>
                <w:szCs w:val="16"/>
              </w:rPr>
              <w:t>Crime Statistics Agency</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896F919" w14:textId="77777777">
            <w:pPr>
              <w:spacing w:after="0"/>
              <w:jc w:val="right"/>
              <w:rPr>
                <w:rFonts w:cs="Arial"/>
                <w:sz w:val="16"/>
                <w:szCs w:val="16"/>
              </w:rPr>
            </w:pPr>
            <w:r w:rsidRPr="00047807">
              <w:rPr>
                <w:rFonts w:cs="Arial"/>
                <w:sz w:val="16"/>
                <w:szCs w:val="16"/>
              </w:rPr>
              <w:t xml:space="preserve">47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2DF02AE" w14:textId="77777777">
            <w:pPr>
              <w:spacing w:after="0"/>
              <w:jc w:val="right"/>
              <w:rPr>
                <w:rFonts w:cs="Arial"/>
                <w:sz w:val="16"/>
                <w:szCs w:val="16"/>
              </w:rPr>
            </w:pPr>
            <w:r w:rsidRPr="00047807">
              <w:rPr>
                <w:rFonts w:cs="Arial"/>
                <w:sz w:val="16"/>
                <w:szCs w:val="16"/>
              </w:rPr>
              <w:t xml:space="preserve">254 </w:t>
            </w:r>
          </w:p>
        </w:tc>
      </w:tr>
      <w:tr w:rsidRPr="00047807" w:rsidR="00047807" w:rsidTr="00CC210C" w14:paraId="3C5E8D20"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60FAB93"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235E2CC" w14:textId="77777777">
            <w:pPr>
              <w:spacing w:after="0"/>
              <w:rPr>
                <w:rFonts w:cs="Arial"/>
                <w:sz w:val="16"/>
                <w:szCs w:val="16"/>
              </w:rPr>
            </w:pPr>
            <w:r w:rsidRPr="00047807">
              <w:rPr>
                <w:rFonts w:cs="Arial"/>
                <w:sz w:val="16"/>
                <w:szCs w:val="16"/>
              </w:rPr>
              <w:t>Emergency alerting system</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84A6F06" w14:textId="77777777">
            <w:pPr>
              <w:spacing w:after="0"/>
              <w:jc w:val="right"/>
              <w:rPr>
                <w:rFonts w:cs="Arial"/>
                <w:sz w:val="16"/>
                <w:szCs w:val="16"/>
              </w:rPr>
            </w:pPr>
            <w:r w:rsidRPr="00047807">
              <w:rPr>
                <w:rFonts w:cs="Arial"/>
                <w:sz w:val="16"/>
                <w:szCs w:val="16"/>
              </w:rPr>
              <w:t xml:space="preserve">22,436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A91F486" w14:textId="77777777">
            <w:pPr>
              <w:spacing w:after="0"/>
              <w:jc w:val="right"/>
              <w:rPr>
                <w:rFonts w:cs="Arial"/>
                <w:sz w:val="16"/>
                <w:szCs w:val="16"/>
              </w:rPr>
            </w:pPr>
            <w:r w:rsidRPr="00047807">
              <w:rPr>
                <w:rFonts w:cs="Arial"/>
                <w:sz w:val="16"/>
                <w:szCs w:val="16"/>
              </w:rPr>
              <w:t xml:space="preserve">13,176 </w:t>
            </w:r>
          </w:p>
        </w:tc>
      </w:tr>
      <w:tr w:rsidRPr="00047807" w:rsidR="00047807" w:rsidTr="00CC210C" w14:paraId="332674F2"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258D34E"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4AF002B" w14:textId="77777777">
            <w:pPr>
              <w:spacing w:after="0"/>
              <w:rPr>
                <w:rFonts w:cs="Arial"/>
                <w:sz w:val="16"/>
                <w:szCs w:val="16"/>
              </w:rPr>
            </w:pPr>
            <w:r w:rsidRPr="00047807">
              <w:rPr>
                <w:rFonts w:cs="Arial"/>
                <w:sz w:val="16"/>
                <w:szCs w:val="16"/>
              </w:rPr>
              <w:t>Emergency services management</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8A67198" w14:textId="77777777">
            <w:pPr>
              <w:spacing w:after="0"/>
              <w:jc w:val="right"/>
              <w:rPr>
                <w:rFonts w:cs="Arial"/>
                <w:sz w:val="16"/>
                <w:szCs w:val="16"/>
              </w:rPr>
            </w:pPr>
            <w:r w:rsidRPr="00047807">
              <w:rPr>
                <w:rFonts w:cs="Arial"/>
                <w:sz w:val="16"/>
                <w:szCs w:val="16"/>
              </w:rPr>
              <w:t xml:space="preserve">23,903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460DDB7" w14:textId="77777777">
            <w:pPr>
              <w:spacing w:after="0"/>
              <w:jc w:val="right"/>
              <w:rPr>
                <w:rFonts w:cs="Arial"/>
                <w:sz w:val="16"/>
                <w:szCs w:val="16"/>
              </w:rPr>
            </w:pPr>
            <w:r w:rsidRPr="00047807">
              <w:rPr>
                <w:rFonts w:cs="Arial"/>
                <w:sz w:val="16"/>
                <w:szCs w:val="16"/>
              </w:rPr>
              <w:t xml:space="preserve">23,491 </w:t>
            </w:r>
          </w:p>
        </w:tc>
      </w:tr>
      <w:tr w:rsidRPr="00047807" w:rsidR="00047807" w:rsidTr="00CC210C" w14:paraId="386EDCDA"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5613BFB"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E4704BE" w14:textId="77777777">
            <w:pPr>
              <w:spacing w:after="0"/>
              <w:rPr>
                <w:rFonts w:cs="Arial"/>
                <w:sz w:val="16"/>
                <w:szCs w:val="16"/>
              </w:rPr>
            </w:pPr>
            <w:r w:rsidRPr="00047807">
              <w:rPr>
                <w:rFonts w:cs="Arial"/>
                <w:sz w:val="16"/>
                <w:szCs w:val="16"/>
              </w:rPr>
              <w:t>Fees for legal services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58DD0D3" w14:textId="77777777">
            <w:pPr>
              <w:spacing w:after="0"/>
              <w:jc w:val="right"/>
              <w:rPr>
                <w:rFonts w:cs="Arial"/>
                <w:sz w:val="16"/>
                <w:szCs w:val="16"/>
              </w:rPr>
            </w:pPr>
            <w:r w:rsidRPr="00047807">
              <w:rPr>
                <w:rFonts w:cs="Arial"/>
                <w:sz w:val="16"/>
                <w:szCs w:val="16"/>
              </w:rPr>
              <w:t xml:space="preserve">45,998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C912CC3" w14:textId="77777777">
            <w:pPr>
              <w:spacing w:after="0"/>
              <w:jc w:val="right"/>
              <w:rPr>
                <w:rFonts w:cs="Arial"/>
                <w:sz w:val="16"/>
                <w:szCs w:val="16"/>
              </w:rPr>
            </w:pPr>
            <w:r w:rsidRPr="00047807">
              <w:rPr>
                <w:rFonts w:cs="Arial"/>
                <w:sz w:val="16"/>
                <w:szCs w:val="16"/>
              </w:rPr>
              <w:t xml:space="preserve">38,841 </w:t>
            </w:r>
          </w:p>
        </w:tc>
      </w:tr>
      <w:tr w:rsidRPr="00047807" w:rsidR="00047807" w:rsidTr="00CC210C" w14:paraId="4194874F"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01B70E3"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7C67834" w14:textId="77777777">
            <w:pPr>
              <w:spacing w:after="0"/>
              <w:rPr>
                <w:rFonts w:cs="Arial"/>
                <w:sz w:val="16"/>
                <w:szCs w:val="16"/>
              </w:rPr>
            </w:pPr>
            <w:r w:rsidRPr="00047807">
              <w:rPr>
                <w:rFonts w:cs="Arial"/>
                <w:sz w:val="16"/>
                <w:szCs w:val="16"/>
              </w:rPr>
              <w:t>Gaming and liquor regulation</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3FE1E28" w14:textId="77777777">
            <w:pPr>
              <w:spacing w:after="0"/>
              <w:jc w:val="right"/>
              <w:rPr>
                <w:rFonts w:cs="Arial"/>
                <w:sz w:val="16"/>
                <w:szCs w:val="16"/>
              </w:rPr>
            </w:pPr>
            <w:r w:rsidRPr="00047807">
              <w:rPr>
                <w:rFonts w:cs="Arial"/>
                <w:sz w:val="16"/>
                <w:szCs w:val="16"/>
              </w:rPr>
              <w:t xml:space="preserve">748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6D7D85F" w14:textId="77777777">
            <w:pPr>
              <w:spacing w:after="0"/>
              <w:jc w:val="right"/>
              <w:rPr>
                <w:rFonts w:cs="Arial"/>
                <w:sz w:val="16"/>
                <w:szCs w:val="16"/>
              </w:rPr>
            </w:pPr>
            <w:r w:rsidRPr="00047807">
              <w:rPr>
                <w:rFonts w:cs="Arial"/>
                <w:sz w:val="16"/>
                <w:szCs w:val="16"/>
              </w:rPr>
              <w:t xml:space="preserve">696 </w:t>
            </w:r>
          </w:p>
        </w:tc>
      </w:tr>
      <w:tr w:rsidRPr="00047807" w:rsidR="00047807" w:rsidTr="00CC210C" w14:paraId="20568EE2"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A17B085"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9DBE1D0" w14:textId="77777777">
            <w:pPr>
              <w:spacing w:after="0"/>
              <w:rPr>
                <w:rFonts w:cs="Arial"/>
                <w:sz w:val="16"/>
                <w:szCs w:val="16"/>
              </w:rPr>
            </w:pPr>
            <w:r w:rsidRPr="00047807">
              <w:rPr>
                <w:rFonts w:cs="Arial"/>
                <w:sz w:val="16"/>
                <w:szCs w:val="16"/>
              </w:rPr>
              <w:t>Infringement Court fees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372E060" w14:textId="77777777">
            <w:pPr>
              <w:spacing w:after="0"/>
              <w:jc w:val="right"/>
              <w:rPr>
                <w:rFonts w:cs="Arial"/>
                <w:sz w:val="16"/>
                <w:szCs w:val="16"/>
              </w:rPr>
            </w:pPr>
            <w:r w:rsidRPr="00047807">
              <w:rPr>
                <w:rFonts w:cs="Arial"/>
                <w:sz w:val="16"/>
                <w:szCs w:val="16"/>
              </w:rPr>
              <w:t xml:space="preserve">25,159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916876F" w14:textId="77777777">
            <w:pPr>
              <w:spacing w:after="0"/>
              <w:jc w:val="right"/>
              <w:rPr>
                <w:rFonts w:cs="Arial"/>
                <w:sz w:val="16"/>
                <w:szCs w:val="16"/>
              </w:rPr>
            </w:pPr>
            <w:r w:rsidRPr="00047807">
              <w:rPr>
                <w:rFonts w:cs="Arial"/>
                <w:sz w:val="16"/>
                <w:szCs w:val="16"/>
              </w:rPr>
              <w:t xml:space="preserve">39,809 </w:t>
            </w:r>
          </w:p>
        </w:tc>
      </w:tr>
      <w:tr w:rsidRPr="00047807" w:rsidR="00047807" w:rsidTr="00CC210C" w14:paraId="026ADA41"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3B43A9C"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4394997" w14:textId="77777777">
            <w:pPr>
              <w:spacing w:after="0"/>
              <w:rPr>
                <w:rFonts w:cs="Arial"/>
                <w:sz w:val="16"/>
                <w:szCs w:val="16"/>
              </w:rPr>
            </w:pPr>
            <w:r w:rsidRPr="00047807">
              <w:rPr>
                <w:rFonts w:cs="Arial"/>
                <w:sz w:val="16"/>
                <w:szCs w:val="16"/>
              </w:rPr>
              <w:t>Public information, education, training and mediation services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4C8F44E" w14:textId="77777777">
            <w:pPr>
              <w:spacing w:after="0"/>
              <w:jc w:val="right"/>
              <w:rPr>
                <w:rFonts w:cs="Arial"/>
                <w:sz w:val="16"/>
                <w:szCs w:val="16"/>
              </w:rPr>
            </w:pPr>
            <w:r w:rsidRPr="00047807">
              <w:rPr>
                <w:rFonts w:cs="Arial"/>
                <w:sz w:val="16"/>
                <w:szCs w:val="16"/>
              </w:rPr>
              <w:t xml:space="preserve">1,312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C5134FE" w14:textId="77777777">
            <w:pPr>
              <w:spacing w:after="0"/>
              <w:jc w:val="right"/>
              <w:rPr>
                <w:rFonts w:cs="Arial"/>
                <w:sz w:val="16"/>
                <w:szCs w:val="16"/>
              </w:rPr>
            </w:pPr>
            <w:r w:rsidRPr="00047807">
              <w:rPr>
                <w:rFonts w:cs="Arial"/>
                <w:sz w:val="16"/>
                <w:szCs w:val="16"/>
              </w:rPr>
              <w:t xml:space="preserve">709 </w:t>
            </w:r>
          </w:p>
        </w:tc>
      </w:tr>
      <w:tr w:rsidRPr="00047807" w:rsidR="00047807" w:rsidTr="00CC210C" w14:paraId="14183C80"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843AB54"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710ACCE" w14:textId="77777777">
            <w:pPr>
              <w:spacing w:after="0"/>
              <w:rPr>
                <w:rFonts w:cs="Arial"/>
                <w:sz w:val="16"/>
                <w:szCs w:val="16"/>
              </w:rPr>
            </w:pPr>
            <w:r w:rsidRPr="00047807">
              <w:rPr>
                <w:rFonts w:cs="Arial"/>
                <w:sz w:val="16"/>
                <w:szCs w:val="16"/>
              </w:rPr>
              <w:t>Registrar of Births, Deaths and Marriages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5C22BE9" w14:textId="77777777">
            <w:pPr>
              <w:spacing w:after="0"/>
              <w:jc w:val="right"/>
              <w:rPr>
                <w:rFonts w:cs="Arial"/>
                <w:sz w:val="16"/>
                <w:szCs w:val="16"/>
              </w:rPr>
            </w:pPr>
            <w:r w:rsidRPr="00047807">
              <w:rPr>
                <w:rFonts w:cs="Arial"/>
                <w:sz w:val="16"/>
                <w:szCs w:val="16"/>
              </w:rPr>
              <w:t xml:space="preserve">6,718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51B51A6" w14:textId="77777777">
            <w:pPr>
              <w:spacing w:after="0"/>
              <w:jc w:val="right"/>
              <w:rPr>
                <w:rFonts w:cs="Arial"/>
                <w:sz w:val="16"/>
                <w:szCs w:val="16"/>
              </w:rPr>
            </w:pPr>
            <w:r w:rsidRPr="00047807">
              <w:rPr>
                <w:rFonts w:cs="Arial"/>
                <w:sz w:val="16"/>
                <w:szCs w:val="16"/>
              </w:rPr>
              <w:t xml:space="preserve">6,515 </w:t>
            </w:r>
          </w:p>
        </w:tc>
      </w:tr>
      <w:tr w:rsidRPr="00047807" w:rsidR="00047807" w:rsidTr="00CC210C" w14:paraId="502F16B4"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0D5C342"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3B07CC4" w14:textId="77777777">
            <w:pPr>
              <w:spacing w:after="0"/>
              <w:rPr>
                <w:rFonts w:cs="Arial"/>
                <w:sz w:val="16"/>
                <w:szCs w:val="16"/>
              </w:rPr>
            </w:pPr>
            <w:r w:rsidRPr="00047807">
              <w:rPr>
                <w:rFonts w:cs="Arial"/>
                <w:sz w:val="16"/>
                <w:szCs w:val="16"/>
              </w:rPr>
              <w:t>Secretariat Legal Education and Board of Examiners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4AF311D" w14:textId="77777777">
            <w:pPr>
              <w:spacing w:after="0"/>
              <w:jc w:val="right"/>
              <w:rPr>
                <w:rFonts w:cs="Arial"/>
                <w:sz w:val="16"/>
                <w:szCs w:val="16"/>
              </w:rPr>
            </w:pPr>
            <w:r w:rsidRPr="00047807">
              <w:rPr>
                <w:rFonts w:cs="Arial"/>
                <w:sz w:val="16"/>
                <w:szCs w:val="16"/>
              </w:rPr>
              <w:t xml:space="preserve">3,029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FFBF693" w14:textId="77777777">
            <w:pPr>
              <w:spacing w:after="0"/>
              <w:jc w:val="right"/>
              <w:rPr>
                <w:rFonts w:cs="Arial"/>
                <w:sz w:val="16"/>
                <w:szCs w:val="16"/>
              </w:rPr>
            </w:pPr>
            <w:r w:rsidRPr="00047807">
              <w:rPr>
                <w:rFonts w:cs="Arial"/>
                <w:sz w:val="16"/>
                <w:szCs w:val="16"/>
              </w:rPr>
              <w:t xml:space="preserve">2,750 </w:t>
            </w:r>
          </w:p>
        </w:tc>
      </w:tr>
      <w:tr w:rsidRPr="00047807" w:rsidR="00047807" w:rsidTr="00CC210C" w14:paraId="0593A506"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986E529"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71233B5" w14:textId="77777777">
            <w:pPr>
              <w:spacing w:after="0"/>
              <w:rPr>
                <w:rFonts w:cs="Arial"/>
                <w:sz w:val="16"/>
                <w:szCs w:val="16"/>
              </w:rPr>
            </w:pPr>
            <w:r w:rsidRPr="00047807">
              <w:rPr>
                <w:rFonts w:cs="Arial"/>
                <w:sz w:val="16"/>
                <w:szCs w:val="16"/>
              </w:rPr>
              <w:t>Victorian Institute of Forensic Medicine services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0566A1D" w14:textId="77777777">
            <w:pPr>
              <w:spacing w:after="0"/>
              <w:jc w:val="right"/>
              <w:rPr>
                <w:rFonts w:cs="Arial"/>
                <w:sz w:val="16"/>
                <w:szCs w:val="16"/>
              </w:rPr>
            </w:pPr>
            <w:r w:rsidRPr="00047807">
              <w:rPr>
                <w:rFonts w:cs="Arial"/>
                <w:sz w:val="16"/>
                <w:szCs w:val="16"/>
              </w:rPr>
              <w:t xml:space="preserve">13,177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E31BFB0" w14:textId="77777777">
            <w:pPr>
              <w:spacing w:after="0"/>
              <w:jc w:val="right"/>
              <w:rPr>
                <w:rFonts w:cs="Arial"/>
                <w:sz w:val="16"/>
                <w:szCs w:val="16"/>
              </w:rPr>
            </w:pPr>
            <w:r w:rsidRPr="00047807">
              <w:rPr>
                <w:rFonts w:cs="Arial"/>
                <w:sz w:val="16"/>
                <w:szCs w:val="16"/>
              </w:rPr>
              <w:t xml:space="preserve">11,030 </w:t>
            </w:r>
          </w:p>
        </w:tc>
      </w:tr>
      <w:tr w:rsidRPr="00047807" w:rsidR="00047807" w:rsidTr="00CC210C" w14:paraId="26FCB42F"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C2E81D1"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F36EFF6" w14:textId="77777777">
            <w:pPr>
              <w:spacing w:after="0"/>
              <w:rPr>
                <w:rFonts w:cs="Arial"/>
                <w:sz w:val="16"/>
                <w:szCs w:val="16"/>
              </w:rPr>
            </w:pPr>
            <w:r w:rsidRPr="00047807">
              <w:rPr>
                <w:rFonts w:cs="Arial"/>
                <w:sz w:val="16"/>
                <w:szCs w:val="16"/>
              </w:rPr>
              <w:t>Victoria Police policing services and event management</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9A0A3AF" w14:textId="77777777">
            <w:pPr>
              <w:spacing w:after="0"/>
              <w:jc w:val="right"/>
              <w:rPr>
                <w:rFonts w:cs="Arial"/>
                <w:sz w:val="16"/>
                <w:szCs w:val="16"/>
              </w:rPr>
            </w:pPr>
            <w:r w:rsidRPr="00047807">
              <w:rPr>
                <w:rFonts w:cs="Arial"/>
                <w:sz w:val="16"/>
                <w:szCs w:val="16"/>
              </w:rPr>
              <w:t xml:space="preserve">18,611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2B43908" w14:textId="77777777">
            <w:pPr>
              <w:spacing w:after="0"/>
              <w:jc w:val="right"/>
              <w:rPr>
                <w:rFonts w:cs="Arial"/>
                <w:sz w:val="16"/>
                <w:szCs w:val="16"/>
              </w:rPr>
            </w:pPr>
            <w:r w:rsidRPr="00047807">
              <w:rPr>
                <w:rFonts w:cs="Arial"/>
                <w:sz w:val="16"/>
                <w:szCs w:val="16"/>
              </w:rPr>
              <w:t xml:space="preserve">9,459 </w:t>
            </w:r>
          </w:p>
        </w:tc>
      </w:tr>
      <w:tr w:rsidRPr="00047807" w:rsidR="00047807" w:rsidTr="00CC210C" w14:paraId="764A0ED7" w14:textId="77777777">
        <w:tc>
          <w:tcPr>
            <w:tcW w:w="6973" w:type="dxa"/>
            <w:gridSpan w:val="2"/>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7994577" w14:textId="77777777">
            <w:pPr>
              <w:spacing w:before="120" w:after="0"/>
              <w:rPr>
                <w:rFonts w:cs="Arial"/>
                <w:b/>
                <w:sz w:val="16"/>
                <w:szCs w:val="16"/>
              </w:rPr>
            </w:pPr>
            <w:r w:rsidRPr="00047807">
              <w:rPr>
                <w:rFonts w:cs="Arial"/>
                <w:b/>
                <w:sz w:val="16"/>
                <w:szCs w:val="16"/>
              </w:rPr>
              <w:t>Asset sales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E0AD0A1" w14:textId="77777777">
            <w:pPr>
              <w:spacing w:before="120" w:after="0"/>
              <w:jc w:val="right"/>
              <w:rPr>
                <w:rFonts w:cs="Arial"/>
                <w:b/>
                <w:sz w:val="16"/>
                <w:szCs w:val="16"/>
                <w:lang w:val="en-US"/>
              </w:rPr>
            </w:pP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FF287A1" w14:textId="77777777">
            <w:pPr>
              <w:spacing w:before="120" w:after="0"/>
              <w:jc w:val="right"/>
              <w:rPr>
                <w:rFonts w:cs="Arial"/>
                <w:b/>
                <w:sz w:val="16"/>
                <w:szCs w:val="16"/>
                <w:lang w:val="en-US"/>
              </w:rPr>
            </w:pPr>
          </w:p>
        </w:tc>
      </w:tr>
      <w:tr w:rsidRPr="00047807" w:rsidR="00047807" w:rsidTr="00CC210C" w14:paraId="1CEC152B"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22848C4"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E7C4804" w14:textId="77777777">
            <w:pPr>
              <w:spacing w:after="0"/>
              <w:rPr>
                <w:rFonts w:cs="Arial"/>
                <w:sz w:val="16"/>
                <w:szCs w:val="16"/>
              </w:rPr>
            </w:pPr>
            <w:r w:rsidRPr="00047807">
              <w:rPr>
                <w:rFonts w:cs="Arial"/>
                <w:sz w:val="16"/>
                <w:szCs w:val="16"/>
              </w:rPr>
              <w:t>Victoria Police asset sales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0E39FDC" w14:textId="77777777">
            <w:pPr>
              <w:spacing w:after="0"/>
              <w:jc w:val="right"/>
              <w:rPr>
                <w:rFonts w:cs="Arial"/>
                <w:sz w:val="16"/>
                <w:szCs w:val="16"/>
              </w:rPr>
            </w:pPr>
            <w:r w:rsidRPr="00047807">
              <w:rPr>
                <w:rFonts w:cs="Arial"/>
                <w:sz w:val="16"/>
                <w:szCs w:val="16"/>
              </w:rPr>
              <w:t xml:space="preserve">362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778B607" w14:textId="77777777">
            <w:pPr>
              <w:spacing w:after="0"/>
              <w:jc w:val="right"/>
              <w:rPr>
                <w:rFonts w:cs="Arial"/>
                <w:sz w:val="16"/>
                <w:szCs w:val="16"/>
              </w:rPr>
            </w:pPr>
            <w:r w:rsidRPr="00047807">
              <w:rPr>
                <w:rFonts w:cs="Arial"/>
                <w:sz w:val="16"/>
                <w:szCs w:val="16"/>
              </w:rPr>
              <w:t xml:space="preserve">324 </w:t>
            </w:r>
          </w:p>
        </w:tc>
      </w:tr>
      <w:tr w:rsidRPr="00047807" w:rsidR="00047807" w:rsidTr="00CC210C" w14:paraId="6CC3C35C" w14:textId="77777777">
        <w:tc>
          <w:tcPr>
            <w:tcW w:w="6973" w:type="dxa"/>
            <w:gridSpan w:val="2"/>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7F4D84E" w14:textId="77777777">
            <w:pPr>
              <w:spacing w:before="120" w:after="0"/>
              <w:rPr>
                <w:rFonts w:cs="Arial"/>
                <w:b/>
                <w:sz w:val="16"/>
                <w:szCs w:val="16"/>
              </w:rPr>
            </w:pPr>
            <w:r w:rsidRPr="00047807">
              <w:rPr>
                <w:rFonts w:cs="Arial"/>
                <w:b/>
                <w:sz w:val="16"/>
                <w:szCs w:val="16"/>
              </w:rPr>
              <w:t>Commonwealth specific purpose payments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71AFF53" w14:textId="77777777">
            <w:pPr>
              <w:spacing w:before="120" w:after="0"/>
              <w:jc w:val="right"/>
              <w:rPr>
                <w:rFonts w:cs="Arial"/>
                <w:b/>
                <w:sz w:val="16"/>
                <w:szCs w:val="16"/>
                <w:lang w:val="en-US"/>
              </w:rPr>
            </w:pP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61C20EEF" w14:textId="77777777">
            <w:pPr>
              <w:spacing w:before="120" w:after="0"/>
              <w:jc w:val="right"/>
              <w:rPr>
                <w:rFonts w:cs="Arial"/>
                <w:b/>
                <w:sz w:val="16"/>
                <w:szCs w:val="16"/>
                <w:lang w:val="en-US"/>
              </w:rPr>
            </w:pPr>
          </w:p>
        </w:tc>
      </w:tr>
      <w:tr w:rsidRPr="00047807" w:rsidR="00047807" w:rsidTr="00CC210C" w14:paraId="2298336D"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D2A86C7"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3813890" w14:textId="77777777">
            <w:pPr>
              <w:spacing w:after="0"/>
              <w:rPr>
                <w:rFonts w:cs="Arial"/>
                <w:sz w:val="16"/>
                <w:szCs w:val="16"/>
              </w:rPr>
            </w:pPr>
            <w:r w:rsidRPr="00047807">
              <w:rPr>
                <w:rFonts w:cs="Arial"/>
                <w:sz w:val="16"/>
                <w:szCs w:val="16"/>
              </w:rPr>
              <w:t>Family advocacy and support services</w:t>
            </w:r>
            <w:r w:rsidRPr="00047807">
              <w:rPr>
                <w:rFonts w:cs="Arial"/>
                <w:sz w:val="16"/>
                <w:szCs w:val="16"/>
                <w:vertAlign w:val="superscript"/>
              </w:rPr>
              <w:t xml:space="preserve"> (i)</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F63D5F7" w14:textId="77777777">
            <w:pPr>
              <w:spacing w:after="0"/>
              <w:jc w:val="right"/>
              <w:rPr>
                <w:rFonts w:cs="Arial"/>
                <w:sz w:val="16"/>
                <w:szCs w:val="16"/>
              </w:rPr>
            </w:pPr>
            <w:r w:rsidRPr="00047807">
              <w:rPr>
                <w:rFonts w:cs="Arial"/>
                <w:sz w:val="16"/>
                <w:szCs w:val="16"/>
              </w:rPr>
              <w:t xml:space="preserve">1,240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4141C8D" w14:textId="77777777">
            <w:pPr>
              <w:spacing w:after="0"/>
              <w:jc w:val="right"/>
              <w:rPr>
                <w:rFonts w:cs="Arial"/>
                <w:sz w:val="16"/>
                <w:szCs w:val="16"/>
              </w:rPr>
            </w:pPr>
            <w:r w:rsidRPr="00047807">
              <w:rPr>
                <w:rFonts w:cs="Arial"/>
                <w:sz w:val="16"/>
                <w:szCs w:val="16"/>
              </w:rPr>
              <w:t xml:space="preserve">1,240 </w:t>
            </w:r>
          </w:p>
        </w:tc>
      </w:tr>
      <w:tr w:rsidRPr="00047807" w:rsidR="00047807" w:rsidTr="00CC210C" w14:paraId="67B0FE61"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3F9AD25"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5C744865" w14:textId="77777777">
            <w:pPr>
              <w:spacing w:after="0"/>
              <w:rPr>
                <w:rFonts w:cs="Arial"/>
                <w:sz w:val="16"/>
                <w:szCs w:val="16"/>
              </w:rPr>
            </w:pPr>
            <w:r w:rsidRPr="00047807">
              <w:rPr>
                <w:rFonts w:cs="Arial"/>
                <w:sz w:val="16"/>
                <w:szCs w:val="16"/>
              </w:rPr>
              <w:t>Legal assistance services and community legal centres</w:t>
            </w:r>
            <w:r w:rsidRPr="00047807">
              <w:rPr>
                <w:rFonts w:cs="Arial"/>
                <w:sz w:val="16"/>
                <w:szCs w:val="16"/>
                <w:vertAlign w:val="superscript"/>
              </w:rPr>
              <w:t xml:space="preserve"> (i)</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40A305E" w14:textId="77777777">
            <w:pPr>
              <w:spacing w:after="0"/>
              <w:jc w:val="right"/>
              <w:rPr>
                <w:rFonts w:cs="Arial"/>
                <w:sz w:val="16"/>
                <w:szCs w:val="16"/>
              </w:rPr>
            </w:pPr>
            <w:r w:rsidRPr="00047807">
              <w:rPr>
                <w:rFonts w:cs="Arial"/>
                <w:sz w:val="16"/>
                <w:szCs w:val="16"/>
              </w:rPr>
              <w:t xml:space="preserve">61,130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5EE72A5" w14:textId="77777777">
            <w:pPr>
              <w:spacing w:after="0"/>
              <w:jc w:val="right"/>
              <w:rPr>
                <w:rFonts w:cs="Arial"/>
                <w:sz w:val="16"/>
                <w:szCs w:val="16"/>
              </w:rPr>
            </w:pPr>
            <w:r w:rsidRPr="00047807">
              <w:rPr>
                <w:rFonts w:cs="Arial"/>
                <w:sz w:val="16"/>
                <w:szCs w:val="16"/>
              </w:rPr>
              <w:t xml:space="preserve">60,148 </w:t>
            </w:r>
          </w:p>
        </w:tc>
      </w:tr>
      <w:tr w:rsidRPr="00047807" w:rsidR="00047807" w:rsidTr="00CC210C" w14:paraId="5FB7DE69"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C1BB24C"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D93C608" w14:textId="77777777">
            <w:pPr>
              <w:spacing w:after="0"/>
              <w:rPr>
                <w:rFonts w:cs="Arial"/>
                <w:sz w:val="16"/>
                <w:szCs w:val="16"/>
              </w:rPr>
            </w:pPr>
            <w:r w:rsidRPr="00047807">
              <w:rPr>
                <w:rFonts w:cs="Arial"/>
                <w:sz w:val="16"/>
                <w:szCs w:val="16"/>
              </w:rPr>
              <w:t>National coronial information system</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920F221" w14:textId="77777777">
            <w:pPr>
              <w:spacing w:after="0"/>
              <w:jc w:val="right"/>
              <w:rPr>
                <w:rFonts w:cs="Arial"/>
                <w:sz w:val="16"/>
                <w:szCs w:val="16"/>
              </w:rPr>
            </w:pPr>
            <w:r w:rsidRPr="00047807">
              <w:rPr>
                <w:rFonts w:cs="Arial"/>
                <w:sz w:val="16"/>
                <w:szCs w:val="16"/>
              </w:rPr>
              <w:t xml:space="preserve">400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0FF5B1EF" w14:textId="77777777">
            <w:pPr>
              <w:spacing w:after="0"/>
              <w:jc w:val="right"/>
              <w:rPr>
                <w:rFonts w:cs="Arial"/>
                <w:sz w:val="16"/>
                <w:szCs w:val="16"/>
              </w:rPr>
            </w:pPr>
            <w:r w:rsidRPr="00047807">
              <w:rPr>
                <w:rFonts w:cs="Arial"/>
                <w:sz w:val="16"/>
                <w:szCs w:val="16"/>
              </w:rPr>
              <w:t xml:space="preserve">0 </w:t>
            </w:r>
          </w:p>
        </w:tc>
      </w:tr>
      <w:tr w:rsidRPr="00047807" w:rsidR="00047807" w:rsidTr="00CC210C" w14:paraId="457B01EB"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BDC5204"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E431E33" w14:textId="77777777">
            <w:pPr>
              <w:spacing w:after="0"/>
              <w:rPr>
                <w:rFonts w:cs="Arial"/>
                <w:sz w:val="16"/>
                <w:szCs w:val="16"/>
              </w:rPr>
            </w:pPr>
            <w:r w:rsidRPr="00047807">
              <w:rPr>
                <w:rFonts w:cs="Arial"/>
                <w:sz w:val="16"/>
                <w:szCs w:val="16"/>
              </w:rPr>
              <w:t>National disaster resilience program</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FEA4D97" w14:textId="77777777">
            <w:pPr>
              <w:spacing w:after="0"/>
              <w:jc w:val="right"/>
              <w:rPr>
                <w:rFonts w:cs="Arial"/>
                <w:sz w:val="16"/>
                <w:szCs w:val="16"/>
              </w:rPr>
            </w:pPr>
            <w:r w:rsidRPr="00047807">
              <w:rPr>
                <w:rFonts w:cs="Arial"/>
                <w:sz w:val="16"/>
                <w:szCs w:val="16"/>
              </w:rPr>
              <w:t xml:space="preserve">0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4AAF6323" w14:textId="77777777">
            <w:pPr>
              <w:spacing w:after="0"/>
              <w:jc w:val="right"/>
              <w:rPr>
                <w:rFonts w:cs="Arial"/>
                <w:sz w:val="16"/>
                <w:szCs w:val="16"/>
              </w:rPr>
            </w:pPr>
            <w:r w:rsidRPr="00047807">
              <w:rPr>
                <w:rFonts w:cs="Arial"/>
                <w:sz w:val="16"/>
                <w:szCs w:val="16"/>
              </w:rPr>
              <w:t xml:space="preserve">10,440 </w:t>
            </w:r>
          </w:p>
        </w:tc>
      </w:tr>
      <w:tr w:rsidRPr="00047807" w:rsidR="00047807" w:rsidTr="00CC210C" w14:paraId="37861292" w14:textId="77777777">
        <w:tc>
          <w:tcPr>
            <w:tcW w:w="283"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1B0563CC" w14:textId="77777777">
            <w:pPr>
              <w:spacing w:after="0"/>
              <w:rPr>
                <w:rFonts w:cs="Arial"/>
                <w:sz w:val="16"/>
                <w:szCs w:val="16"/>
                <w:lang w:val="en-US"/>
              </w:rPr>
            </w:pPr>
          </w:p>
        </w:tc>
        <w:tc>
          <w:tcPr>
            <w:tcW w:w="6690"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38D25144" w14:textId="77777777">
            <w:pPr>
              <w:spacing w:after="0"/>
              <w:rPr>
                <w:rFonts w:cs="Arial"/>
                <w:sz w:val="16"/>
                <w:szCs w:val="16"/>
              </w:rPr>
            </w:pPr>
            <w:r w:rsidRPr="00047807">
              <w:rPr>
                <w:rFonts w:cs="Arial"/>
                <w:sz w:val="16"/>
                <w:szCs w:val="16"/>
              </w:rPr>
              <w:t>Prepared communities</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77847478" w14:textId="77777777">
            <w:pPr>
              <w:spacing w:after="0"/>
              <w:jc w:val="right"/>
              <w:rPr>
                <w:rFonts w:cs="Arial"/>
                <w:sz w:val="16"/>
                <w:szCs w:val="16"/>
              </w:rPr>
            </w:pPr>
            <w:r w:rsidRPr="00047807">
              <w:rPr>
                <w:rFonts w:cs="Arial"/>
                <w:sz w:val="16"/>
                <w:szCs w:val="16"/>
              </w:rPr>
              <w:t xml:space="preserve">800 </w:t>
            </w:r>
          </w:p>
        </w:tc>
        <w:tc>
          <w:tcPr>
            <w:tcW w:w="1474" w:type="dxa"/>
            <w:tcBorders>
              <w:top w:val="nil"/>
              <w:left w:val="nil"/>
              <w:bottom w:val="nil"/>
              <w:right w:val="nil"/>
            </w:tcBorders>
            <w:tcMar>
              <w:top w:w="57" w:type="dxa"/>
              <w:left w:w="0" w:type="dxa"/>
              <w:bottom w:w="57" w:type="dxa"/>
              <w:right w:w="0" w:type="dxa"/>
            </w:tcMar>
            <w:vAlign w:val="bottom"/>
          </w:tcPr>
          <w:p w:rsidRPr="00047807" w:rsidR="00047807" w:rsidP="00047807" w:rsidRDefault="00047807" w14:paraId="2F750679" w14:textId="77777777">
            <w:pPr>
              <w:spacing w:after="0"/>
              <w:jc w:val="right"/>
              <w:rPr>
                <w:rFonts w:cs="Arial"/>
                <w:sz w:val="16"/>
                <w:szCs w:val="16"/>
              </w:rPr>
            </w:pPr>
            <w:r w:rsidRPr="00047807">
              <w:rPr>
                <w:rFonts w:cs="Arial"/>
                <w:sz w:val="16"/>
                <w:szCs w:val="16"/>
              </w:rPr>
              <w:t xml:space="preserve">0 </w:t>
            </w:r>
          </w:p>
        </w:tc>
      </w:tr>
      <w:tr w:rsidRPr="00047807" w:rsidR="00047807" w:rsidTr="00CC210C" w14:paraId="541571DE" w14:textId="77777777">
        <w:tc>
          <w:tcPr>
            <w:tcW w:w="283"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2D8330E0" w14:textId="77777777">
            <w:pPr>
              <w:spacing w:after="0"/>
              <w:rPr>
                <w:rFonts w:cs="Arial"/>
                <w:sz w:val="16"/>
                <w:szCs w:val="16"/>
                <w:lang w:val="en-US"/>
              </w:rPr>
            </w:pPr>
          </w:p>
        </w:tc>
        <w:tc>
          <w:tcPr>
            <w:tcW w:w="6690"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1CF6BFF1" w14:textId="77777777">
            <w:pPr>
              <w:spacing w:after="0"/>
              <w:rPr>
                <w:rFonts w:cs="Arial"/>
                <w:sz w:val="16"/>
                <w:szCs w:val="16"/>
              </w:rPr>
            </w:pPr>
            <w:r w:rsidRPr="00047807">
              <w:rPr>
                <w:rFonts w:cs="Arial"/>
                <w:sz w:val="16"/>
                <w:szCs w:val="16"/>
              </w:rPr>
              <w:t>Provision of fire services</w:t>
            </w:r>
          </w:p>
        </w:tc>
        <w:tc>
          <w:tcPr>
            <w:tcW w:w="1474"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412E4DBA" w14:textId="77777777">
            <w:pPr>
              <w:spacing w:after="0"/>
              <w:jc w:val="right"/>
              <w:rPr>
                <w:rFonts w:cs="Arial"/>
                <w:sz w:val="16"/>
                <w:szCs w:val="16"/>
              </w:rPr>
            </w:pPr>
            <w:r w:rsidRPr="00047807">
              <w:rPr>
                <w:rFonts w:cs="Arial"/>
                <w:sz w:val="16"/>
                <w:szCs w:val="16"/>
              </w:rPr>
              <w:t xml:space="preserve">3,364 </w:t>
            </w:r>
          </w:p>
        </w:tc>
        <w:tc>
          <w:tcPr>
            <w:tcW w:w="1474" w:type="dxa"/>
            <w:tcBorders>
              <w:top w:val="nil"/>
              <w:left w:val="nil"/>
              <w:bottom w:val="single" w:color="000000" w:sz="6" w:space="0"/>
              <w:right w:val="nil"/>
            </w:tcBorders>
            <w:tcMar>
              <w:top w:w="57" w:type="dxa"/>
              <w:left w:w="0" w:type="dxa"/>
              <w:bottom w:w="57" w:type="dxa"/>
              <w:right w:w="0" w:type="dxa"/>
            </w:tcMar>
            <w:vAlign w:val="bottom"/>
          </w:tcPr>
          <w:p w:rsidRPr="00047807" w:rsidR="00047807" w:rsidP="00047807" w:rsidRDefault="00047807" w14:paraId="2868B5DC" w14:textId="77777777">
            <w:pPr>
              <w:spacing w:after="0"/>
              <w:jc w:val="right"/>
              <w:rPr>
                <w:rFonts w:cs="Arial"/>
                <w:sz w:val="16"/>
                <w:szCs w:val="16"/>
              </w:rPr>
            </w:pPr>
            <w:r w:rsidRPr="00047807">
              <w:rPr>
                <w:rFonts w:cs="Arial"/>
                <w:sz w:val="16"/>
                <w:szCs w:val="16"/>
              </w:rPr>
              <w:t xml:space="preserve">3,250 </w:t>
            </w:r>
          </w:p>
        </w:tc>
      </w:tr>
      <w:tr w:rsidRPr="00CC210C" w:rsidR="00047807" w:rsidTr="00CC210C" w14:paraId="180C41FC" w14:textId="77777777">
        <w:tc>
          <w:tcPr>
            <w:tcW w:w="6973"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CC210C" w:rsidR="00047807" w:rsidP="00047807" w:rsidRDefault="00047807" w14:paraId="55BE2D49" w14:textId="77777777">
            <w:pPr>
              <w:spacing w:after="0"/>
              <w:rPr>
                <w:rFonts w:cs="Arial"/>
                <w:b/>
                <w:sz w:val="16"/>
                <w:szCs w:val="16"/>
              </w:rPr>
            </w:pPr>
            <w:r w:rsidRPr="00CC210C">
              <w:rPr>
                <w:rFonts w:cs="Arial"/>
                <w:b/>
                <w:sz w:val="16"/>
                <w:szCs w:val="16"/>
              </w:rPr>
              <w:t>Total annotated income agreements</w:t>
            </w:r>
          </w:p>
        </w:tc>
        <w:tc>
          <w:tcPr>
            <w:tcW w:w="147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210C" w:rsidR="00047807" w:rsidP="00047807" w:rsidRDefault="00047807" w14:paraId="7BDC28FA" w14:textId="77777777">
            <w:pPr>
              <w:spacing w:after="0"/>
              <w:jc w:val="right"/>
              <w:rPr>
                <w:rFonts w:cs="Arial"/>
                <w:b/>
                <w:sz w:val="16"/>
                <w:szCs w:val="16"/>
              </w:rPr>
            </w:pPr>
            <w:r w:rsidRPr="00CC210C">
              <w:rPr>
                <w:rFonts w:cs="Arial"/>
                <w:b/>
                <w:sz w:val="16"/>
                <w:szCs w:val="16"/>
              </w:rPr>
              <w:t xml:space="preserve">251,096 </w:t>
            </w:r>
          </w:p>
        </w:tc>
        <w:tc>
          <w:tcPr>
            <w:tcW w:w="147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CC210C" w:rsidR="00047807" w:rsidP="00047807" w:rsidRDefault="00047807" w14:paraId="481CE865" w14:textId="77777777">
            <w:pPr>
              <w:spacing w:after="0"/>
              <w:jc w:val="right"/>
              <w:rPr>
                <w:rFonts w:cs="Arial"/>
                <w:b/>
                <w:sz w:val="16"/>
                <w:szCs w:val="16"/>
              </w:rPr>
            </w:pPr>
            <w:r w:rsidRPr="00CC210C">
              <w:rPr>
                <w:rFonts w:cs="Arial"/>
                <w:b/>
                <w:sz w:val="16"/>
                <w:szCs w:val="16"/>
              </w:rPr>
              <w:t xml:space="preserve">238,080 </w:t>
            </w:r>
          </w:p>
        </w:tc>
      </w:tr>
    </w:tbl>
    <w:p w:rsidRPr="00047807" w:rsidR="00047807" w:rsidP="00047807" w:rsidRDefault="00047807" w14:paraId="294C2B7A" w14:textId="77777777">
      <w:pPr>
        <w:pStyle w:val="notes"/>
        <w:spacing w:after="0"/>
      </w:pPr>
    </w:p>
    <w:p w:rsidRPr="00047807" w:rsidR="00047807" w:rsidP="00047807" w:rsidRDefault="00047807" w14:paraId="6A2CB35F" w14:textId="77777777">
      <w:pPr>
        <w:pStyle w:val="notes"/>
        <w:spacing w:after="0"/>
      </w:pPr>
      <w:r w:rsidRPr="00047807">
        <w:t>(i) Previously shown as Victoria Legal Aid.</w:t>
      </w:r>
    </w:p>
    <w:p w:rsidR="00077C80" w:rsidP="00077C80" w:rsidRDefault="00077C80" w14:paraId="1804E6DA" w14:textId="0E51F60B">
      <w:pPr>
        <w:rPr>
          <w:lang w:val="en-AU"/>
        </w:rPr>
      </w:pPr>
    </w:p>
    <w:p w:rsidR="00047807" w:rsidRDefault="00047807" w14:paraId="7958AD81" w14:textId="5A052E32">
      <w:pPr>
        <w:spacing w:after="0"/>
        <w:rPr>
          <w:lang w:val="en-AU"/>
        </w:rPr>
      </w:pPr>
      <w:r>
        <w:rPr>
          <w:lang w:val="en-AU"/>
        </w:rPr>
        <w:br w:type="page"/>
      </w:r>
    </w:p>
    <w:p w:rsidRPr="00047807" w:rsidR="00047807" w:rsidP="00047807" w:rsidRDefault="00047807" w14:paraId="3201B053" w14:textId="77777777">
      <w:pPr>
        <w:pStyle w:val="Heading2"/>
      </w:pPr>
      <w:bookmarkStart w:id="17" w:name="_Toc21870905"/>
      <w:r w:rsidRPr="00047807">
        <w:lastRenderedPageBreak/>
        <w:t>3. Cost of delivering services</w:t>
      </w:r>
      <w:bookmarkEnd w:id="17"/>
    </w:p>
    <w:p w:rsidRPr="00047807" w:rsidR="00047807" w:rsidP="00047807" w:rsidRDefault="00047807" w14:paraId="05D63BCB" w14:textId="77777777">
      <w:pPr>
        <w:pStyle w:val="Heading3"/>
      </w:pPr>
      <w:r w:rsidRPr="00047807">
        <w:t>3.1 Introduction</w:t>
      </w:r>
    </w:p>
    <w:p w:rsidRPr="00047807" w:rsidR="00047807" w:rsidP="00047807" w:rsidRDefault="00047807" w14:paraId="06C093D8" w14:textId="77777777">
      <w:r w:rsidRPr="00047807">
        <w:t>This note provides an account of the expenses incurred by the department in delivering services and outputs.  In note 2, the funds that enable the provision of services were disclosed and in this note the costs associated with provision of services are recorded.  Note 4 discloses aggregated information in relation to the income and expenses by output.</w:t>
      </w:r>
    </w:p>
    <w:p w:rsidRPr="00047807" w:rsidR="00047807" w:rsidP="00047807" w:rsidRDefault="00047807" w14:paraId="24F488AE" w14:textId="77777777">
      <w:pPr>
        <w:pStyle w:val="Heading3"/>
      </w:pPr>
      <w:r w:rsidRPr="00047807">
        <w:t>3.2 Employee benefits</w:t>
      </w:r>
    </w:p>
    <w:p w:rsidRPr="00047807" w:rsidR="00047807" w:rsidP="00047807" w:rsidRDefault="00047807" w14:paraId="436309EC" w14:textId="12D68958">
      <w:pPr>
        <w:pStyle w:val="Heading4"/>
      </w:pPr>
      <w:r w:rsidRPr="00047807">
        <w:t>3.2.1 Employee benefit expense in the comprehensive operating statement</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CC210C" w:rsidR="00047807" w:rsidTr="00CC210C" w14:paraId="0EB71851" w14:textId="77777777">
        <w:trPr>
          <w:tblHeader/>
        </w:trPr>
        <w:tc>
          <w:tcPr>
            <w:tcW w:w="7087" w:type="dxa"/>
            <w:tcBorders>
              <w:top w:val="nil"/>
              <w:left w:val="nil"/>
              <w:bottom w:val="single" w:color="000000" w:sz="6" w:space="0"/>
              <w:right w:val="nil"/>
            </w:tcBorders>
            <w:tcMar>
              <w:top w:w="57" w:type="dxa"/>
              <w:left w:w="0" w:type="dxa"/>
              <w:bottom w:w="57" w:type="dxa"/>
              <w:right w:w="0" w:type="dxa"/>
            </w:tcMar>
          </w:tcPr>
          <w:p w:rsidRPr="00CC210C" w:rsidR="00047807" w:rsidP="00047807" w:rsidRDefault="00047807" w14:paraId="498072E8" w14:textId="77777777">
            <w:pPr>
              <w:spacing w:after="0"/>
              <w:rPr>
                <w:b/>
                <w:sz w:val="16"/>
                <w:szCs w:val="16"/>
                <w:lang w:val="en-US"/>
              </w:rPr>
            </w:pPr>
          </w:p>
        </w:tc>
        <w:tc>
          <w:tcPr>
            <w:tcW w:w="1417" w:type="dxa"/>
            <w:tcBorders>
              <w:top w:val="nil"/>
              <w:left w:val="nil"/>
              <w:bottom w:val="single" w:color="000000" w:sz="6" w:space="0"/>
              <w:right w:val="nil"/>
            </w:tcBorders>
            <w:tcMar>
              <w:top w:w="57" w:type="dxa"/>
              <w:left w:w="0" w:type="dxa"/>
              <w:bottom w:w="57" w:type="dxa"/>
              <w:right w:w="0" w:type="dxa"/>
            </w:tcMar>
          </w:tcPr>
          <w:p w:rsidRPr="00CC210C" w:rsidR="00047807" w:rsidP="00047807" w:rsidRDefault="00047807" w14:paraId="5FC515C1" w14:textId="77777777">
            <w:pPr>
              <w:spacing w:after="0"/>
              <w:jc w:val="right"/>
              <w:rPr>
                <w:b/>
                <w:sz w:val="16"/>
                <w:szCs w:val="16"/>
              </w:rPr>
            </w:pPr>
          </w:p>
        </w:tc>
        <w:tc>
          <w:tcPr>
            <w:tcW w:w="1417" w:type="dxa"/>
            <w:tcBorders>
              <w:top w:val="nil"/>
              <w:left w:val="nil"/>
              <w:bottom w:val="single" w:color="000000" w:sz="6" w:space="0"/>
              <w:right w:val="nil"/>
            </w:tcBorders>
            <w:tcMar>
              <w:top w:w="57" w:type="dxa"/>
              <w:left w:w="0" w:type="dxa"/>
              <w:bottom w:w="57" w:type="dxa"/>
              <w:right w:w="0" w:type="dxa"/>
            </w:tcMar>
          </w:tcPr>
          <w:p w:rsidRPr="00CC210C" w:rsidR="00047807" w:rsidP="00047807" w:rsidRDefault="00047807" w14:paraId="26E08766" w14:textId="77777777">
            <w:pPr>
              <w:spacing w:after="0"/>
              <w:jc w:val="right"/>
              <w:rPr>
                <w:b/>
                <w:sz w:val="16"/>
                <w:szCs w:val="16"/>
              </w:rPr>
            </w:pPr>
            <w:r w:rsidRPr="00CC210C">
              <w:rPr>
                <w:b/>
                <w:sz w:val="16"/>
                <w:szCs w:val="16"/>
              </w:rPr>
              <w:t>($ thousand)</w:t>
            </w:r>
          </w:p>
        </w:tc>
      </w:tr>
      <w:tr w:rsidRPr="00CC210C" w:rsidR="00047807" w:rsidTr="00CC210C" w14:paraId="09859F63" w14:textId="77777777">
        <w:trPr>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CC210C" w:rsidR="00047807" w:rsidP="00047807" w:rsidRDefault="00047807" w14:paraId="212CA11C" w14:textId="77777777">
            <w:pPr>
              <w:spacing w:after="0"/>
              <w:rPr>
                <w:b/>
                <w:sz w:val="16"/>
                <w:szCs w:val="16"/>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210C" w:rsidR="00047807" w:rsidP="00047807" w:rsidRDefault="00047807" w14:paraId="482D862A" w14:textId="77777777">
            <w:pPr>
              <w:spacing w:after="0"/>
              <w:jc w:val="right"/>
              <w:rPr>
                <w:b/>
                <w:sz w:val="16"/>
                <w:szCs w:val="16"/>
              </w:rPr>
            </w:pPr>
            <w:r w:rsidRPr="00CC210C">
              <w:rPr>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CC210C" w:rsidR="00047807" w:rsidP="00047807" w:rsidRDefault="00047807" w14:paraId="1580CEAE" w14:textId="77777777">
            <w:pPr>
              <w:spacing w:after="0"/>
              <w:jc w:val="right"/>
              <w:rPr>
                <w:b/>
                <w:sz w:val="16"/>
                <w:szCs w:val="16"/>
              </w:rPr>
            </w:pPr>
            <w:r w:rsidRPr="00CC210C">
              <w:rPr>
                <w:b/>
                <w:sz w:val="16"/>
                <w:szCs w:val="16"/>
              </w:rPr>
              <w:t>2018</w:t>
            </w:r>
          </w:p>
        </w:tc>
      </w:tr>
      <w:tr w:rsidRPr="00047807" w:rsidR="00047807" w:rsidTr="00CC210C" w14:paraId="051253AC" w14:textId="77777777">
        <w:tc>
          <w:tcPr>
            <w:tcW w:w="7087" w:type="dxa"/>
            <w:tcBorders>
              <w:top w:val="single" w:color="000000" w:sz="6" w:space="0"/>
              <w:left w:val="nil"/>
              <w:bottom w:val="nil"/>
              <w:right w:val="nil"/>
            </w:tcBorders>
            <w:tcMar>
              <w:top w:w="57" w:type="dxa"/>
              <w:left w:w="0" w:type="dxa"/>
              <w:bottom w:w="57" w:type="dxa"/>
              <w:right w:w="0" w:type="dxa"/>
            </w:tcMar>
          </w:tcPr>
          <w:p w:rsidRPr="00047807" w:rsidR="00047807" w:rsidP="00047807" w:rsidRDefault="00047807" w14:paraId="664058F4" w14:textId="77777777">
            <w:pPr>
              <w:spacing w:after="0"/>
              <w:rPr>
                <w:sz w:val="16"/>
                <w:szCs w:val="16"/>
              </w:rPr>
            </w:pPr>
            <w:r w:rsidRPr="00047807">
              <w:rPr>
                <w:sz w:val="16"/>
                <w:szCs w:val="16"/>
              </w:rPr>
              <w:t>Salary and wages</w:t>
            </w:r>
          </w:p>
        </w:tc>
        <w:tc>
          <w:tcPr>
            <w:tcW w:w="1417" w:type="dxa"/>
            <w:tcBorders>
              <w:top w:val="single" w:color="000000" w:sz="6" w:space="0"/>
              <w:left w:val="nil"/>
              <w:bottom w:val="nil"/>
              <w:right w:val="nil"/>
            </w:tcBorders>
            <w:tcMar>
              <w:top w:w="57" w:type="dxa"/>
              <w:left w:w="0" w:type="dxa"/>
              <w:bottom w:w="57" w:type="dxa"/>
              <w:right w:w="0" w:type="dxa"/>
            </w:tcMar>
          </w:tcPr>
          <w:p w:rsidRPr="00047807" w:rsidR="00047807" w:rsidP="00047807" w:rsidRDefault="00047807" w14:paraId="4DA16720" w14:textId="77777777">
            <w:pPr>
              <w:spacing w:after="0"/>
              <w:jc w:val="right"/>
              <w:rPr>
                <w:sz w:val="16"/>
                <w:szCs w:val="16"/>
              </w:rPr>
            </w:pPr>
            <w:r w:rsidRPr="00047807">
              <w:rPr>
                <w:sz w:val="16"/>
                <w:szCs w:val="16"/>
              </w:rPr>
              <w:t xml:space="preserve">791,823 </w:t>
            </w:r>
          </w:p>
        </w:tc>
        <w:tc>
          <w:tcPr>
            <w:tcW w:w="1417" w:type="dxa"/>
            <w:tcBorders>
              <w:top w:val="single" w:color="000000" w:sz="6" w:space="0"/>
              <w:left w:val="nil"/>
              <w:bottom w:val="nil"/>
              <w:right w:val="nil"/>
            </w:tcBorders>
            <w:tcMar>
              <w:top w:w="57" w:type="dxa"/>
              <w:left w:w="0" w:type="dxa"/>
              <w:bottom w:w="57" w:type="dxa"/>
              <w:right w:w="0" w:type="dxa"/>
            </w:tcMar>
          </w:tcPr>
          <w:p w:rsidRPr="00047807" w:rsidR="00047807" w:rsidP="00047807" w:rsidRDefault="00047807" w14:paraId="43FE1256" w14:textId="77777777">
            <w:pPr>
              <w:spacing w:after="0"/>
              <w:jc w:val="right"/>
              <w:rPr>
                <w:sz w:val="16"/>
                <w:szCs w:val="16"/>
              </w:rPr>
            </w:pPr>
            <w:r w:rsidRPr="00047807">
              <w:rPr>
                <w:sz w:val="16"/>
                <w:szCs w:val="16"/>
              </w:rPr>
              <w:t xml:space="preserve">719,502 </w:t>
            </w:r>
          </w:p>
        </w:tc>
      </w:tr>
      <w:tr w:rsidRPr="00047807" w:rsidR="00047807" w:rsidTr="00CC210C" w14:paraId="5D871FD5" w14:textId="77777777">
        <w:tc>
          <w:tcPr>
            <w:tcW w:w="7087" w:type="dxa"/>
            <w:tcBorders>
              <w:top w:val="nil"/>
              <w:left w:val="nil"/>
              <w:bottom w:val="nil"/>
              <w:right w:val="nil"/>
            </w:tcBorders>
            <w:tcMar>
              <w:top w:w="57" w:type="dxa"/>
              <w:left w:w="0" w:type="dxa"/>
              <w:bottom w:w="57" w:type="dxa"/>
              <w:right w:w="0" w:type="dxa"/>
            </w:tcMar>
          </w:tcPr>
          <w:p w:rsidRPr="00047807" w:rsidR="00047807" w:rsidP="00047807" w:rsidRDefault="00047807" w14:paraId="2B20AC93" w14:textId="77777777">
            <w:pPr>
              <w:spacing w:after="0"/>
              <w:rPr>
                <w:sz w:val="16"/>
                <w:szCs w:val="16"/>
              </w:rPr>
            </w:pPr>
            <w:r w:rsidRPr="00047807">
              <w:rPr>
                <w:sz w:val="16"/>
                <w:szCs w:val="16"/>
              </w:rPr>
              <w:t>Superannuation</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1F895AFF" w14:textId="77777777">
            <w:pPr>
              <w:spacing w:after="0"/>
              <w:jc w:val="right"/>
              <w:rPr>
                <w:sz w:val="16"/>
                <w:szCs w:val="16"/>
              </w:rPr>
            </w:pPr>
            <w:r w:rsidRPr="00047807">
              <w:rPr>
                <w:sz w:val="16"/>
                <w:szCs w:val="16"/>
              </w:rPr>
              <w:t xml:space="preserve">78,321 </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7374A912" w14:textId="77777777">
            <w:pPr>
              <w:spacing w:after="0"/>
              <w:jc w:val="right"/>
              <w:rPr>
                <w:sz w:val="16"/>
                <w:szCs w:val="16"/>
              </w:rPr>
            </w:pPr>
            <w:r w:rsidRPr="00047807">
              <w:rPr>
                <w:sz w:val="16"/>
                <w:szCs w:val="16"/>
              </w:rPr>
              <w:t xml:space="preserve">71,020 </w:t>
            </w:r>
          </w:p>
        </w:tc>
      </w:tr>
      <w:tr w:rsidRPr="00047807" w:rsidR="00047807" w:rsidTr="00CC210C" w14:paraId="4C134EF2" w14:textId="77777777">
        <w:tc>
          <w:tcPr>
            <w:tcW w:w="7087" w:type="dxa"/>
            <w:tcBorders>
              <w:top w:val="nil"/>
              <w:left w:val="nil"/>
              <w:bottom w:val="nil"/>
              <w:right w:val="nil"/>
            </w:tcBorders>
            <w:tcMar>
              <w:top w:w="57" w:type="dxa"/>
              <w:left w:w="0" w:type="dxa"/>
              <w:bottom w:w="57" w:type="dxa"/>
              <w:right w:w="0" w:type="dxa"/>
            </w:tcMar>
          </w:tcPr>
          <w:p w:rsidRPr="00047807" w:rsidR="00047807" w:rsidP="00047807" w:rsidRDefault="00047807" w14:paraId="23DD17CE" w14:textId="77777777">
            <w:pPr>
              <w:spacing w:after="0"/>
              <w:rPr>
                <w:sz w:val="16"/>
                <w:szCs w:val="16"/>
              </w:rPr>
            </w:pPr>
            <w:r w:rsidRPr="00047807">
              <w:rPr>
                <w:sz w:val="16"/>
                <w:szCs w:val="16"/>
              </w:rPr>
              <w:t>Annual leave and long service leave</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73E7031D" w14:textId="77777777">
            <w:pPr>
              <w:spacing w:after="0"/>
              <w:jc w:val="right"/>
              <w:rPr>
                <w:sz w:val="16"/>
                <w:szCs w:val="16"/>
              </w:rPr>
            </w:pPr>
            <w:r w:rsidRPr="00047807">
              <w:rPr>
                <w:sz w:val="16"/>
                <w:szCs w:val="16"/>
              </w:rPr>
              <w:t xml:space="preserve">107,909 </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006F621B" w14:textId="77777777">
            <w:pPr>
              <w:spacing w:after="0"/>
              <w:jc w:val="right"/>
              <w:rPr>
                <w:sz w:val="16"/>
                <w:szCs w:val="16"/>
              </w:rPr>
            </w:pPr>
            <w:r w:rsidRPr="00047807">
              <w:rPr>
                <w:sz w:val="16"/>
                <w:szCs w:val="16"/>
              </w:rPr>
              <w:t xml:space="preserve">96,960 </w:t>
            </w:r>
          </w:p>
        </w:tc>
      </w:tr>
      <w:tr w:rsidRPr="00047807" w:rsidR="00047807" w:rsidTr="00CC210C" w14:paraId="000DC2BA" w14:textId="77777777">
        <w:tc>
          <w:tcPr>
            <w:tcW w:w="7087" w:type="dxa"/>
            <w:tcBorders>
              <w:top w:val="nil"/>
              <w:left w:val="nil"/>
              <w:bottom w:val="nil"/>
              <w:right w:val="nil"/>
            </w:tcBorders>
            <w:tcMar>
              <w:top w:w="57" w:type="dxa"/>
              <w:left w:w="0" w:type="dxa"/>
              <w:bottom w:w="57" w:type="dxa"/>
              <w:right w:w="0" w:type="dxa"/>
            </w:tcMar>
          </w:tcPr>
          <w:p w:rsidRPr="00047807" w:rsidR="00047807" w:rsidP="00047807" w:rsidRDefault="00047807" w14:paraId="1BC8690B" w14:textId="77777777">
            <w:pPr>
              <w:spacing w:after="0"/>
              <w:rPr>
                <w:sz w:val="16"/>
                <w:szCs w:val="16"/>
              </w:rPr>
            </w:pPr>
            <w:r w:rsidRPr="00047807">
              <w:rPr>
                <w:sz w:val="16"/>
                <w:szCs w:val="16"/>
              </w:rPr>
              <w:t xml:space="preserve">Other on-costs (fringe benefits tax, payroll tax and </w:t>
            </w:r>
            <w:proofErr w:type="spellStart"/>
            <w:r w:rsidRPr="00047807">
              <w:rPr>
                <w:sz w:val="16"/>
                <w:szCs w:val="16"/>
              </w:rPr>
              <w:t>workcover</w:t>
            </w:r>
            <w:proofErr w:type="spellEnd"/>
            <w:r w:rsidRPr="00047807">
              <w:rPr>
                <w:sz w:val="16"/>
                <w:szCs w:val="16"/>
              </w:rPr>
              <w:t xml:space="preserve"> levy)</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727282BD" w14:textId="77777777">
            <w:pPr>
              <w:spacing w:after="0"/>
              <w:jc w:val="right"/>
              <w:rPr>
                <w:sz w:val="16"/>
                <w:szCs w:val="16"/>
              </w:rPr>
            </w:pPr>
            <w:r w:rsidRPr="00047807">
              <w:rPr>
                <w:sz w:val="16"/>
                <w:szCs w:val="16"/>
              </w:rPr>
              <w:t xml:space="preserve">82,434 </w:t>
            </w:r>
          </w:p>
        </w:tc>
        <w:tc>
          <w:tcPr>
            <w:tcW w:w="1417" w:type="dxa"/>
            <w:tcBorders>
              <w:top w:val="nil"/>
              <w:left w:val="nil"/>
              <w:bottom w:val="nil"/>
              <w:right w:val="nil"/>
            </w:tcBorders>
            <w:tcMar>
              <w:top w:w="57" w:type="dxa"/>
              <w:left w:w="0" w:type="dxa"/>
              <w:bottom w:w="57" w:type="dxa"/>
              <w:right w:w="0" w:type="dxa"/>
            </w:tcMar>
          </w:tcPr>
          <w:p w:rsidRPr="00047807" w:rsidR="00047807" w:rsidP="00047807" w:rsidRDefault="00047807" w14:paraId="2E0E9242" w14:textId="77777777">
            <w:pPr>
              <w:spacing w:after="0"/>
              <w:jc w:val="right"/>
              <w:rPr>
                <w:sz w:val="16"/>
                <w:szCs w:val="16"/>
              </w:rPr>
            </w:pPr>
            <w:r w:rsidRPr="00047807">
              <w:rPr>
                <w:sz w:val="16"/>
                <w:szCs w:val="16"/>
              </w:rPr>
              <w:t xml:space="preserve">73,010 </w:t>
            </w:r>
          </w:p>
        </w:tc>
      </w:tr>
      <w:tr w:rsidRPr="00047807" w:rsidR="00047807" w:rsidTr="00CC210C" w14:paraId="70EB7AD8" w14:textId="77777777">
        <w:tc>
          <w:tcPr>
            <w:tcW w:w="7087" w:type="dxa"/>
            <w:tcBorders>
              <w:top w:val="nil"/>
              <w:left w:val="nil"/>
              <w:bottom w:val="single" w:color="000000" w:sz="6" w:space="0"/>
              <w:right w:val="nil"/>
            </w:tcBorders>
            <w:tcMar>
              <w:top w:w="57" w:type="dxa"/>
              <w:left w:w="0" w:type="dxa"/>
              <w:bottom w:w="57" w:type="dxa"/>
              <w:right w:w="0" w:type="dxa"/>
            </w:tcMar>
          </w:tcPr>
          <w:p w:rsidRPr="00047807" w:rsidR="00047807" w:rsidP="00047807" w:rsidRDefault="00047807" w14:paraId="2AF3F765" w14:textId="77777777">
            <w:pPr>
              <w:spacing w:after="0"/>
              <w:rPr>
                <w:sz w:val="16"/>
                <w:szCs w:val="16"/>
              </w:rPr>
            </w:pPr>
            <w:r w:rsidRPr="00047807">
              <w:rPr>
                <w:sz w:val="16"/>
                <w:szCs w:val="16"/>
              </w:rPr>
              <w:t>Termination benefits</w:t>
            </w:r>
          </w:p>
        </w:tc>
        <w:tc>
          <w:tcPr>
            <w:tcW w:w="1417" w:type="dxa"/>
            <w:tcBorders>
              <w:top w:val="nil"/>
              <w:left w:val="nil"/>
              <w:bottom w:val="single" w:color="000000" w:sz="6" w:space="0"/>
              <w:right w:val="nil"/>
            </w:tcBorders>
            <w:tcMar>
              <w:top w:w="57" w:type="dxa"/>
              <w:left w:w="0" w:type="dxa"/>
              <w:bottom w:w="57" w:type="dxa"/>
              <w:right w:w="0" w:type="dxa"/>
            </w:tcMar>
          </w:tcPr>
          <w:p w:rsidRPr="00047807" w:rsidR="00047807" w:rsidP="00047807" w:rsidRDefault="00047807" w14:paraId="6C669C68" w14:textId="77777777">
            <w:pPr>
              <w:spacing w:after="0"/>
              <w:jc w:val="right"/>
              <w:rPr>
                <w:sz w:val="16"/>
                <w:szCs w:val="16"/>
              </w:rPr>
            </w:pPr>
            <w:r w:rsidRPr="00047807">
              <w:rPr>
                <w:sz w:val="16"/>
                <w:szCs w:val="16"/>
              </w:rPr>
              <w:t xml:space="preserve">2,349 </w:t>
            </w:r>
          </w:p>
        </w:tc>
        <w:tc>
          <w:tcPr>
            <w:tcW w:w="1417" w:type="dxa"/>
            <w:tcBorders>
              <w:top w:val="nil"/>
              <w:left w:val="nil"/>
              <w:bottom w:val="single" w:color="000000" w:sz="6" w:space="0"/>
              <w:right w:val="nil"/>
            </w:tcBorders>
            <w:tcMar>
              <w:top w:w="57" w:type="dxa"/>
              <w:left w:w="0" w:type="dxa"/>
              <w:bottom w:w="57" w:type="dxa"/>
              <w:right w:w="0" w:type="dxa"/>
            </w:tcMar>
          </w:tcPr>
          <w:p w:rsidRPr="00047807" w:rsidR="00047807" w:rsidP="00047807" w:rsidRDefault="00047807" w14:paraId="378B2A88" w14:textId="77777777">
            <w:pPr>
              <w:spacing w:after="0"/>
              <w:jc w:val="right"/>
              <w:rPr>
                <w:sz w:val="16"/>
                <w:szCs w:val="16"/>
              </w:rPr>
            </w:pPr>
            <w:r w:rsidRPr="00047807">
              <w:rPr>
                <w:sz w:val="16"/>
                <w:szCs w:val="16"/>
              </w:rPr>
              <w:t xml:space="preserve">839 </w:t>
            </w:r>
          </w:p>
        </w:tc>
      </w:tr>
      <w:tr w:rsidRPr="00047807" w:rsidR="00047807" w:rsidTr="00CC210C" w14:paraId="47CBD01B"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47807" w:rsidR="00047807" w:rsidP="00047807" w:rsidRDefault="00047807" w14:paraId="14D4AFB3" w14:textId="77777777">
            <w:pPr>
              <w:spacing w:after="0"/>
              <w:rPr>
                <w:b/>
                <w:sz w:val="16"/>
                <w:szCs w:val="16"/>
              </w:rPr>
            </w:pPr>
            <w:r w:rsidRPr="00047807">
              <w:rPr>
                <w:b/>
                <w:sz w:val="16"/>
                <w:szCs w:val="16"/>
              </w:rPr>
              <w:t>Total employee benefit expense</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47807" w:rsidR="00047807" w:rsidP="00047807" w:rsidRDefault="00047807" w14:paraId="3E6529FD" w14:textId="77777777">
            <w:pPr>
              <w:spacing w:after="0"/>
              <w:jc w:val="right"/>
              <w:rPr>
                <w:b/>
                <w:sz w:val="16"/>
                <w:szCs w:val="16"/>
              </w:rPr>
            </w:pPr>
            <w:r w:rsidRPr="00047807">
              <w:rPr>
                <w:b/>
                <w:sz w:val="16"/>
                <w:szCs w:val="16"/>
              </w:rPr>
              <w:t xml:space="preserve">1,062,836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47807" w:rsidR="00047807" w:rsidP="00047807" w:rsidRDefault="00047807" w14:paraId="4A089F15" w14:textId="77777777">
            <w:pPr>
              <w:spacing w:after="0"/>
              <w:jc w:val="right"/>
              <w:rPr>
                <w:b/>
                <w:sz w:val="16"/>
                <w:szCs w:val="16"/>
              </w:rPr>
            </w:pPr>
            <w:r w:rsidRPr="00047807">
              <w:rPr>
                <w:b/>
                <w:sz w:val="16"/>
                <w:szCs w:val="16"/>
              </w:rPr>
              <w:t xml:space="preserve">961,331 </w:t>
            </w:r>
          </w:p>
        </w:tc>
      </w:tr>
    </w:tbl>
    <w:p w:rsidRPr="00047807" w:rsidR="00047807" w:rsidP="00047807" w:rsidRDefault="00047807" w14:paraId="78FA1D31" w14:textId="77777777">
      <w:r w:rsidRPr="00047807">
        <w:rPr>
          <w:b/>
        </w:rPr>
        <w:t>Employee benefit expense</w:t>
      </w:r>
      <w:r w:rsidRPr="00047807">
        <w:t xml:space="preserve"> includes all costs related to employment including wages and salaries, fringe benefits tax, leave entitlements, termination payments and </w:t>
      </w:r>
      <w:proofErr w:type="spellStart"/>
      <w:r w:rsidRPr="00047807">
        <w:t>WorkCover</w:t>
      </w:r>
      <w:proofErr w:type="spellEnd"/>
      <w:r w:rsidRPr="00047807">
        <w:t xml:space="preserve"> premiums.</w:t>
      </w:r>
    </w:p>
    <w:p w:rsidRPr="00047807" w:rsidR="00047807" w:rsidP="00047807" w:rsidRDefault="00047807" w14:paraId="2E3ECCEC" w14:textId="77777777">
      <w:r w:rsidRPr="00047807">
        <w:t>The amount recognised in the comprehensive operating statement in relation to superannuation is employer contributions for members of both defined benefit and defined contribution superannuation plans that are paid or payable during the reporting period.  The department does not recognise any defined benefit liabilities because it has no legal or constructive obligation to pay future benefits relating to its employees.  Instead, the Department of Treasury and Finance discloses in its annual financial statements the net defined benefit cost related to the members of these plans as an administered liability (on behalf of the State as the sponsoring employer).</w:t>
      </w:r>
    </w:p>
    <w:p w:rsidRPr="00047807" w:rsidR="00047807" w:rsidP="00047807" w:rsidRDefault="00047807" w14:paraId="3A4857C5" w14:textId="77777777">
      <w:r w:rsidRPr="00047807">
        <w:t>Termination benefits are payable when employment is terminated before normal retirement date, or when an employee accepts an offer of benefits in exchange for the termination of employment.  Termination benefits are recognised when the department is demonstrably committed to terminating the employment of current employees according to a detailed formal plan without possibility of withdrawal or providing termination benefits as a result of an offer made to encourage voluntary redundancy.</w:t>
      </w:r>
    </w:p>
    <w:p w:rsidRPr="00080B04" w:rsidR="00047807" w:rsidP="00080B04" w:rsidRDefault="00047807" w14:paraId="045BF8D6" w14:textId="77777777">
      <w:pPr>
        <w:pStyle w:val="Heading4"/>
      </w:pPr>
      <w:r w:rsidRPr="00080B04">
        <w:t>3.2.2 Employee benefit provisions in the balance sheet</w:t>
      </w:r>
    </w:p>
    <w:p w:rsidRPr="00047807" w:rsidR="00047807" w:rsidP="00047807" w:rsidRDefault="00047807" w14:paraId="79BC40D3" w14:textId="4537C544">
      <w:r w:rsidRPr="00047807">
        <w:t>Provision is made for benefits accruing to employees in respect of annual leave and long service leave for services rendered to the reporting date and recorded as an expense during the period the services are delivered.</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080B04" w:rsidR="00047807" w:rsidTr="00CC210C" w14:paraId="21DDA30D" w14:textId="77777777">
        <w:trPr>
          <w:trHeight w:val="113"/>
          <w:tblHeader/>
        </w:trPr>
        <w:tc>
          <w:tcPr>
            <w:tcW w:w="708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460FCB60" w14:textId="77777777">
            <w:pPr>
              <w:spacing w:after="0"/>
              <w:rPr>
                <w:rFonts w:cs="Arial"/>
                <w:b/>
                <w:sz w:val="16"/>
                <w:szCs w:val="16"/>
              </w:rPr>
            </w:pP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66F9EAEE" w14:textId="77777777">
            <w:pPr>
              <w:spacing w:after="0"/>
              <w:jc w:val="right"/>
              <w:rPr>
                <w:rFonts w:cs="Arial"/>
                <w:b/>
                <w:sz w:val="16"/>
                <w:szCs w:val="16"/>
              </w:rPr>
            </w:pP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1CB68A20" w14:textId="77777777">
            <w:pPr>
              <w:spacing w:after="0"/>
              <w:jc w:val="right"/>
              <w:rPr>
                <w:rFonts w:cs="Arial"/>
                <w:b/>
                <w:sz w:val="16"/>
                <w:szCs w:val="16"/>
              </w:rPr>
            </w:pPr>
            <w:r w:rsidRPr="00080B04">
              <w:rPr>
                <w:rFonts w:cs="Arial"/>
                <w:b/>
                <w:sz w:val="16"/>
                <w:szCs w:val="16"/>
              </w:rPr>
              <w:t>($ thousand)</w:t>
            </w:r>
          </w:p>
        </w:tc>
      </w:tr>
      <w:tr w:rsidRPr="00080B04" w:rsidR="00047807" w:rsidTr="00CC210C" w14:paraId="3EAC2AAB" w14:textId="77777777">
        <w:trPr>
          <w:trHeight w:val="113"/>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4EC4F0C1" w14:textId="77777777">
            <w:pPr>
              <w:spacing w:after="0"/>
              <w:rPr>
                <w:rFonts w:cs="Arial"/>
                <w:b/>
                <w:sz w:val="16"/>
                <w:szCs w:val="16"/>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7454FD71" w14:textId="77777777">
            <w:pPr>
              <w:spacing w:after="0"/>
              <w:jc w:val="right"/>
              <w:rPr>
                <w:rFonts w:cs="Arial"/>
                <w:b/>
                <w:sz w:val="16"/>
                <w:szCs w:val="16"/>
              </w:rPr>
            </w:pPr>
            <w:r w:rsidRPr="00080B04">
              <w:rPr>
                <w:rFonts w:cs="Arial"/>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7B8BD660" w14:textId="77777777">
            <w:pPr>
              <w:spacing w:after="0"/>
              <w:jc w:val="right"/>
              <w:rPr>
                <w:rFonts w:cs="Arial"/>
                <w:b/>
                <w:sz w:val="16"/>
                <w:szCs w:val="16"/>
              </w:rPr>
            </w:pPr>
            <w:r w:rsidRPr="00080B04">
              <w:rPr>
                <w:rFonts w:cs="Arial"/>
                <w:b/>
                <w:sz w:val="16"/>
                <w:szCs w:val="16"/>
              </w:rPr>
              <w:t>2018</w:t>
            </w:r>
          </w:p>
        </w:tc>
      </w:tr>
      <w:tr w:rsidRPr="00080B04" w:rsidR="00047807" w:rsidTr="00CC210C" w14:paraId="6C681B33" w14:textId="77777777">
        <w:trPr>
          <w:trHeight w:val="113"/>
        </w:trPr>
        <w:tc>
          <w:tcPr>
            <w:tcW w:w="708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6DEDBD75" w14:textId="77777777">
            <w:pPr>
              <w:spacing w:after="0"/>
              <w:rPr>
                <w:rFonts w:cs="Arial"/>
                <w:b/>
                <w:sz w:val="16"/>
                <w:szCs w:val="16"/>
              </w:rPr>
            </w:pPr>
            <w:r w:rsidRPr="00080B04">
              <w:rPr>
                <w:rFonts w:cs="Arial"/>
                <w:b/>
                <w:sz w:val="16"/>
                <w:szCs w:val="16"/>
              </w:rPr>
              <w:t>Current provisions</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548A1B74" w14:textId="77777777">
            <w:pPr>
              <w:spacing w:after="0"/>
              <w:jc w:val="right"/>
              <w:rPr>
                <w:rFonts w:cs="Arial"/>
                <w:b/>
                <w:sz w:val="16"/>
                <w:szCs w:val="16"/>
              </w:rPr>
            </w:pP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514C04FC" w14:textId="77777777">
            <w:pPr>
              <w:spacing w:after="0"/>
              <w:jc w:val="right"/>
              <w:rPr>
                <w:rFonts w:cs="Arial"/>
                <w:b/>
                <w:sz w:val="16"/>
                <w:szCs w:val="16"/>
              </w:rPr>
            </w:pPr>
          </w:p>
        </w:tc>
      </w:tr>
      <w:tr w:rsidRPr="00080B04" w:rsidR="00047807" w:rsidTr="00CC210C" w14:paraId="78C0D49E"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70E863B1" w14:textId="77777777">
            <w:pPr>
              <w:spacing w:after="0"/>
              <w:rPr>
                <w:rFonts w:cs="Arial"/>
                <w:b/>
                <w:sz w:val="16"/>
                <w:szCs w:val="16"/>
              </w:rPr>
            </w:pPr>
            <w:r w:rsidRPr="00080B04">
              <w:rPr>
                <w:rFonts w:cs="Arial"/>
                <w:b/>
                <w:sz w:val="16"/>
                <w:szCs w:val="16"/>
              </w:rPr>
              <w:t>Annual leave</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1E457A5C" w14:textId="77777777">
            <w:pPr>
              <w:spacing w:after="0"/>
              <w:jc w:val="right"/>
              <w:rPr>
                <w:rFonts w:cs="Arial"/>
                <w:b/>
                <w:sz w:val="16"/>
                <w:szCs w:val="16"/>
              </w:rPr>
            </w:pP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6A73D50A" w14:textId="77777777">
            <w:pPr>
              <w:spacing w:after="0"/>
              <w:jc w:val="right"/>
              <w:rPr>
                <w:rFonts w:cs="Arial"/>
                <w:b/>
                <w:sz w:val="16"/>
                <w:szCs w:val="16"/>
              </w:rPr>
            </w:pPr>
          </w:p>
        </w:tc>
      </w:tr>
      <w:tr w:rsidRPr="00080B04" w:rsidR="00047807" w:rsidTr="00CC210C" w14:paraId="1BDF4028"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18A9B87F" w14:textId="77777777">
            <w:pPr>
              <w:pStyle w:val="Bullet1"/>
              <w:spacing w:after="0"/>
              <w:rPr>
                <w:sz w:val="16"/>
                <w:szCs w:val="16"/>
              </w:rPr>
            </w:pPr>
            <w:r w:rsidRPr="00080B04">
              <w:rPr>
                <w:sz w:val="16"/>
                <w:szCs w:val="16"/>
              </w:rPr>
              <w:t>Unconditional and expected to settle within 12 months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4217A6CB" w14:textId="77777777">
            <w:pPr>
              <w:spacing w:after="0"/>
              <w:jc w:val="right"/>
              <w:rPr>
                <w:rFonts w:cs="Arial"/>
                <w:sz w:val="16"/>
                <w:szCs w:val="16"/>
              </w:rPr>
            </w:pPr>
            <w:r w:rsidRPr="00080B04">
              <w:rPr>
                <w:rFonts w:cs="Arial"/>
                <w:sz w:val="16"/>
                <w:szCs w:val="16"/>
              </w:rPr>
              <w:t xml:space="preserve">69,139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20669E9A" w14:textId="77777777">
            <w:pPr>
              <w:spacing w:after="0"/>
              <w:jc w:val="right"/>
              <w:rPr>
                <w:rFonts w:cs="Arial"/>
                <w:sz w:val="16"/>
                <w:szCs w:val="16"/>
              </w:rPr>
            </w:pPr>
            <w:r w:rsidRPr="00080B04">
              <w:rPr>
                <w:rFonts w:cs="Arial"/>
                <w:sz w:val="16"/>
                <w:szCs w:val="16"/>
              </w:rPr>
              <w:t xml:space="preserve">63,126 </w:t>
            </w:r>
          </w:p>
        </w:tc>
      </w:tr>
      <w:tr w:rsidRPr="00080B04" w:rsidR="00047807" w:rsidTr="00CC210C" w14:paraId="29612A1F"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5EACF993" w14:textId="77777777">
            <w:pPr>
              <w:pStyle w:val="Bullet1"/>
              <w:spacing w:after="0"/>
              <w:rPr>
                <w:sz w:val="16"/>
                <w:szCs w:val="16"/>
              </w:rPr>
            </w:pPr>
            <w:r w:rsidRPr="00080B04">
              <w:rPr>
                <w:sz w:val="16"/>
                <w:szCs w:val="16"/>
              </w:rPr>
              <w:t>Unconditional and expected to settle after 12 months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2CEF5B57" w14:textId="77777777">
            <w:pPr>
              <w:spacing w:after="0"/>
              <w:jc w:val="right"/>
              <w:rPr>
                <w:rFonts w:cs="Arial"/>
                <w:sz w:val="16"/>
                <w:szCs w:val="16"/>
              </w:rPr>
            </w:pPr>
            <w:r w:rsidRPr="00080B04">
              <w:rPr>
                <w:rFonts w:cs="Arial"/>
                <w:sz w:val="16"/>
                <w:szCs w:val="16"/>
              </w:rPr>
              <w:t xml:space="preserve">9,883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758FD166" w14:textId="77777777">
            <w:pPr>
              <w:spacing w:after="0"/>
              <w:jc w:val="right"/>
              <w:rPr>
                <w:rFonts w:cs="Arial"/>
                <w:sz w:val="16"/>
                <w:szCs w:val="16"/>
              </w:rPr>
            </w:pPr>
            <w:r w:rsidRPr="00080B04">
              <w:rPr>
                <w:rFonts w:cs="Arial"/>
                <w:sz w:val="16"/>
                <w:szCs w:val="16"/>
              </w:rPr>
              <w:t xml:space="preserve">8,801 </w:t>
            </w:r>
          </w:p>
        </w:tc>
      </w:tr>
      <w:tr w:rsidRPr="00080B04" w:rsidR="00047807" w:rsidTr="00CC210C" w14:paraId="704A2F01"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0F99A8AD" w14:textId="77777777">
            <w:pPr>
              <w:spacing w:after="0"/>
              <w:rPr>
                <w:rFonts w:cs="Arial"/>
                <w:b/>
                <w:sz w:val="16"/>
                <w:szCs w:val="16"/>
              </w:rPr>
            </w:pPr>
            <w:r w:rsidRPr="00080B04">
              <w:rPr>
                <w:rFonts w:cs="Arial"/>
                <w:b/>
                <w:sz w:val="16"/>
                <w:szCs w:val="16"/>
              </w:rPr>
              <w:t>Long service leave</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14E8BE48" w14:textId="77777777">
            <w:pPr>
              <w:spacing w:after="0"/>
              <w:jc w:val="right"/>
              <w:rPr>
                <w:rFonts w:cs="Arial"/>
                <w:b/>
                <w:sz w:val="16"/>
                <w:szCs w:val="16"/>
              </w:rPr>
            </w:pP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3FD883EF" w14:textId="77777777">
            <w:pPr>
              <w:spacing w:after="0"/>
              <w:jc w:val="right"/>
              <w:rPr>
                <w:rFonts w:cs="Arial"/>
                <w:b/>
                <w:sz w:val="16"/>
                <w:szCs w:val="16"/>
              </w:rPr>
            </w:pPr>
          </w:p>
        </w:tc>
      </w:tr>
      <w:tr w:rsidRPr="00080B04" w:rsidR="00047807" w:rsidTr="00CC210C" w14:paraId="23743F80"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68FA28A1" w14:textId="77777777">
            <w:pPr>
              <w:pStyle w:val="Bullet1"/>
              <w:spacing w:after="0"/>
              <w:rPr>
                <w:sz w:val="16"/>
                <w:szCs w:val="16"/>
              </w:rPr>
            </w:pPr>
            <w:r w:rsidRPr="00080B04">
              <w:rPr>
                <w:sz w:val="16"/>
                <w:szCs w:val="16"/>
              </w:rPr>
              <w:t>Unconditional and expected to settle within 12 months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5FF59EA6" w14:textId="77777777">
            <w:pPr>
              <w:spacing w:after="0"/>
              <w:jc w:val="right"/>
              <w:rPr>
                <w:rFonts w:cs="Arial"/>
                <w:sz w:val="16"/>
                <w:szCs w:val="16"/>
              </w:rPr>
            </w:pPr>
            <w:r w:rsidRPr="00080B04">
              <w:rPr>
                <w:rFonts w:cs="Arial"/>
                <w:sz w:val="16"/>
                <w:szCs w:val="16"/>
              </w:rPr>
              <w:t xml:space="preserve">10,831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6CD4314D" w14:textId="77777777">
            <w:pPr>
              <w:spacing w:after="0"/>
              <w:jc w:val="right"/>
              <w:rPr>
                <w:rFonts w:cs="Arial"/>
                <w:sz w:val="16"/>
                <w:szCs w:val="16"/>
              </w:rPr>
            </w:pPr>
            <w:r w:rsidRPr="00080B04">
              <w:rPr>
                <w:rFonts w:cs="Arial"/>
                <w:sz w:val="16"/>
                <w:szCs w:val="16"/>
              </w:rPr>
              <w:t xml:space="preserve">9,938 </w:t>
            </w:r>
          </w:p>
        </w:tc>
      </w:tr>
      <w:tr w:rsidRPr="00080B04" w:rsidR="00047807" w:rsidTr="00CC210C" w14:paraId="6A450D09"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3DB4D3F6" w14:textId="77777777">
            <w:pPr>
              <w:pStyle w:val="Bullet1"/>
              <w:spacing w:after="0"/>
              <w:rPr>
                <w:sz w:val="16"/>
                <w:szCs w:val="16"/>
              </w:rPr>
            </w:pPr>
            <w:r w:rsidRPr="00080B04">
              <w:rPr>
                <w:sz w:val="16"/>
                <w:szCs w:val="16"/>
              </w:rPr>
              <w:t>Unconditional and expected to settle after 12 months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5D3462A0" w14:textId="77777777">
            <w:pPr>
              <w:spacing w:after="0"/>
              <w:jc w:val="right"/>
              <w:rPr>
                <w:rFonts w:cs="Arial"/>
                <w:sz w:val="16"/>
                <w:szCs w:val="16"/>
              </w:rPr>
            </w:pPr>
            <w:r w:rsidRPr="00080B04">
              <w:rPr>
                <w:rFonts w:cs="Arial"/>
                <w:sz w:val="16"/>
                <w:szCs w:val="16"/>
              </w:rPr>
              <w:t xml:space="preserve">98,302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3DB8814C" w14:textId="77777777">
            <w:pPr>
              <w:spacing w:after="0"/>
              <w:jc w:val="right"/>
              <w:rPr>
                <w:rFonts w:cs="Arial"/>
                <w:sz w:val="16"/>
                <w:szCs w:val="16"/>
              </w:rPr>
            </w:pPr>
            <w:r w:rsidRPr="00080B04">
              <w:rPr>
                <w:rFonts w:cs="Arial"/>
                <w:sz w:val="16"/>
                <w:szCs w:val="16"/>
              </w:rPr>
              <w:t xml:space="preserve">83,970 </w:t>
            </w:r>
          </w:p>
        </w:tc>
      </w:tr>
      <w:tr w:rsidRPr="00080B04" w:rsidR="00047807" w:rsidTr="00CC210C" w14:paraId="2A2E2DBD" w14:textId="77777777">
        <w:trPr>
          <w:trHeight w:val="113"/>
        </w:trPr>
        <w:tc>
          <w:tcPr>
            <w:tcW w:w="9921" w:type="dxa"/>
            <w:gridSpan w:val="3"/>
            <w:tcBorders>
              <w:top w:val="nil"/>
              <w:left w:val="nil"/>
              <w:bottom w:val="nil"/>
              <w:right w:val="nil"/>
            </w:tcBorders>
            <w:tcMar>
              <w:top w:w="57" w:type="dxa"/>
              <w:left w:w="0" w:type="dxa"/>
              <w:bottom w:w="57" w:type="dxa"/>
              <w:right w:w="0" w:type="dxa"/>
            </w:tcMar>
          </w:tcPr>
          <w:p w:rsidRPr="00080B04" w:rsidR="00047807" w:rsidP="00080B04" w:rsidRDefault="00047807" w14:paraId="7611F698" w14:textId="77777777">
            <w:pPr>
              <w:spacing w:after="0"/>
              <w:rPr>
                <w:rFonts w:cs="Arial"/>
                <w:b/>
                <w:sz w:val="16"/>
                <w:szCs w:val="16"/>
              </w:rPr>
            </w:pPr>
            <w:r w:rsidRPr="00080B04">
              <w:rPr>
                <w:rFonts w:cs="Arial"/>
                <w:b/>
                <w:sz w:val="16"/>
                <w:szCs w:val="16"/>
              </w:rPr>
              <w:t>On-costs</w:t>
            </w:r>
          </w:p>
        </w:tc>
      </w:tr>
      <w:tr w:rsidRPr="00080B04" w:rsidR="00047807" w:rsidTr="00CC210C" w14:paraId="0AE5523D"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489D83B3" w14:textId="77777777">
            <w:pPr>
              <w:pStyle w:val="Bullet1"/>
              <w:spacing w:after="0"/>
              <w:rPr>
                <w:sz w:val="16"/>
                <w:szCs w:val="16"/>
              </w:rPr>
            </w:pPr>
            <w:r w:rsidRPr="00080B04">
              <w:rPr>
                <w:sz w:val="16"/>
                <w:szCs w:val="16"/>
              </w:rPr>
              <w:t>Unconditional and expected to settle within 12 months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5DD25446" w14:textId="77777777">
            <w:pPr>
              <w:spacing w:after="0"/>
              <w:jc w:val="right"/>
              <w:rPr>
                <w:rFonts w:cs="Arial"/>
                <w:sz w:val="16"/>
                <w:szCs w:val="16"/>
              </w:rPr>
            </w:pPr>
            <w:r w:rsidRPr="00080B04">
              <w:rPr>
                <w:rFonts w:cs="Arial"/>
                <w:sz w:val="16"/>
                <w:szCs w:val="16"/>
              </w:rPr>
              <w:t xml:space="preserve">20,725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68F7F0FF" w14:textId="77777777">
            <w:pPr>
              <w:spacing w:after="0"/>
              <w:jc w:val="right"/>
              <w:rPr>
                <w:rFonts w:cs="Arial"/>
                <w:sz w:val="16"/>
                <w:szCs w:val="16"/>
              </w:rPr>
            </w:pPr>
            <w:r w:rsidRPr="00080B04">
              <w:rPr>
                <w:rFonts w:cs="Arial"/>
                <w:sz w:val="16"/>
                <w:szCs w:val="16"/>
              </w:rPr>
              <w:t xml:space="preserve">17,977 </w:t>
            </w:r>
          </w:p>
        </w:tc>
      </w:tr>
      <w:tr w:rsidRPr="00080B04" w:rsidR="00047807" w:rsidTr="00CC210C" w14:paraId="21966AC1" w14:textId="77777777">
        <w:trPr>
          <w:trHeight w:val="113"/>
        </w:trPr>
        <w:tc>
          <w:tcPr>
            <w:tcW w:w="708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1A909B58" w14:textId="77777777">
            <w:pPr>
              <w:pStyle w:val="Bullet1"/>
              <w:spacing w:after="0"/>
              <w:rPr>
                <w:sz w:val="16"/>
                <w:szCs w:val="16"/>
              </w:rPr>
            </w:pPr>
            <w:r w:rsidRPr="00080B04">
              <w:rPr>
                <w:sz w:val="16"/>
                <w:szCs w:val="16"/>
              </w:rPr>
              <w:t>Unconditional and expected to settle after 12 months</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38A446C0" w14:textId="77777777">
            <w:pPr>
              <w:spacing w:after="0"/>
              <w:jc w:val="right"/>
              <w:rPr>
                <w:rFonts w:cs="Arial"/>
                <w:sz w:val="16"/>
                <w:szCs w:val="16"/>
              </w:rPr>
            </w:pPr>
            <w:r w:rsidRPr="00080B04">
              <w:rPr>
                <w:rFonts w:cs="Arial"/>
                <w:sz w:val="16"/>
                <w:szCs w:val="16"/>
              </w:rPr>
              <w:t xml:space="preserve">22,144 </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113B0E0B" w14:textId="77777777">
            <w:pPr>
              <w:spacing w:after="0"/>
              <w:jc w:val="right"/>
              <w:rPr>
                <w:rFonts w:cs="Arial"/>
                <w:sz w:val="16"/>
                <w:szCs w:val="16"/>
              </w:rPr>
            </w:pPr>
            <w:r w:rsidRPr="00080B04">
              <w:rPr>
                <w:rFonts w:cs="Arial"/>
                <w:sz w:val="16"/>
                <w:szCs w:val="16"/>
              </w:rPr>
              <w:t xml:space="preserve">18,130 </w:t>
            </w:r>
          </w:p>
        </w:tc>
      </w:tr>
      <w:tr w:rsidRPr="00080B04" w:rsidR="00047807" w:rsidTr="00CC210C" w14:paraId="7509FF3C" w14:textId="77777777">
        <w:trPr>
          <w:trHeight w:val="113"/>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228A2EC7" w14:textId="77777777">
            <w:pPr>
              <w:spacing w:after="0"/>
              <w:rPr>
                <w:rFonts w:cs="Arial"/>
                <w:b/>
                <w:sz w:val="16"/>
                <w:szCs w:val="16"/>
              </w:rPr>
            </w:pPr>
            <w:r w:rsidRPr="00080B04">
              <w:rPr>
                <w:rFonts w:cs="Arial"/>
                <w:b/>
                <w:sz w:val="16"/>
                <w:szCs w:val="16"/>
              </w:rPr>
              <w:t>Total current provisions for employee benefits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2A3158C5" w14:textId="77777777">
            <w:pPr>
              <w:spacing w:after="0"/>
              <w:jc w:val="right"/>
              <w:rPr>
                <w:rFonts w:cs="Arial"/>
                <w:b/>
                <w:sz w:val="16"/>
                <w:szCs w:val="16"/>
              </w:rPr>
            </w:pPr>
            <w:r w:rsidRPr="00080B04">
              <w:rPr>
                <w:rFonts w:cs="Arial"/>
                <w:b/>
                <w:sz w:val="16"/>
                <w:szCs w:val="16"/>
              </w:rPr>
              <w:t xml:space="preserve">231,024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42273430" w14:textId="77777777">
            <w:pPr>
              <w:spacing w:after="0"/>
              <w:jc w:val="right"/>
              <w:rPr>
                <w:rFonts w:cs="Arial"/>
                <w:b/>
                <w:sz w:val="16"/>
                <w:szCs w:val="16"/>
              </w:rPr>
            </w:pPr>
            <w:r w:rsidRPr="00080B04">
              <w:rPr>
                <w:rFonts w:cs="Arial"/>
                <w:b/>
                <w:sz w:val="16"/>
                <w:szCs w:val="16"/>
              </w:rPr>
              <w:t xml:space="preserve">201,942 </w:t>
            </w:r>
          </w:p>
        </w:tc>
      </w:tr>
      <w:tr w:rsidRPr="00080B04" w:rsidR="00047807" w:rsidTr="00CC210C" w14:paraId="532FD426" w14:textId="77777777">
        <w:trPr>
          <w:trHeight w:val="113"/>
        </w:trPr>
        <w:tc>
          <w:tcPr>
            <w:tcW w:w="708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1B918CEC" w14:textId="77777777">
            <w:pPr>
              <w:spacing w:after="0"/>
              <w:rPr>
                <w:rFonts w:cs="Arial"/>
                <w:b/>
                <w:sz w:val="16"/>
                <w:szCs w:val="16"/>
              </w:rPr>
            </w:pPr>
            <w:r w:rsidRPr="00080B04">
              <w:rPr>
                <w:rFonts w:cs="Arial"/>
                <w:b/>
                <w:sz w:val="16"/>
                <w:szCs w:val="16"/>
              </w:rPr>
              <w:t>Non-current provisions</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39D7F168" w14:textId="77777777">
            <w:pPr>
              <w:spacing w:after="0"/>
              <w:jc w:val="right"/>
              <w:rPr>
                <w:rFonts w:cs="Arial"/>
                <w:b/>
                <w:sz w:val="16"/>
                <w:szCs w:val="16"/>
              </w:rPr>
            </w:pP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2C54FB0C" w14:textId="77777777">
            <w:pPr>
              <w:spacing w:after="0"/>
              <w:jc w:val="right"/>
              <w:rPr>
                <w:rFonts w:cs="Arial"/>
                <w:b/>
                <w:sz w:val="16"/>
                <w:szCs w:val="16"/>
              </w:rPr>
            </w:pPr>
          </w:p>
        </w:tc>
      </w:tr>
      <w:tr w:rsidRPr="00080B04" w:rsidR="00047807" w:rsidTr="00CC210C" w14:paraId="743FFB1D" w14:textId="77777777">
        <w:trPr>
          <w:trHeight w:val="113"/>
        </w:trPr>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6CEA9902" w14:textId="77777777">
            <w:pPr>
              <w:spacing w:after="0"/>
              <w:rPr>
                <w:rFonts w:cs="Arial"/>
                <w:sz w:val="16"/>
                <w:szCs w:val="16"/>
              </w:rPr>
            </w:pPr>
            <w:r w:rsidRPr="00080B04">
              <w:rPr>
                <w:rFonts w:cs="Arial"/>
                <w:sz w:val="16"/>
                <w:szCs w:val="16"/>
              </w:rPr>
              <w:t>Employee benefits</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7EFCCE72" w14:textId="77777777">
            <w:pPr>
              <w:spacing w:after="0"/>
              <w:jc w:val="right"/>
              <w:rPr>
                <w:rFonts w:cs="Arial"/>
                <w:sz w:val="16"/>
                <w:szCs w:val="16"/>
              </w:rPr>
            </w:pPr>
            <w:r w:rsidRPr="00080B04">
              <w:rPr>
                <w:rFonts w:cs="Arial"/>
                <w:sz w:val="16"/>
                <w:szCs w:val="16"/>
              </w:rPr>
              <w:t xml:space="preserve">32,990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4388DAD5" w14:textId="77777777">
            <w:pPr>
              <w:spacing w:after="0"/>
              <w:jc w:val="right"/>
              <w:rPr>
                <w:rFonts w:cs="Arial"/>
                <w:sz w:val="16"/>
                <w:szCs w:val="16"/>
              </w:rPr>
            </w:pPr>
            <w:r w:rsidRPr="00080B04">
              <w:rPr>
                <w:rFonts w:cs="Arial"/>
                <w:sz w:val="16"/>
                <w:szCs w:val="16"/>
              </w:rPr>
              <w:t xml:space="preserve">22,705 </w:t>
            </w:r>
          </w:p>
        </w:tc>
      </w:tr>
      <w:tr w:rsidRPr="00080B04" w:rsidR="00047807" w:rsidTr="00CC210C" w14:paraId="3D3D3E63" w14:textId="77777777">
        <w:trPr>
          <w:trHeight w:val="113"/>
        </w:trPr>
        <w:tc>
          <w:tcPr>
            <w:tcW w:w="708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55916A4A" w14:textId="77777777">
            <w:pPr>
              <w:spacing w:after="0"/>
              <w:rPr>
                <w:rFonts w:cs="Arial"/>
                <w:sz w:val="16"/>
                <w:szCs w:val="16"/>
              </w:rPr>
            </w:pPr>
            <w:r w:rsidRPr="00080B04">
              <w:rPr>
                <w:rFonts w:cs="Arial"/>
                <w:sz w:val="16"/>
                <w:szCs w:val="16"/>
              </w:rPr>
              <w:t>Employee on-costs</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46A7824F" w14:textId="77777777">
            <w:pPr>
              <w:spacing w:after="0"/>
              <w:jc w:val="right"/>
              <w:rPr>
                <w:rFonts w:cs="Arial"/>
                <w:sz w:val="16"/>
                <w:szCs w:val="16"/>
              </w:rPr>
            </w:pPr>
            <w:r w:rsidRPr="00080B04">
              <w:rPr>
                <w:rFonts w:cs="Arial"/>
                <w:sz w:val="16"/>
                <w:szCs w:val="16"/>
              </w:rPr>
              <w:t xml:space="preserve">6,301 </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233ED9FB" w14:textId="77777777">
            <w:pPr>
              <w:spacing w:after="0"/>
              <w:jc w:val="right"/>
              <w:rPr>
                <w:rFonts w:cs="Arial"/>
                <w:sz w:val="16"/>
                <w:szCs w:val="16"/>
              </w:rPr>
            </w:pPr>
            <w:r w:rsidRPr="00080B04">
              <w:rPr>
                <w:rFonts w:cs="Arial"/>
                <w:sz w:val="16"/>
                <w:szCs w:val="16"/>
              </w:rPr>
              <w:t xml:space="preserve">4,116 </w:t>
            </w:r>
          </w:p>
        </w:tc>
      </w:tr>
      <w:tr w:rsidRPr="00080B04" w:rsidR="00047807" w:rsidTr="00CC210C" w14:paraId="265F8C50" w14:textId="77777777">
        <w:trPr>
          <w:trHeight w:val="113"/>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718F2B63" w14:textId="77777777">
            <w:pPr>
              <w:spacing w:after="0"/>
              <w:rPr>
                <w:rFonts w:cs="Arial"/>
                <w:b/>
                <w:sz w:val="16"/>
                <w:szCs w:val="16"/>
              </w:rPr>
            </w:pPr>
            <w:r w:rsidRPr="00080B04">
              <w:rPr>
                <w:rFonts w:cs="Arial"/>
                <w:b/>
                <w:sz w:val="16"/>
                <w:szCs w:val="16"/>
              </w:rPr>
              <w:t>Total non-current provisions for employee benefits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1C80637D" w14:textId="77777777">
            <w:pPr>
              <w:spacing w:after="0"/>
              <w:jc w:val="right"/>
              <w:rPr>
                <w:rFonts w:cs="Arial"/>
                <w:b/>
                <w:sz w:val="16"/>
                <w:szCs w:val="16"/>
              </w:rPr>
            </w:pPr>
            <w:r w:rsidRPr="00080B04">
              <w:rPr>
                <w:rFonts w:cs="Arial"/>
                <w:b/>
                <w:sz w:val="16"/>
                <w:szCs w:val="16"/>
              </w:rPr>
              <w:t xml:space="preserve">39,291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047562E5" w14:textId="77777777">
            <w:pPr>
              <w:spacing w:after="0"/>
              <w:jc w:val="right"/>
              <w:rPr>
                <w:rFonts w:cs="Arial"/>
                <w:b/>
                <w:sz w:val="16"/>
                <w:szCs w:val="16"/>
              </w:rPr>
            </w:pPr>
            <w:r w:rsidRPr="00080B04">
              <w:rPr>
                <w:rFonts w:cs="Arial"/>
                <w:b/>
                <w:sz w:val="16"/>
                <w:szCs w:val="16"/>
              </w:rPr>
              <w:t xml:space="preserve">26,821 </w:t>
            </w:r>
          </w:p>
        </w:tc>
      </w:tr>
      <w:tr w:rsidRPr="00080B04" w:rsidR="00047807" w:rsidTr="00CC210C" w14:paraId="482D87E6" w14:textId="77777777">
        <w:trPr>
          <w:trHeight w:val="113"/>
        </w:trPr>
        <w:tc>
          <w:tcPr>
            <w:tcW w:w="7087" w:type="dxa"/>
            <w:tcBorders>
              <w:top w:val="single" w:color="000000" w:sz="6" w:space="0"/>
              <w:left w:val="nil"/>
              <w:bottom w:val="single" w:color="000000" w:sz="12" w:space="0"/>
              <w:right w:val="nil"/>
            </w:tcBorders>
            <w:tcMar>
              <w:top w:w="57" w:type="dxa"/>
              <w:left w:w="0" w:type="dxa"/>
              <w:bottom w:w="57" w:type="dxa"/>
              <w:right w:w="0" w:type="dxa"/>
            </w:tcMar>
          </w:tcPr>
          <w:p w:rsidRPr="00080B04" w:rsidR="00047807" w:rsidP="00080B04" w:rsidRDefault="00047807" w14:paraId="3A96977A" w14:textId="77777777">
            <w:pPr>
              <w:spacing w:after="0"/>
              <w:rPr>
                <w:rFonts w:cs="Arial"/>
                <w:b/>
                <w:sz w:val="16"/>
                <w:szCs w:val="16"/>
              </w:rPr>
            </w:pPr>
            <w:r w:rsidRPr="00080B04">
              <w:rPr>
                <w:rFonts w:cs="Arial"/>
                <w:b/>
                <w:sz w:val="16"/>
                <w:szCs w:val="16"/>
              </w:rPr>
              <w:t>Total provisions for employee benefits</w:t>
            </w: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080B04" w:rsidR="00047807" w:rsidP="00080B04" w:rsidRDefault="00047807" w14:paraId="3E3E08EC" w14:textId="77777777">
            <w:pPr>
              <w:spacing w:after="0"/>
              <w:jc w:val="right"/>
              <w:rPr>
                <w:rFonts w:cs="Arial"/>
                <w:b/>
                <w:sz w:val="16"/>
                <w:szCs w:val="16"/>
              </w:rPr>
            </w:pPr>
            <w:r w:rsidRPr="00080B04">
              <w:rPr>
                <w:rFonts w:cs="Arial"/>
                <w:b/>
                <w:sz w:val="16"/>
                <w:szCs w:val="16"/>
              </w:rPr>
              <w:t xml:space="preserve">270,315 </w:t>
            </w:r>
          </w:p>
        </w:tc>
        <w:tc>
          <w:tcPr>
            <w:tcW w:w="1417" w:type="dxa"/>
            <w:tcBorders>
              <w:top w:val="single" w:color="000000" w:sz="6" w:space="0"/>
              <w:left w:val="nil"/>
              <w:bottom w:val="single" w:color="000000" w:sz="12" w:space="0"/>
              <w:right w:val="nil"/>
            </w:tcBorders>
            <w:tcMar>
              <w:top w:w="57" w:type="dxa"/>
              <w:left w:w="0" w:type="dxa"/>
              <w:bottom w:w="57" w:type="dxa"/>
              <w:right w:w="0" w:type="dxa"/>
            </w:tcMar>
          </w:tcPr>
          <w:p w:rsidRPr="00080B04" w:rsidR="00047807" w:rsidP="00080B04" w:rsidRDefault="00047807" w14:paraId="6CE92B43" w14:textId="77777777">
            <w:pPr>
              <w:spacing w:after="0"/>
              <w:jc w:val="right"/>
              <w:rPr>
                <w:rFonts w:cs="Arial"/>
                <w:b/>
                <w:sz w:val="16"/>
                <w:szCs w:val="16"/>
              </w:rPr>
            </w:pPr>
            <w:r w:rsidRPr="00080B04">
              <w:rPr>
                <w:rFonts w:cs="Arial"/>
                <w:b/>
                <w:sz w:val="16"/>
                <w:szCs w:val="16"/>
              </w:rPr>
              <w:t xml:space="preserve">228,763 </w:t>
            </w:r>
          </w:p>
        </w:tc>
      </w:tr>
    </w:tbl>
    <w:p w:rsidR="00080B04" w:rsidRDefault="00080B04" w14:paraId="67128C2B" w14:textId="77777777">
      <w:pPr>
        <w:spacing w:after="0"/>
      </w:pPr>
      <w:r>
        <w:br w:type="page"/>
      </w:r>
    </w:p>
    <w:p w:rsidRPr="00080B04" w:rsidR="00047807" w:rsidP="00047807" w:rsidRDefault="00047807" w14:paraId="40CB4C0E" w14:textId="4D982C1B">
      <w:pPr>
        <w:rPr>
          <w:b/>
          <w:bCs/>
        </w:rPr>
      </w:pPr>
      <w:r w:rsidRPr="00047807">
        <w:rPr>
          <w:b/>
          <w:bCs/>
        </w:rPr>
        <w:lastRenderedPageBreak/>
        <w:t>Reconciliation of movement in employee on-cost provision</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080B04" w:rsidR="00047807" w:rsidTr="00CC210C" w14:paraId="352C30A5" w14:textId="77777777">
        <w:trPr>
          <w:tblHeader/>
        </w:trPr>
        <w:tc>
          <w:tcPr>
            <w:tcW w:w="708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523189E7" w14:textId="77777777">
            <w:pPr>
              <w:spacing w:after="0"/>
              <w:rPr>
                <w:b/>
                <w:sz w:val="16"/>
                <w:szCs w:val="16"/>
              </w:rPr>
            </w:pP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5184546F" w14:textId="77777777">
            <w:pPr>
              <w:spacing w:after="0"/>
              <w:jc w:val="right"/>
              <w:rPr>
                <w:b/>
                <w:sz w:val="16"/>
                <w:szCs w:val="16"/>
              </w:rPr>
            </w:pP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5CA80748" w14:textId="77777777">
            <w:pPr>
              <w:spacing w:after="0"/>
              <w:jc w:val="right"/>
              <w:rPr>
                <w:b/>
                <w:sz w:val="16"/>
                <w:szCs w:val="16"/>
              </w:rPr>
            </w:pPr>
            <w:r w:rsidRPr="00080B04">
              <w:rPr>
                <w:b/>
                <w:sz w:val="16"/>
                <w:szCs w:val="16"/>
              </w:rPr>
              <w:t>($ thousand)</w:t>
            </w:r>
          </w:p>
        </w:tc>
      </w:tr>
      <w:tr w:rsidRPr="00080B04" w:rsidR="00047807" w:rsidTr="00CC210C" w14:paraId="2984A7DF" w14:textId="77777777">
        <w:trPr>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7B52FB76" w14:textId="77777777">
            <w:pPr>
              <w:spacing w:after="0"/>
              <w:rPr>
                <w:b/>
                <w:sz w:val="16"/>
                <w:szCs w:val="16"/>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3985CFAF" w14:textId="77777777">
            <w:pPr>
              <w:spacing w:after="0"/>
              <w:jc w:val="right"/>
              <w:rPr>
                <w:b/>
                <w:sz w:val="16"/>
                <w:szCs w:val="16"/>
              </w:rPr>
            </w:pPr>
            <w:r w:rsidRPr="00080B04">
              <w:rPr>
                <w:b/>
                <w:sz w:val="16"/>
                <w:szCs w:val="16"/>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5D7D431D" w14:textId="77777777">
            <w:pPr>
              <w:spacing w:after="0"/>
              <w:jc w:val="right"/>
              <w:rPr>
                <w:b/>
                <w:sz w:val="16"/>
                <w:szCs w:val="16"/>
              </w:rPr>
            </w:pPr>
            <w:r w:rsidRPr="00080B04">
              <w:rPr>
                <w:b/>
                <w:sz w:val="16"/>
                <w:szCs w:val="16"/>
              </w:rPr>
              <w:t>2018</w:t>
            </w:r>
          </w:p>
        </w:tc>
      </w:tr>
      <w:tr w:rsidRPr="00080B04" w:rsidR="00047807" w:rsidTr="00CC210C" w14:paraId="3E847D54"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6128E4E9" w14:textId="77777777">
            <w:pPr>
              <w:spacing w:after="0"/>
              <w:rPr>
                <w:b/>
                <w:sz w:val="16"/>
                <w:szCs w:val="16"/>
              </w:rPr>
            </w:pPr>
            <w:r w:rsidRPr="00080B04">
              <w:rPr>
                <w:b/>
                <w:sz w:val="16"/>
                <w:szCs w:val="16"/>
              </w:rPr>
              <w:t>Opening balance</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78E2A2BF" w14:textId="77777777">
            <w:pPr>
              <w:spacing w:after="0"/>
              <w:jc w:val="right"/>
              <w:rPr>
                <w:b/>
                <w:sz w:val="16"/>
                <w:szCs w:val="16"/>
              </w:rPr>
            </w:pPr>
            <w:r w:rsidRPr="00080B04">
              <w:rPr>
                <w:b/>
                <w:sz w:val="16"/>
                <w:szCs w:val="16"/>
              </w:rPr>
              <w:t xml:space="preserve">40,223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298A6D01" w14:textId="77777777">
            <w:pPr>
              <w:spacing w:after="0"/>
              <w:jc w:val="right"/>
              <w:rPr>
                <w:b/>
                <w:sz w:val="16"/>
                <w:szCs w:val="16"/>
              </w:rPr>
            </w:pPr>
            <w:r w:rsidRPr="00080B04">
              <w:rPr>
                <w:b/>
                <w:sz w:val="16"/>
                <w:szCs w:val="16"/>
              </w:rPr>
              <w:t xml:space="preserve">35,082 </w:t>
            </w:r>
          </w:p>
        </w:tc>
      </w:tr>
      <w:tr w:rsidRPr="00080B04" w:rsidR="00047807" w:rsidTr="00CC210C" w14:paraId="030338C2" w14:textId="77777777">
        <w:tc>
          <w:tcPr>
            <w:tcW w:w="708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7BC8E1AB" w14:textId="77777777">
            <w:pPr>
              <w:spacing w:after="0"/>
              <w:rPr>
                <w:sz w:val="16"/>
                <w:szCs w:val="16"/>
              </w:rPr>
            </w:pPr>
            <w:r w:rsidRPr="00080B04">
              <w:rPr>
                <w:sz w:val="16"/>
                <w:szCs w:val="16"/>
              </w:rPr>
              <w:t>Additional provisions recognised</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64865B60" w14:textId="77777777">
            <w:pPr>
              <w:spacing w:after="0"/>
              <w:jc w:val="right"/>
              <w:rPr>
                <w:sz w:val="16"/>
                <w:szCs w:val="16"/>
              </w:rPr>
            </w:pPr>
            <w:r w:rsidRPr="00080B04">
              <w:rPr>
                <w:sz w:val="16"/>
                <w:szCs w:val="16"/>
              </w:rPr>
              <w:t xml:space="preserve">25,428 </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116C4E44" w14:textId="77777777">
            <w:pPr>
              <w:spacing w:after="0"/>
              <w:jc w:val="right"/>
              <w:rPr>
                <w:sz w:val="16"/>
                <w:szCs w:val="16"/>
              </w:rPr>
            </w:pPr>
            <w:r w:rsidRPr="00080B04">
              <w:rPr>
                <w:sz w:val="16"/>
                <w:szCs w:val="16"/>
              </w:rPr>
              <w:t xml:space="preserve">24,630 </w:t>
            </w:r>
          </w:p>
        </w:tc>
      </w:tr>
      <w:tr w:rsidRPr="00080B04" w:rsidR="00047807" w:rsidTr="00CC210C" w14:paraId="14A1CC8B" w14:textId="77777777">
        <w:tc>
          <w:tcPr>
            <w:tcW w:w="7087" w:type="dxa"/>
            <w:tcBorders>
              <w:top w:val="nil"/>
              <w:left w:val="nil"/>
              <w:bottom w:val="nil"/>
              <w:right w:val="nil"/>
            </w:tcBorders>
            <w:tcMar>
              <w:top w:w="57" w:type="dxa"/>
              <w:left w:w="0" w:type="dxa"/>
              <w:bottom w:w="57" w:type="dxa"/>
              <w:right w:w="0" w:type="dxa"/>
            </w:tcMar>
          </w:tcPr>
          <w:p w:rsidRPr="00080B04" w:rsidR="00047807" w:rsidP="00080B04" w:rsidRDefault="00047807" w14:paraId="2DA52AD7" w14:textId="77777777">
            <w:pPr>
              <w:spacing w:after="0"/>
              <w:rPr>
                <w:sz w:val="16"/>
                <w:szCs w:val="16"/>
              </w:rPr>
            </w:pPr>
            <w:r w:rsidRPr="00080B04">
              <w:rPr>
                <w:sz w:val="16"/>
                <w:szCs w:val="16"/>
              </w:rPr>
              <w:t>Additions due to transfer in</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34695512" w14:textId="77777777">
            <w:pPr>
              <w:spacing w:after="0"/>
              <w:jc w:val="right"/>
              <w:rPr>
                <w:sz w:val="16"/>
                <w:szCs w:val="16"/>
              </w:rPr>
            </w:pPr>
            <w:r w:rsidRPr="00080B04">
              <w:rPr>
                <w:sz w:val="16"/>
                <w:szCs w:val="16"/>
              </w:rPr>
              <w:t xml:space="preserve">94 </w:t>
            </w:r>
          </w:p>
        </w:tc>
        <w:tc>
          <w:tcPr>
            <w:tcW w:w="1417" w:type="dxa"/>
            <w:tcBorders>
              <w:top w:val="nil"/>
              <w:left w:val="nil"/>
              <w:bottom w:val="nil"/>
              <w:right w:val="nil"/>
            </w:tcBorders>
            <w:tcMar>
              <w:top w:w="57" w:type="dxa"/>
              <w:left w:w="0" w:type="dxa"/>
              <w:bottom w:w="57" w:type="dxa"/>
              <w:right w:w="0" w:type="dxa"/>
            </w:tcMar>
          </w:tcPr>
          <w:p w:rsidRPr="00080B04" w:rsidR="00047807" w:rsidP="00080B04" w:rsidRDefault="00047807" w14:paraId="47F171A6" w14:textId="77777777">
            <w:pPr>
              <w:spacing w:after="0"/>
              <w:jc w:val="right"/>
              <w:rPr>
                <w:sz w:val="16"/>
                <w:szCs w:val="16"/>
              </w:rPr>
            </w:pPr>
            <w:r w:rsidRPr="00080B04">
              <w:rPr>
                <w:sz w:val="16"/>
                <w:szCs w:val="16"/>
              </w:rPr>
              <w:t xml:space="preserve">0 </w:t>
            </w:r>
          </w:p>
        </w:tc>
      </w:tr>
      <w:tr w:rsidRPr="00080B04" w:rsidR="00047807" w:rsidTr="00CC210C" w14:paraId="5BE45979" w14:textId="77777777">
        <w:tc>
          <w:tcPr>
            <w:tcW w:w="708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1E309ECE" w14:textId="77777777">
            <w:pPr>
              <w:spacing w:after="0"/>
              <w:rPr>
                <w:sz w:val="16"/>
                <w:szCs w:val="16"/>
              </w:rPr>
            </w:pPr>
            <w:r w:rsidRPr="00080B04">
              <w:rPr>
                <w:sz w:val="16"/>
                <w:szCs w:val="16"/>
              </w:rPr>
              <w:t>Reductions arising from payments/other sacrifices of future economic benefits</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4A49020D" w14:textId="77777777">
            <w:pPr>
              <w:spacing w:after="0"/>
              <w:jc w:val="right"/>
              <w:rPr>
                <w:sz w:val="16"/>
                <w:szCs w:val="16"/>
              </w:rPr>
            </w:pPr>
            <w:r w:rsidRPr="00080B04">
              <w:rPr>
                <w:sz w:val="16"/>
                <w:szCs w:val="16"/>
              </w:rPr>
              <w:t xml:space="preserve">(16,575) </w:t>
            </w:r>
          </w:p>
        </w:tc>
        <w:tc>
          <w:tcPr>
            <w:tcW w:w="1417" w:type="dxa"/>
            <w:tcBorders>
              <w:top w:val="nil"/>
              <w:left w:val="nil"/>
              <w:bottom w:val="single" w:color="000000" w:sz="6" w:space="0"/>
              <w:right w:val="nil"/>
            </w:tcBorders>
            <w:tcMar>
              <w:top w:w="57" w:type="dxa"/>
              <w:left w:w="0" w:type="dxa"/>
              <w:bottom w:w="57" w:type="dxa"/>
              <w:right w:w="0" w:type="dxa"/>
            </w:tcMar>
          </w:tcPr>
          <w:p w:rsidRPr="00080B04" w:rsidR="00047807" w:rsidP="00080B04" w:rsidRDefault="00047807" w14:paraId="6DE095EB" w14:textId="77777777">
            <w:pPr>
              <w:spacing w:after="0"/>
              <w:jc w:val="right"/>
              <w:rPr>
                <w:sz w:val="16"/>
                <w:szCs w:val="16"/>
              </w:rPr>
            </w:pPr>
            <w:r w:rsidRPr="00080B04">
              <w:rPr>
                <w:sz w:val="16"/>
                <w:szCs w:val="16"/>
              </w:rPr>
              <w:t xml:space="preserve">(19,489) </w:t>
            </w:r>
          </w:p>
        </w:tc>
      </w:tr>
      <w:tr w:rsidRPr="00080B04" w:rsidR="00047807" w:rsidTr="00CC210C" w14:paraId="7C1A2C56"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62494F98" w14:textId="77777777">
            <w:pPr>
              <w:spacing w:after="0"/>
              <w:rPr>
                <w:b/>
                <w:sz w:val="16"/>
                <w:szCs w:val="16"/>
              </w:rPr>
            </w:pPr>
            <w:r w:rsidRPr="00080B04">
              <w:rPr>
                <w:b/>
                <w:sz w:val="16"/>
                <w:szCs w:val="16"/>
              </w:rPr>
              <w:t>Closing balance</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317F75DA" w14:textId="77777777">
            <w:pPr>
              <w:spacing w:after="0"/>
              <w:jc w:val="right"/>
              <w:rPr>
                <w:b/>
                <w:sz w:val="16"/>
                <w:szCs w:val="16"/>
              </w:rPr>
            </w:pPr>
            <w:r w:rsidRPr="00080B04">
              <w:rPr>
                <w:b/>
                <w:sz w:val="16"/>
                <w:szCs w:val="16"/>
              </w:rPr>
              <w:t xml:space="preserve">49,170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080B04" w:rsidR="00047807" w:rsidP="00080B04" w:rsidRDefault="00047807" w14:paraId="01D8FACD" w14:textId="77777777">
            <w:pPr>
              <w:spacing w:after="0"/>
              <w:jc w:val="right"/>
              <w:rPr>
                <w:b/>
                <w:sz w:val="16"/>
                <w:szCs w:val="16"/>
              </w:rPr>
            </w:pPr>
            <w:r w:rsidRPr="00080B04">
              <w:rPr>
                <w:b/>
                <w:sz w:val="16"/>
                <w:szCs w:val="16"/>
              </w:rPr>
              <w:t xml:space="preserve">40,223 </w:t>
            </w:r>
          </w:p>
        </w:tc>
      </w:tr>
      <w:tr w:rsidRPr="00080B04" w:rsidR="00047807" w:rsidTr="00CC210C" w14:paraId="2958EFCE" w14:textId="77777777">
        <w:tc>
          <w:tcPr>
            <w:tcW w:w="708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1323E359" w14:textId="77777777">
            <w:pPr>
              <w:spacing w:after="0"/>
              <w:rPr>
                <w:sz w:val="16"/>
                <w:szCs w:val="16"/>
              </w:rPr>
            </w:pPr>
            <w:r w:rsidRPr="00080B04">
              <w:rPr>
                <w:sz w:val="16"/>
                <w:szCs w:val="16"/>
              </w:rPr>
              <w:t>Current</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62D57A5D" w14:textId="77777777">
            <w:pPr>
              <w:spacing w:after="0"/>
              <w:jc w:val="right"/>
              <w:rPr>
                <w:sz w:val="16"/>
                <w:szCs w:val="16"/>
              </w:rPr>
            </w:pPr>
            <w:r w:rsidRPr="00080B04">
              <w:rPr>
                <w:sz w:val="16"/>
                <w:szCs w:val="16"/>
              </w:rPr>
              <w:t xml:space="preserve">42,869 </w:t>
            </w:r>
          </w:p>
        </w:tc>
        <w:tc>
          <w:tcPr>
            <w:tcW w:w="1417" w:type="dxa"/>
            <w:tcBorders>
              <w:top w:val="single" w:color="000000" w:sz="6" w:space="0"/>
              <w:left w:val="nil"/>
              <w:bottom w:val="nil"/>
              <w:right w:val="nil"/>
            </w:tcBorders>
            <w:tcMar>
              <w:top w:w="57" w:type="dxa"/>
              <w:left w:w="0" w:type="dxa"/>
              <w:bottom w:w="57" w:type="dxa"/>
              <w:right w:w="0" w:type="dxa"/>
            </w:tcMar>
          </w:tcPr>
          <w:p w:rsidRPr="00080B04" w:rsidR="00047807" w:rsidP="00080B04" w:rsidRDefault="00047807" w14:paraId="32C421FF" w14:textId="77777777">
            <w:pPr>
              <w:spacing w:after="0"/>
              <w:jc w:val="right"/>
              <w:rPr>
                <w:sz w:val="16"/>
                <w:szCs w:val="16"/>
              </w:rPr>
            </w:pPr>
            <w:r w:rsidRPr="00080B04">
              <w:rPr>
                <w:sz w:val="16"/>
                <w:szCs w:val="16"/>
              </w:rPr>
              <w:t xml:space="preserve">36,107 </w:t>
            </w:r>
          </w:p>
        </w:tc>
      </w:tr>
      <w:tr w:rsidRPr="00080B04" w:rsidR="00047807" w:rsidTr="00CC210C" w14:paraId="51E73F2D" w14:textId="77777777">
        <w:tc>
          <w:tcPr>
            <w:tcW w:w="7087" w:type="dxa"/>
            <w:tcBorders>
              <w:top w:val="nil"/>
              <w:left w:val="nil"/>
              <w:bottom w:val="single" w:color="000000" w:sz="12" w:space="0"/>
              <w:right w:val="nil"/>
            </w:tcBorders>
            <w:tcMar>
              <w:top w:w="57" w:type="dxa"/>
              <w:left w:w="0" w:type="dxa"/>
              <w:bottom w:w="57" w:type="dxa"/>
              <w:right w:w="0" w:type="dxa"/>
            </w:tcMar>
          </w:tcPr>
          <w:p w:rsidRPr="00080B04" w:rsidR="00047807" w:rsidP="00080B04" w:rsidRDefault="00047807" w14:paraId="53F48634" w14:textId="77777777">
            <w:pPr>
              <w:spacing w:after="0"/>
              <w:rPr>
                <w:sz w:val="16"/>
                <w:szCs w:val="16"/>
              </w:rPr>
            </w:pPr>
            <w:r w:rsidRPr="00080B04">
              <w:rPr>
                <w:sz w:val="16"/>
                <w:szCs w:val="16"/>
              </w:rPr>
              <w:t>Non-current</w:t>
            </w:r>
          </w:p>
        </w:tc>
        <w:tc>
          <w:tcPr>
            <w:tcW w:w="1417" w:type="dxa"/>
            <w:tcBorders>
              <w:top w:val="nil"/>
              <w:left w:val="nil"/>
              <w:bottom w:val="single" w:color="000000" w:sz="12" w:space="0"/>
              <w:right w:val="nil"/>
            </w:tcBorders>
            <w:tcMar>
              <w:top w:w="57" w:type="dxa"/>
              <w:left w:w="0" w:type="dxa"/>
              <w:bottom w:w="57" w:type="dxa"/>
              <w:right w:w="0" w:type="dxa"/>
            </w:tcMar>
          </w:tcPr>
          <w:p w:rsidRPr="00080B04" w:rsidR="00047807" w:rsidP="00080B04" w:rsidRDefault="00047807" w14:paraId="66CD66F5" w14:textId="77777777">
            <w:pPr>
              <w:spacing w:after="0"/>
              <w:jc w:val="right"/>
              <w:rPr>
                <w:sz w:val="16"/>
                <w:szCs w:val="16"/>
              </w:rPr>
            </w:pPr>
            <w:r w:rsidRPr="00080B04">
              <w:rPr>
                <w:sz w:val="16"/>
                <w:szCs w:val="16"/>
              </w:rPr>
              <w:t xml:space="preserve">6,301 </w:t>
            </w:r>
          </w:p>
        </w:tc>
        <w:tc>
          <w:tcPr>
            <w:tcW w:w="1417" w:type="dxa"/>
            <w:tcBorders>
              <w:top w:val="nil"/>
              <w:left w:val="nil"/>
              <w:bottom w:val="single" w:color="000000" w:sz="12" w:space="0"/>
              <w:right w:val="nil"/>
            </w:tcBorders>
            <w:tcMar>
              <w:top w:w="57" w:type="dxa"/>
              <w:left w:w="0" w:type="dxa"/>
              <w:bottom w:w="57" w:type="dxa"/>
              <w:right w:w="0" w:type="dxa"/>
            </w:tcMar>
          </w:tcPr>
          <w:p w:rsidRPr="00080B04" w:rsidR="00047807" w:rsidP="00080B04" w:rsidRDefault="00047807" w14:paraId="70F3BEAF" w14:textId="77777777">
            <w:pPr>
              <w:spacing w:after="0"/>
              <w:jc w:val="right"/>
              <w:rPr>
                <w:sz w:val="16"/>
                <w:szCs w:val="16"/>
              </w:rPr>
            </w:pPr>
            <w:r w:rsidRPr="00080B04">
              <w:rPr>
                <w:sz w:val="16"/>
                <w:szCs w:val="16"/>
              </w:rPr>
              <w:t xml:space="preserve">4,116 </w:t>
            </w:r>
          </w:p>
        </w:tc>
      </w:tr>
    </w:tbl>
    <w:p w:rsidRPr="00047807" w:rsidR="00047807" w:rsidP="00047807" w:rsidRDefault="00047807" w14:paraId="64C41BDD" w14:textId="77777777">
      <w:r w:rsidRPr="00080B04">
        <w:rPr>
          <w:b/>
        </w:rPr>
        <w:t>Liabilities for annual leave</w:t>
      </w:r>
      <w:r w:rsidRPr="00047807">
        <w:t xml:space="preserve"> are recognised in the provision for employee benefits as current liabilities. Those liabilities that are expected to be settled within 12 months of the reporting period are measured at nominal values.  Those liabilities that are not expected to be settled within 12 months are also recognised in the provision for employee benefits as current liabilities, but are measured at present value of the amounts expected to be paid when the liabilities are settled using the remuneration rate expected to apply at the time of settlement.</w:t>
      </w:r>
    </w:p>
    <w:p w:rsidRPr="00047807" w:rsidR="00047807" w:rsidP="00047807" w:rsidRDefault="00047807" w14:paraId="526DDAC1" w14:textId="77777777">
      <w:r w:rsidRPr="00080B04">
        <w:rPr>
          <w:b/>
        </w:rPr>
        <w:t>Liabilities for long service leave</w:t>
      </w:r>
      <w:r w:rsidRPr="00047807">
        <w:t xml:space="preserve"> are recognised in the provision for employee benefits.</w:t>
      </w:r>
    </w:p>
    <w:p w:rsidRPr="00047807" w:rsidR="00047807" w:rsidP="00047807" w:rsidRDefault="00047807" w14:paraId="5B6E066A" w14:textId="77777777">
      <w:r w:rsidRPr="00080B04">
        <w:rPr>
          <w:b/>
        </w:rPr>
        <w:t>Unconditional long service leave</w:t>
      </w:r>
      <w:r w:rsidRPr="00047807">
        <w:t xml:space="preserve"> is disclosed as a current liability, even where the department does not expect to settle the liability within 12 months because it will not have the unconditional right to defer the settlement of the entitlement should an employee take leave within 12 months.</w:t>
      </w:r>
    </w:p>
    <w:p w:rsidRPr="00047807" w:rsidR="00047807" w:rsidP="00047807" w:rsidRDefault="00047807" w14:paraId="26F8E45B" w14:textId="77777777">
      <w:r w:rsidRPr="00047807">
        <w:t>The components of this current long service leave liability are measured at:</w:t>
      </w:r>
    </w:p>
    <w:p w:rsidRPr="00080B04" w:rsidR="00047807" w:rsidP="00080B04" w:rsidRDefault="00047807" w14:paraId="355D345A" w14:textId="77777777">
      <w:pPr>
        <w:pStyle w:val="Bullet1"/>
      </w:pPr>
      <w:r w:rsidRPr="00080B04">
        <w:t>undiscounted value if the department expects to wholly settle within 12 months; or</w:t>
      </w:r>
    </w:p>
    <w:p w:rsidRPr="00080B04" w:rsidR="00047807" w:rsidP="00080B04" w:rsidRDefault="00047807" w14:paraId="53AE2A80" w14:textId="77777777">
      <w:pPr>
        <w:pStyle w:val="Bullet1"/>
      </w:pPr>
      <w:r w:rsidRPr="00080B04">
        <w:t>present value if the department does not expect to wholly settle within 12 months.</w:t>
      </w:r>
    </w:p>
    <w:p w:rsidRPr="00047807" w:rsidR="00047807" w:rsidP="00047807" w:rsidRDefault="00047807" w14:paraId="5BA1471E" w14:textId="77777777">
      <w:r w:rsidRPr="00080B04">
        <w:rPr>
          <w:b/>
        </w:rPr>
        <w:t>Conditional long service leave</w:t>
      </w:r>
      <w:r w:rsidRPr="00047807">
        <w:t xml:space="preserve"> is disclosed as a non-current liability.  There is a conditional right to defer the settlement of the entitlement until the employee has completed the requisite years of service.  This non-current long service leave is measured at present value.</w:t>
      </w:r>
    </w:p>
    <w:p w:rsidRPr="00047807" w:rsidR="00047807" w:rsidP="00047807" w:rsidRDefault="00047807" w14:paraId="553222D6" w14:textId="77777777">
      <w:r w:rsidRPr="00047807">
        <w:t>Any gain or loss following revaluation of the present value of non-current long service leave liability is recognised as a transaction, except to the extent that a gain or loss arises due to changes in interest rates for which it is then recognised as an ‘other economic flow’ (refer to note 9.3) in the net result.</w:t>
      </w:r>
    </w:p>
    <w:p w:rsidRPr="00047807" w:rsidR="00047807" w:rsidP="00047807" w:rsidRDefault="00047807" w14:paraId="7F6F5CE1" w14:textId="77777777">
      <w:r w:rsidRPr="00080B04">
        <w:rPr>
          <w:b/>
        </w:rPr>
        <w:t>Employee on-costs</w:t>
      </w:r>
      <w:r w:rsidRPr="00047807">
        <w:t xml:space="preserve"> such as payroll tax and workers compensation are not employee benefits.  They are disclosed separately as a component of the provision for employee benefits when the employment to which they relate has occurred.</w:t>
      </w:r>
    </w:p>
    <w:p w:rsidRPr="00047807" w:rsidR="00047807" w:rsidP="00047807" w:rsidRDefault="00047807" w14:paraId="6E4B2E94" w14:textId="77777777">
      <w:r w:rsidRPr="00080B04">
        <w:rPr>
          <w:b/>
        </w:rPr>
        <w:t>No provision has been made for sick leave</w:t>
      </w:r>
      <w:r w:rsidRPr="00047807">
        <w:t xml:space="preserve"> as all sick leave is non-vesting and it is not considered probable that the average sick leave taken in the future will be greater than the benefits accrued in the future.  As sick leave is non-vesting, an expense is recognised in the comprehensive operating statement as it is taken.</w:t>
      </w:r>
    </w:p>
    <w:p w:rsidRPr="00047807" w:rsidR="00047807" w:rsidP="00047807" w:rsidRDefault="00047807" w14:paraId="5546D3EF" w14:textId="77777777">
      <w:r w:rsidRPr="00080B04">
        <w:rPr>
          <w:b/>
        </w:rPr>
        <w:t>Liabilities for wages and salaries</w:t>
      </w:r>
      <w:r w:rsidRPr="00047807">
        <w:t xml:space="preserve"> are in payables (note 6.3).</w:t>
      </w:r>
    </w:p>
    <w:p w:rsidRPr="00047807" w:rsidR="00047807" w:rsidP="00080B04" w:rsidRDefault="00047807" w14:paraId="193D4E85" w14:textId="77777777">
      <w:pPr>
        <w:pStyle w:val="Heading4"/>
      </w:pPr>
      <w:r w:rsidRPr="00047807">
        <w:t>3.2.3 Superannuation contributions</w:t>
      </w:r>
    </w:p>
    <w:p w:rsidRPr="00047807" w:rsidR="00047807" w:rsidP="00047807" w:rsidRDefault="00047807" w14:paraId="5FF9FDDC" w14:textId="77777777">
      <w:r w:rsidRPr="00047807">
        <w:t>Employees of the department are entitled to receive superannuation benefits and the department contributes to both defined benefit and defined contribution plans.  The defined benefit plans provide benefits based on years of service and final average salary.</w:t>
      </w:r>
    </w:p>
    <w:p w:rsidRPr="00047807" w:rsidR="00047807" w:rsidP="00047807" w:rsidRDefault="00047807" w14:paraId="148CCDF2" w14:textId="77777777">
      <w:r w:rsidRPr="00047807">
        <w:t>As noted before, the defined benefit liability is recognised by the Department of Treasury and Finance as an administered liability.  However, superannuation contributions paid or payable for the reporting period are included as part of employee benefits expense in the comprehensive operating statement of the department.</w:t>
      </w:r>
    </w:p>
    <w:p w:rsidRPr="00047807" w:rsidR="00047807" w:rsidP="00047807" w:rsidRDefault="00047807" w14:paraId="4B1C0AFD" w14:textId="412B5972">
      <w:r w:rsidRPr="00047807">
        <w:t>The basis for contributions is determined by the various schemes.</w:t>
      </w:r>
    </w:p>
    <w:tbl>
      <w:tblPr>
        <w:tblW w:w="0" w:type="auto"/>
        <w:tblLayout w:type="fixed"/>
        <w:tblCellMar>
          <w:left w:w="0" w:type="dxa"/>
          <w:right w:w="0" w:type="dxa"/>
        </w:tblCellMar>
        <w:tblLook w:firstRow="1" w:lastRow="0" w:firstColumn="0" w:lastColumn="0" w:noHBand="0" w:noVBand="0" w:val="0020"/>
      </w:tblPr>
      <w:tblGrid>
        <w:gridCol w:w="3572"/>
        <w:gridCol w:w="1587"/>
        <w:gridCol w:w="1587"/>
        <w:gridCol w:w="1588"/>
        <w:gridCol w:w="1587"/>
      </w:tblGrid>
      <w:tr w:rsidRPr="00080B04" w:rsidR="00047807" w:rsidTr="00CC210C" w14:paraId="4837D036" w14:textId="77777777">
        <w:trPr>
          <w:tblHeader/>
        </w:trPr>
        <w:tc>
          <w:tcPr>
            <w:tcW w:w="3572"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0DDE6D65" w14:textId="77777777">
            <w:pPr>
              <w:spacing w:after="0"/>
              <w:rPr>
                <w:rFonts w:cs="Arial"/>
                <w:b/>
                <w:sz w:val="16"/>
                <w:szCs w:val="16"/>
              </w:rPr>
            </w:pP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29177B3B" w14:textId="77777777">
            <w:pPr>
              <w:spacing w:after="0"/>
              <w:jc w:val="right"/>
              <w:rPr>
                <w:rFonts w:cs="Arial"/>
                <w:b/>
                <w:sz w:val="16"/>
                <w:szCs w:val="16"/>
              </w:rPr>
            </w:pP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04DF617A" w14:textId="77777777">
            <w:pPr>
              <w:spacing w:after="0"/>
              <w:jc w:val="right"/>
              <w:rPr>
                <w:rFonts w:cs="Arial"/>
                <w:b/>
                <w:sz w:val="16"/>
                <w:szCs w:val="16"/>
              </w:rPr>
            </w:pPr>
          </w:p>
        </w:tc>
        <w:tc>
          <w:tcPr>
            <w:tcW w:w="1588"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08AB2D09" w14:textId="77777777">
            <w:pPr>
              <w:spacing w:after="0"/>
              <w:jc w:val="right"/>
              <w:rPr>
                <w:rFonts w:cs="Arial"/>
                <w:b/>
                <w:sz w:val="16"/>
                <w:szCs w:val="16"/>
              </w:rPr>
            </w:pP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29EB7016" w14:textId="77777777">
            <w:pPr>
              <w:spacing w:after="0"/>
              <w:jc w:val="right"/>
              <w:rPr>
                <w:rFonts w:cs="Arial"/>
                <w:b/>
                <w:sz w:val="16"/>
                <w:szCs w:val="16"/>
              </w:rPr>
            </w:pPr>
            <w:r w:rsidRPr="00080B04">
              <w:rPr>
                <w:rFonts w:cs="Arial"/>
                <w:b/>
                <w:sz w:val="16"/>
                <w:szCs w:val="16"/>
              </w:rPr>
              <w:t>($ thousand)</w:t>
            </w:r>
          </w:p>
        </w:tc>
      </w:tr>
      <w:tr w:rsidRPr="00080B04" w:rsidR="00047807" w:rsidTr="00CC210C" w14:paraId="38F37BEB" w14:textId="77777777">
        <w:trPr>
          <w:tblHeader/>
        </w:trPr>
        <w:tc>
          <w:tcPr>
            <w:tcW w:w="3572" w:type="dxa"/>
            <w:tcBorders>
              <w:top w:val="single" w:color="000000" w:sz="6" w:space="0"/>
              <w:left w:val="nil"/>
              <w:bottom w:val="single" w:color="000000" w:sz="8" w:space="0"/>
              <w:right w:val="nil"/>
            </w:tcBorders>
            <w:tcMar>
              <w:top w:w="28" w:type="dxa"/>
              <w:left w:w="0" w:type="dxa"/>
              <w:bottom w:w="28" w:type="dxa"/>
              <w:right w:w="0" w:type="dxa"/>
            </w:tcMar>
          </w:tcPr>
          <w:p w:rsidRPr="00080B04" w:rsidR="00047807" w:rsidP="00080B04" w:rsidRDefault="00047807" w14:paraId="203B87C1" w14:textId="77777777">
            <w:pPr>
              <w:spacing w:after="0"/>
              <w:rPr>
                <w:rFonts w:cs="Arial"/>
                <w:b/>
                <w:sz w:val="16"/>
                <w:szCs w:val="16"/>
              </w:rPr>
            </w:pPr>
          </w:p>
        </w:tc>
        <w:tc>
          <w:tcPr>
            <w:tcW w:w="3174" w:type="dxa"/>
            <w:gridSpan w:val="2"/>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26D3AC50" w14:textId="77777777">
            <w:pPr>
              <w:spacing w:after="0"/>
              <w:jc w:val="right"/>
              <w:rPr>
                <w:rFonts w:cs="Arial"/>
                <w:b/>
                <w:sz w:val="16"/>
                <w:szCs w:val="16"/>
              </w:rPr>
            </w:pPr>
            <w:r w:rsidRPr="00080B04">
              <w:rPr>
                <w:rFonts w:cs="Arial"/>
                <w:b/>
                <w:sz w:val="16"/>
                <w:szCs w:val="16"/>
              </w:rPr>
              <w:t>Paid contribution for year</w:t>
            </w:r>
          </w:p>
        </w:tc>
        <w:tc>
          <w:tcPr>
            <w:tcW w:w="3175" w:type="dxa"/>
            <w:gridSpan w:val="2"/>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2186518E" w14:textId="77777777">
            <w:pPr>
              <w:spacing w:after="0"/>
              <w:jc w:val="right"/>
              <w:rPr>
                <w:rFonts w:cs="Arial"/>
                <w:b/>
                <w:sz w:val="16"/>
                <w:szCs w:val="16"/>
              </w:rPr>
            </w:pPr>
            <w:r w:rsidRPr="00080B04">
              <w:rPr>
                <w:rFonts w:cs="Arial"/>
                <w:b/>
                <w:sz w:val="16"/>
                <w:szCs w:val="16"/>
              </w:rPr>
              <w:t>Contribution outstanding at year end</w:t>
            </w:r>
          </w:p>
        </w:tc>
      </w:tr>
      <w:tr w:rsidRPr="00080B04" w:rsidR="00047807" w:rsidTr="00CC210C" w14:paraId="3F88BB38" w14:textId="77777777">
        <w:trPr>
          <w:tblHeader/>
        </w:trPr>
        <w:tc>
          <w:tcPr>
            <w:tcW w:w="3572" w:type="dxa"/>
            <w:tcBorders>
              <w:top w:val="single" w:color="000000" w:sz="8" w:space="0"/>
              <w:left w:val="nil"/>
              <w:bottom w:val="single" w:color="000000" w:sz="6" w:space="0"/>
              <w:right w:val="nil"/>
            </w:tcBorders>
            <w:tcMar>
              <w:top w:w="28" w:type="dxa"/>
              <w:left w:w="0" w:type="dxa"/>
              <w:bottom w:w="28" w:type="dxa"/>
              <w:right w:w="0" w:type="dxa"/>
            </w:tcMar>
          </w:tcPr>
          <w:p w:rsidRPr="00080B04" w:rsidR="00047807" w:rsidP="00080B04" w:rsidRDefault="00047807" w14:paraId="6FE5BD36" w14:textId="77777777">
            <w:pPr>
              <w:spacing w:after="0"/>
              <w:rPr>
                <w:rFonts w:cs="Arial"/>
                <w:b/>
                <w:sz w:val="16"/>
                <w:szCs w:val="16"/>
              </w:rPr>
            </w:pP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5B98AE76" w14:textId="77777777">
            <w:pPr>
              <w:spacing w:after="0"/>
              <w:jc w:val="right"/>
              <w:rPr>
                <w:rFonts w:cs="Arial"/>
                <w:b/>
                <w:sz w:val="16"/>
                <w:szCs w:val="16"/>
              </w:rPr>
            </w:pPr>
            <w:r w:rsidRPr="00080B04">
              <w:rPr>
                <w:rFonts w:cs="Arial"/>
                <w:b/>
                <w:sz w:val="16"/>
                <w:szCs w:val="16"/>
              </w:rPr>
              <w:t>2019</w:t>
            </w: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0B69C9CD" w14:textId="77777777">
            <w:pPr>
              <w:spacing w:after="0"/>
              <w:jc w:val="right"/>
              <w:rPr>
                <w:rFonts w:cs="Arial"/>
                <w:b/>
                <w:sz w:val="16"/>
                <w:szCs w:val="16"/>
              </w:rPr>
            </w:pPr>
            <w:r w:rsidRPr="00080B04">
              <w:rPr>
                <w:rFonts w:cs="Arial"/>
                <w:b/>
                <w:sz w:val="16"/>
                <w:szCs w:val="16"/>
              </w:rPr>
              <w:t>2018</w:t>
            </w:r>
          </w:p>
        </w:tc>
        <w:tc>
          <w:tcPr>
            <w:tcW w:w="1588"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746F6448" w14:textId="77777777">
            <w:pPr>
              <w:spacing w:after="0"/>
              <w:jc w:val="right"/>
              <w:rPr>
                <w:rFonts w:cs="Arial"/>
                <w:b/>
                <w:sz w:val="16"/>
                <w:szCs w:val="16"/>
              </w:rPr>
            </w:pPr>
            <w:r w:rsidRPr="00080B04">
              <w:rPr>
                <w:rFonts w:cs="Arial"/>
                <w:b/>
                <w:sz w:val="16"/>
                <w:szCs w:val="16"/>
              </w:rPr>
              <w:t>2019</w:t>
            </w: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706721CD" w14:textId="77777777">
            <w:pPr>
              <w:spacing w:after="0"/>
              <w:jc w:val="right"/>
              <w:rPr>
                <w:rFonts w:cs="Arial"/>
                <w:b/>
                <w:sz w:val="16"/>
                <w:szCs w:val="16"/>
              </w:rPr>
            </w:pPr>
            <w:r w:rsidRPr="00080B04">
              <w:rPr>
                <w:rFonts w:cs="Arial"/>
                <w:b/>
                <w:sz w:val="16"/>
                <w:szCs w:val="16"/>
              </w:rPr>
              <w:t>2018</w:t>
            </w:r>
          </w:p>
        </w:tc>
      </w:tr>
      <w:tr w:rsidRPr="00080B04" w:rsidR="00047807" w:rsidTr="00CC210C" w14:paraId="7D568E5D" w14:textId="77777777">
        <w:tc>
          <w:tcPr>
            <w:tcW w:w="3572" w:type="dxa"/>
            <w:tcBorders>
              <w:top w:val="single" w:color="000000" w:sz="6" w:space="0"/>
              <w:left w:val="nil"/>
              <w:bottom w:val="nil"/>
              <w:right w:val="nil"/>
            </w:tcBorders>
            <w:tcMar>
              <w:top w:w="28" w:type="dxa"/>
              <w:left w:w="0" w:type="dxa"/>
              <w:bottom w:w="28" w:type="dxa"/>
              <w:right w:w="0" w:type="dxa"/>
            </w:tcMar>
          </w:tcPr>
          <w:p w:rsidRPr="00080B04" w:rsidR="00047807" w:rsidP="00080B04" w:rsidRDefault="00047807" w14:paraId="7B833605" w14:textId="77777777">
            <w:pPr>
              <w:spacing w:after="0"/>
              <w:rPr>
                <w:rFonts w:cs="Arial"/>
                <w:b/>
                <w:sz w:val="16"/>
                <w:szCs w:val="16"/>
              </w:rPr>
            </w:pPr>
            <w:r w:rsidRPr="00080B04">
              <w:rPr>
                <w:rFonts w:cs="Arial"/>
                <w:b/>
                <w:sz w:val="16"/>
                <w:szCs w:val="16"/>
              </w:rPr>
              <w:t>Defined benefit plans</w:t>
            </w:r>
          </w:p>
        </w:tc>
        <w:tc>
          <w:tcPr>
            <w:tcW w:w="1587" w:type="dxa"/>
            <w:tcBorders>
              <w:top w:val="single" w:color="000000" w:sz="6" w:space="0"/>
              <w:left w:val="nil"/>
              <w:bottom w:val="nil"/>
              <w:right w:val="nil"/>
            </w:tcBorders>
            <w:tcMar>
              <w:top w:w="28" w:type="dxa"/>
              <w:left w:w="0" w:type="dxa"/>
              <w:bottom w:w="28" w:type="dxa"/>
              <w:right w:w="0" w:type="dxa"/>
            </w:tcMar>
          </w:tcPr>
          <w:p w:rsidRPr="00080B04" w:rsidR="00047807" w:rsidP="00080B04" w:rsidRDefault="00047807" w14:paraId="73BC667C" w14:textId="77777777">
            <w:pPr>
              <w:spacing w:after="0"/>
              <w:jc w:val="right"/>
              <w:rPr>
                <w:rFonts w:cs="Arial"/>
                <w:b/>
                <w:sz w:val="16"/>
                <w:szCs w:val="16"/>
              </w:rPr>
            </w:pPr>
          </w:p>
        </w:tc>
        <w:tc>
          <w:tcPr>
            <w:tcW w:w="1587" w:type="dxa"/>
            <w:tcBorders>
              <w:top w:val="single" w:color="000000" w:sz="6" w:space="0"/>
              <w:left w:val="nil"/>
              <w:bottom w:val="nil"/>
              <w:right w:val="nil"/>
            </w:tcBorders>
            <w:tcMar>
              <w:top w:w="28" w:type="dxa"/>
              <w:left w:w="0" w:type="dxa"/>
              <w:bottom w:w="28" w:type="dxa"/>
              <w:right w:w="0" w:type="dxa"/>
            </w:tcMar>
          </w:tcPr>
          <w:p w:rsidRPr="00080B04" w:rsidR="00047807" w:rsidP="00080B04" w:rsidRDefault="00047807" w14:paraId="1DB488E0" w14:textId="77777777">
            <w:pPr>
              <w:spacing w:after="0"/>
              <w:jc w:val="right"/>
              <w:rPr>
                <w:rFonts w:cs="Arial"/>
                <w:b/>
                <w:sz w:val="16"/>
                <w:szCs w:val="16"/>
              </w:rPr>
            </w:pPr>
          </w:p>
        </w:tc>
        <w:tc>
          <w:tcPr>
            <w:tcW w:w="1588" w:type="dxa"/>
            <w:tcBorders>
              <w:top w:val="single" w:color="000000" w:sz="6" w:space="0"/>
              <w:left w:val="nil"/>
              <w:bottom w:val="nil"/>
              <w:right w:val="nil"/>
            </w:tcBorders>
            <w:tcMar>
              <w:top w:w="28" w:type="dxa"/>
              <w:left w:w="0" w:type="dxa"/>
              <w:bottom w:w="28" w:type="dxa"/>
              <w:right w:w="0" w:type="dxa"/>
            </w:tcMar>
          </w:tcPr>
          <w:p w:rsidRPr="00080B04" w:rsidR="00047807" w:rsidP="00080B04" w:rsidRDefault="00047807" w14:paraId="31F3CD85" w14:textId="77777777">
            <w:pPr>
              <w:spacing w:after="0"/>
              <w:jc w:val="right"/>
              <w:rPr>
                <w:rFonts w:cs="Arial"/>
                <w:b/>
                <w:sz w:val="16"/>
                <w:szCs w:val="16"/>
              </w:rPr>
            </w:pPr>
          </w:p>
        </w:tc>
        <w:tc>
          <w:tcPr>
            <w:tcW w:w="1587" w:type="dxa"/>
            <w:tcBorders>
              <w:top w:val="single" w:color="000000" w:sz="6" w:space="0"/>
              <w:left w:val="nil"/>
              <w:bottom w:val="nil"/>
              <w:right w:val="nil"/>
            </w:tcBorders>
            <w:tcMar>
              <w:top w:w="28" w:type="dxa"/>
              <w:left w:w="0" w:type="dxa"/>
              <w:bottom w:w="28" w:type="dxa"/>
              <w:right w:w="0" w:type="dxa"/>
            </w:tcMar>
          </w:tcPr>
          <w:p w:rsidRPr="00080B04" w:rsidR="00047807" w:rsidP="00080B04" w:rsidRDefault="00047807" w14:paraId="7120407A" w14:textId="77777777">
            <w:pPr>
              <w:spacing w:after="0"/>
              <w:jc w:val="right"/>
              <w:rPr>
                <w:rFonts w:cs="Arial"/>
                <w:b/>
                <w:sz w:val="16"/>
                <w:szCs w:val="16"/>
              </w:rPr>
            </w:pPr>
          </w:p>
        </w:tc>
      </w:tr>
      <w:tr w:rsidRPr="00080B04" w:rsidR="00047807" w:rsidTr="00CC210C" w14:paraId="407733DC" w14:textId="77777777">
        <w:tc>
          <w:tcPr>
            <w:tcW w:w="3572" w:type="dxa"/>
            <w:tcBorders>
              <w:top w:val="nil"/>
              <w:left w:val="nil"/>
              <w:bottom w:val="nil"/>
              <w:right w:val="nil"/>
            </w:tcBorders>
            <w:tcMar>
              <w:top w:w="28" w:type="dxa"/>
              <w:left w:w="0" w:type="dxa"/>
              <w:bottom w:w="28" w:type="dxa"/>
              <w:right w:w="0" w:type="dxa"/>
            </w:tcMar>
          </w:tcPr>
          <w:p w:rsidRPr="00080B04" w:rsidR="00047807" w:rsidP="00080B04" w:rsidRDefault="00047807" w14:paraId="7CA08456" w14:textId="77777777">
            <w:pPr>
              <w:pStyle w:val="Bullet1"/>
              <w:spacing w:after="0"/>
              <w:rPr>
                <w:sz w:val="16"/>
                <w:szCs w:val="16"/>
              </w:rPr>
            </w:pPr>
            <w:r w:rsidRPr="00080B04">
              <w:rPr>
                <w:sz w:val="16"/>
                <w:szCs w:val="16"/>
              </w:rPr>
              <w:t>Emergency Services and State Super</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3501CF81" w14:textId="77777777">
            <w:pPr>
              <w:spacing w:after="0"/>
              <w:jc w:val="right"/>
              <w:rPr>
                <w:rFonts w:cs="Arial"/>
                <w:sz w:val="16"/>
                <w:szCs w:val="16"/>
              </w:rPr>
            </w:pPr>
            <w:r w:rsidRPr="00080B04">
              <w:rPr>
                <w:rFonts w:cs="Arial"/>
                <w:sz w:val="16"/>
                <w:szCs w:val="16"/>
              </w:rPr>
              <w:t xml:space="preserve">4,362 </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21824FDF" w14:textId="77777777">
            <w:pPr>
              <w:spacing w:after="0"/>
              <w:jc w:val="right"/>
              <w:rPr>
                <w:rFonts w:cs="Arial"/>
                <w:sz w:val="16"/>
                <w:szCs w:val="16"/>
              </w:rPr>
            </w:pPr>
            <w:r w:rsidRPr="00080B04">
              <w:rPr>
                <w:rFonts w:cs="Arial"/>
                <w:sz w:val="16"/>
                <w:szCs w:val="16"/>
              </w:rPr>
              <w:t xml:space="preserve">4,547 </w:t>
            </w:r>
          </w:p>
        </w:tc>
        <w:tc>
          <w:tcPr>
            <w:tcW w:w="1588" w:type="dxa"/>
            <w:tcBorders>
              <w:top w:val="nil"/>
              <w:left w:val="nil"/>
              <w:bottom w:val="nil"/>
              <w:right w:val="nil"/>
            </w:tcBorders>
            <w:tcMar>
              <w:top w:w="28" w:type="dxa"/>
              <w:left w:w="0" w:type="dxa"/>
              <w:bottom w:w="28" w:type="dxa"/>
              <w:right w:w="0" w:type="dxa"/>
            </w:tcMar>
          </w:tcPr>
          <w:p w:rsidRPr="00080B04" w:rsidR="00047807" w:rsidP="00080B04" w:rsidRDefault="00047807" w14:paraId="1F3EE6D8" w14:textId="77777777">
            <w:pPr>
              <w:spacing w:after="0"/>
              <w:jc w:val="right"/>
              <w:rPr>
                <w:rFonts w:cs="Arial"/>
                <w:sz w:val="16"/>
                <w:szCs w:val="16"/>
              </w:rPr>
            </w:pPr>
            <w:r w:rsidRPr="00080B04">
              <w:rPr>
                <w:rFonts w:cs="Arial"/>
                <w:sz w:val="16"/>
                <w:szCs w:val="16"/>
              </w:rPr>
              <w:t xml:space="preserve">96 </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4B2AB539" w14:textId="77777777">
            <w:pPr>
              <w:spacing w:after="0"/>
              <w:jc w:val="right"/>
              <w:rPr>
                <w:rFonts w:cs="Arial"/>
                <w:sz w:val="16"/>
                <w:szCs w:val="16"/>
              </w:rPr>
            </w:pPr>
            <w:r w:rsidRPr="00080B04">
              <w:rPr>
                <w:rFonts w:cs="Arial"/>
                <w:sz w:val="16"/>
                <w:szCs w:val="16"/>
              </w:rPr>
              <w:t xml:space="preserve">87 </w:t>
            </w:r>
          </w:p>
        </w:tc>
      </w:tr>
      <w:tr w:rsidRPr="00080B04" w:rsidR="00047807" w:rsidTr="00CC210C" w14:paraId="1A753A50" w14:textId="77777777">
        <w:tc>
          <w:tcPr>
            <w:tcW w:w="3572" w:type="dxa"/>
            <w:tcBorders>
              <w:top w:val="nil"/>
              <w:left w:val="nil"/>
              <w:bottom w:val="nil"/>
              <w:right w:val="nil"/>
            </w:tcBorders>
            <w:tcMar>
              <w:top w:w="28" w:type="dxa"/>
              <w:left w:w="0" w:type="dxa"/>
              <w:bottom w:w="28" w:type="dxa"/>
              <w:right w:w="0" w:type="dxa"/>
            </w:tcMar>
          </w:tcPr>
          <w:p w:rsidRPr="00080B04" w:rsidR="00047807" w:rsidP="00080B04" w:rsidRDefault="00047807" w14:paraId="380D44D5" w14:textId="77777777">
            <w:pPr>
              <w:spacing w:after="0"/>
              <w:rPr>
                <w:rFonts w:cs="Arial"/>
                <w:b/>
                <w:sz w:val="16"/>
                <w:szCs w:val="16"/>
              </w:rPr>
            </w:pPr>
            <w:r w:rsidRPr="00080B04">
              <w:rPr>
                <w:rFonts w:cs="Arial"/>
                <w:b/>
                <w:sz w:val="16"/>
                <w:szCs w:val="16"/>
              </w:rPr>
              <w:t>Defined contribution plans</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701664E9" w14:textId="77777777">
            <w:pPr>
              <w:spacing w:after="0"/>
              <w:jc w:val="right"/>
              <w:rPr>
                <w:rFonts w:cs="Arial"/>
                <w:b/>
                <w:sz w:val="16"/>
                <w:szCs w:val="16"/>
              </w:rPr>
            </w:pP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262A2E11" w14:textId="77777777">
            <w:pPr>
              <w:spacing w:after="0"/>
              <w:jc w:val="right"/>
              <w:rPr>
                <w:rFonts w:cs="Arial"/>
                <w:b/>
                <w:sz w:val="16"/>
                <w:szCs w:val="16"/>
              </w:rPr>
            </w:pPr>
          </w:p>
        </w:tc>
        <w:tc>
          <w:tcPr>
            <w:tcW w:w="1588" w:type="dxa"/>
            <w:tcBorders>
              <w:top w:val="nil"/>
              <w:left w:val="nil"/>
              <w:bottom w:val="nil"/>
              <w:right w:val="nil"/>
            </w:tcBorders>
            <w:tcMar>
              <w:top w:w="28" w:type="dxa"/>
              <w:left w:w="0" w:type="dxa"/>
              <w:bottom w:w="28" w:type="dxa"/>
              <w:right w:w="0" w:type="dxa"/>
            </w:tcMar>
          </w:tcPr>
          <w:p w:rsidRPr="00080B04" w:rsidR="00047807" w:rsidP="00080B04" w:rsidRDefault="00047807" w14:paraId="3B35F98C" w14:textId="77777777">
            <w:pPr>
              <w:spacing w:after="0"/>
              <w:jc w:val="right"/>
              <w:rPr>
                <w:rFonts w:cs="Arial"/>
                <w:b/>
                <w:sz w:val="16"/>
                <w:szCs w:val="16"/>
              </w:rPr>
            </w:pP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20B3529E" w14:textId="77777777">
            <w:pPr>
              <w:spacing w:after="0"/>
              <w:jc w:val="right"/>
              <w:rPr>
                <w:rFonts w:cs="Arial"/>
                <w:b/>
                <w:sz w:val="16"/>
                <w:szCs w:val="16"/>
              </w:rPr>
            </w:pPr>
          </w:p>
        </w:tc>
      </w:tr>
      <w:tr w:rsidRPr="00080B04" w:rsidR="00047807" w:rsidTr="00CC210C" w14:paraId="452CD7F0" w14:textId="77777777">
        <w:tc>
          <w:tcPr>
            <w:tcW w:w="3572" w:type="dxa"/>
            <w:tcBorders>
              <w:top w:val="nil"/>
              <w:left w:val="nil"/>
              <w:bottom w:val="nil"/>
              <w:right w:val="nil"/>
            </w:tcBorders>
            <w:tcMar>
              <w:top w:w="28" w:type="dxa"/>
              <w:left w:w="0" w:type="dxa"/>
              <w:bottom w:w="28" w:type="dxa"/>
              <w:right w:w="0" w:type="dxa"/>
            </w:tcMar>
          </w:tcPr>
          <w:p w:rsidRPr="00080B04" w:rsidR="00047807" w:rsidP="00080B04" w:rsidRDefault="00047807" w14:paraId="1E4ACA68" w14:textId="77777777">
            <w:pPr>
              <w:pStyle w:val="Bullet1"/>
              <w:spacing w:after="0"/>
              <w:rPr>
                <w:sz w:val="16"/>
                <w:szCs w:val="16"/>
              </w:rPr>
            </w:pPr>
            <w:proofErr w:type="spellStart"/>
            <w:r w:rsidRPr="00080B04">
              <w:rPr>
                <w:sz w:val="16"/>
                <w:szCs w:val="16"/>
              </w:rPr>
              <w:t>VicSuper</w:t>
            </w:r>
            <w:proofErr w:type="spellEnd"/>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3643CC3A" w14:textId="77777777">
            <w:pPr>
              <w:spacing w:after="0"/>
              <w:jc w:val="right"/>
              <w:rPr>
                <w:rFonts w:cs="Arial"/>
                <w:sz w:val="16"/>
                <w:szCs w:val="16"/>
              </w:rPr>
            </w:pPr>
            <w:r w:rsidRPr="00080B04">
              <w:rPr>
                <w:rFonts w:cs="Arial"/>
                <w:sz w:val="16"/>
                <w:szCs w:val="16"/>
              </w:rPr>
              <w:t xml:space="preserve">49,868 </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61FE9BBE" w14:textId="77777777">
            <w:pPr>
              <w:spacing w:after="0"/>
              <w:jc w:val="right"/>
              <w:rPr>
                <w:rFonts w:cs="Arial"/>
                <w:sz w:val="16"/>
                <w:szCs w:val="16"/>
              </w:rPr>
            </w:pPr>
            <w:r w:rsidRPr="00080B04">
              <w:rPr>
                <w:rFonts w:cs="Arial"/>
                <w:sz w:val="16"/>
                <w:szCs w:val="16"/>
              </w:rPr>
              <w:t xml:space="preserve">47,324 </w:t>
            </w:r>
          </w:p>
        </w:tc>
        <w:tc>
          <w:tcPr>
            <w:tcW w:w="1588" w:type="dxa"/>
            <w:tcBorders>
              <w:top w:val="nil"/>
              <w:left w:val="nil"/>
              <w:bottom w:val="nil"/>
              <w:right w:val="nil"/>
            </w:tcBorders>
            <w:tcMar>
              <w:top w:w="28" w:type="dxa"/>
              <w:left w:w="0" w:type="dxa"/>
              <w:bottom w:w="28" w:type="dxa"/>
              <w:right w:w="0" w:type="dxa"/>
            </w:tcMar>
          </w:tcPr>
          <w:p w:rsidRPr="00080B04" w:rsidR="00047807" w:rsidP="00080B04" w:rsidRDefault="00047807" w14:paraId="7FA9BD95" w14:textId="77777777">
            <w:pPr>
              <w:spacing w:after="0"/>
              <w:jc w:val="right"/>
              <w:rPr>
                <w:rFonts w:cs="Arial"/>
                <w:sz w:val="16"/>
                <w:szCs w:val="16"/>
              </w:rPr>
            </w:pPr>
            <w:r w:rsidRPr="00080B04">
              <w:rPr>
                <w:rFonts w:cs="Arial"/>
                <w:sz w:val="16"/>
                <w:szCs w:val="16"/>
              </w:rPr>
              <w:t xml:space="preserve">1,180 </w:t>
            </w:r>
          </w:p>
        </w:tc>
        <w:tc>
          <w:tcPr>
            <w:tcW w:w="1587" w:type="dxa"/>
            <w:tcBorders>
              <w:top w:val="nil"/>
              <w:left w:val="nil"/>
              <w:bottom w:val="nil"/>
              <w:right w:val="nil"/>
            </w:tcBorders>
            <w:tcMar>
              <w:top w:w="28" w:type="dxa"/>
              <w:left w:w="0" w:type="dxa"/>
              <w:bottom w:w="28" w:type="dxa"/>
              <w:right w:w="0" w:type="dxa"/>
            </w:tcMar>
          </w:tcPr>
          <w:p w:rsidRPr="00080B04" w:rsidR="00047807" w:rsidP="00080B04" w:rsidRDefault="00047807" w14:paraId="2DDAFD1C" w14:textId="77777777">
            <w:pPr>
              <w:spacing w:after="0"/>
              <w:jc w:val="right"/>
              <w:rPr>
                <w:rFonts w:cs="Arial"/>
                <w:sz w:val="16"/>
                <w:szCs w:val="16"/>
              </w:rPr>
            </w:pPr>
            <w:r w:rsidRPr="00080B04">
              <w:rPr>
                <w:rFonts w:cs="Arial"/>
                <w:sz w:val="16"/>
                <w:szCs w:val="16"/>
              </w:rPr>
              <w:t xml:space="preserve">954 </w:t>
            </w:r>
          </w:p>
        </w:tc>
      </w:tr>
      <w:tr w:rsidRPr="00080B04" w:rsidR="00047807" w:rsidTr="00CC210C" w14:paraId="1765299D" w14:textId="77777777">
        <w:tc>
          <w:tcPr>
            <w:tcW w:w="3572"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6464F7F0" w14:textId="77777777">
            <w:pPr>
              <w:pStyle w:val="Bullet1"/>
              <w:spacing w:after="0"/>
              <w:rPr>
                <w:sz w:val="16"/>
                <w:szCs w:val="16"/>
              </w:rPr>
            </w:pPr>
            <w:r w:rsidRPr="00080B04">
              <w:rPr>
                <w:sz w:val="16"/>
                <w:szCs w:val="16"/>
              </w:rPr>
              <w:t>Various other</w:t>
            </w: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1088A5A8" w14:textId="77777777">
            <w:pPr>
              <w:spacing w:after="0"/>
              <w:jc w:val="right"/>
              <w:rPr>
                <w:rFonts w:cs="Arial"/>
                <w:sz w:val="16"/>
                <w:szCs w:val="16"/>
              </w:rPr>
            </w:pPr>
            <w:r w:rsidRPr="00080B04">
              <w:rPr>
                <w:rFonts w:cs="Arial"/>
                <w:sz w:val="16"/>
                <w:szCs w:val="16"/>
              </w:rPr>
              <w:t xml:space="preserve">22,267 </w:t>
            </w: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6547CDFC" w14:textId="77777777">
            <w:pPr>
              <w:spacing w:after="0"/>
              <w:jc w:val="right"/>
              <w:rPr>
                <w:rFonts w:cs="Arial"/>
                <w:sz w:val="16"/>
                <w:szCs w:val="16"/>
              </w:rPr>
            </w:pPr>
            <w:r w:rsidRPr="00080B04">
              <w:rPr>
                <w:rFonts w:cs="Arial"/>
                <w:sz w:val="16"/>
                <w:szCs w:val="16"/>
              </w:rPr>
              <w:t xml:space="preserve">17,720 </w:t>
            </w:r>
          </w:p>
        </w:tc>
        <w:tc>
          <w:tcPr>
            <w:tcW w:w="1588"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0EB61FFB" w14:textId="77777777">
            <w:pPr>
              <w:spacing w:after="0"/>
              <w:jc w:val="right"/>
              <w:rPr>
                <w:rFonts w:cs="Arial"/>
                <w:sz w:val="16"/>
                <w:szCs w:val="16"/>
              </w:rPr>
            </w:pPr>
            <w:r w:rsidRPr="00080B04">
              <w:rPr>
                <w:rFonts w:cs="Arial"/>
                <w:sz w:val="16"/>
                <w:szCs w:val="16"/>
              </w:rPr>
              <w:t xml:space="preserve">548 </w:t>
            </w:r>
          </w:p>
        </w:tc>
        <w:tc>
          <w:tcPr>
            <w:tcW w:w="1587" w:type="dxa"/>
            <w:tcBorders>
              <w:top w:val="nil"/>
              <w:left w:val="nil"/>
              <w:bottom w:val="single" w:color="000000" w:sz="6" w:space="0"/>
              <w:right w:val="nil"/>
            </w:tcBorders>
            <w:tcMar>
              <w:top w:w="28" w:type="dxa"/>
              <w:left w:w="0" w:type="dxa"/>
              <w:bottom w:w="28" w:type="dxa"/>
              <w:right w:w="0" w:type="dxa"/>
            </w:tcMar>
          </w:tcPr>
          <w:p w:rsidRPr="00080B04" w:rsidR="00047807" w:rsidP="00080B04" w:rsidRDefault="00047807" w14:paraId="7BF59514" w14:textId="77777777">
            <w:pPr>
              <w:spacing w:after="0"/>
              <w:jc w:val="right"/>
              <w:rPr>
                <w:rFonts w:cs="Arial"/>
                <w:sz w:val="16"/>
                <w:szCs w:val="16"/>
              </w:rPr>
            </w:pPr>
            <w:r w:rsidRPr="00080B04">
              <w:rPr>
                <w:rFonts w:cs="Arial"/>
                <w:sz w:val="16"/>
                <w:szCs w:val="16"/>
              </w:rPr>
              <w:t xml:space="preserve">388 </w:t>
            </w:r>
          </w:p>
        </w:tc>
      </w:tr>
      <w:tr w:rsidRPr="00080B04" w:rsidR="00047807" w:rsidTr="00CC210C" w14:paraId="7BFCF39A" w14:textId="77777777">
        <w:tc>
          <w:tcPr>
            <w:tcW w:w="3572"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1EFA1D91" w14:textId="77777777">
            <w:pPr>
              <w:spacing w:after="0"/>
              <w:rPr>
                <w:rFonts w:cs="Arial"/>
                <w:b/>
                <w:sz w:val="16"/>
                <w:szCs w:val="16"/>
              </w:rPr>
            </w:pPr>
            <w:r w:rsidRPr="00080B04">
              <w:rPr>
                <w:rFonts w:cs="Arial"/>
                <w:b/>
                <w:sz w:val="16"/>
                <w:szCs w:val="16"/>
              </w:rPr>
              <w:t>Total</w:t>
            </w: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7C4CF99F" w14:textId="77777777">
            <w:pPr>
              <w:spacing w:after="0"/>
              <w:jc w:val="right"/>
              <w:rPr>
                <w:rFonts w:cs="Arial"/>
                <w:b/>
                <w:sz w:val="16"/>
                <w:szCs w:val="16"/>
              </w:rPr>
            </w:pPr>
            <w:r w:rsidRPr="00080B04">
              <w:rPr>
                <w:rFonts w:cs="Arial"/>
                <w:b/>
                <w:sz w:val="16"/>
                <w:szCs w:val="16"/>
              </w:rPr>
              <w:t xml:space="preserve">76,497 </w:t>
            </w: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30114093" w14:textId="77777777">
            <w:pPr>
              <w:spacing w:after="0"/>
              <w:jc w:val="right"/>
              <w:rPr>
                <w:rFonts w:cs="Arial"/>
                <w:b/>
                <w:sz w:val="16"/>
                <w:szCs w:val="16"/>
              </w:rPr>
            </w:pPr>
            <w:r w:rsidRPr="00080B04">
              <w:rPr>
                <w:rFonts w:cs="Arial"/>
                <w:b/>
                <w:sz w:val="16"/>
                <w:szCs w:val="16"/>
              </w:rPr>
              <w:t xml:space="preserve">69,591 </w:t>
            </w:r>
          </w:p>
        </w:tc>
        <w:tc>
          <w:tcPr>
            <w:tcW w:w="1588"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20E70BF7" w14:textId="77777777">
            <w:pPr>
              <w:spacing w:after="0"/>
              <w:jc w:val="right"/>
              <w:rPr>
                <w:rFonts w:cs="Arial"/>
                <w:b/>
                <w:sz w:val="16"/>
                <w:szCs w:val="16"/>
              </w:rPr>
            </w:pPr>
            <w:r w:rsidRPr="00080B04">
              <w:rPr>
                <w:rFonts w:cs="Arial"/>
                <w:b/>
                <w:sz w:val="16"/>
                <w:szCs w:val="16"/>
              </w:rPr>
              <w:t xml:space="preserve">1,824 </w:t>
            </w:r>
          </w:p>
        </w:tc>
        <w:tc>
          <w:tcPr>
            <w:tcW w:w="1587" w:type="dxa"/>
            <w:tcBorders>
              <w:top w:val="single" w:color="000000" w:sz="6" w:space="0"/>
              <w:left w:val="nil"/>
              <w:bottom w:val="single" w:color="000000" w:sz="6" w:space="0"/>
              <w:right w:val="nil"/>
            </w:tcBorders>
            <w:tcMar>
              <w:top w:w="28" w:type="dxa"/>
              <w:left w:w="0" w:type="dxa"/>
              <w:bottom w:w="28" w:type="dxa"/>
              <w:right w:w="0" w:type="dxa"/>
            </w:tcMar>
          </w:tcPr>
          <w:p w:rsidRPr="00080B04" w:rsidR="00047807" w:rsidP="00080B04" w:rsidRDefault="00047807" w14:paraId="5AC2BDEC" w14:textId="77777777">
            <w:pPr>
              <w:spacing w:after="0"/>
              <w:jc w:val="right"/>
              <w:rPr>
                <w:rFonts w:cs="Arial"/>
                <w:b/>
                <w:sz w:val="16"/>
                <w:szCs w:val="16"/>
              </w:rPr>
            </w:pPr>
            <w:r w:rsidRPr="00080B04">
              <w:rPr>
                <w:rFonts w:cs="Arial"/>
                <w:b/>
                <w:sz w:val="16"/>
                <w:szCs w:val="16"/>
              </w:rPr>
              <w:t xml:space="preserve">1,429 </w:t>
            </w:r>
          </w:p>
        </w:tc>
      </w:tr>
    </w:tbl>
    <w:p w:rsidR="00080B04" w:rsidP="00047807" w:rsidRDefault="00080B04" w14:paraId="321A583A" w14:textId="60A12C96"/>
    <w:p w:rsidR="00080B04" w:rsidRDefault="00080B04" w14:paraId="22386F5B" w14:textId="77777777">
      <w:pPr>
        <w:spacing w:after="0"/>
      </w:pPr>
      <w:r>
        <w:br w:type="page"/>
      </w:r>
    </w:p>
    <w:p w:rsidRPr="00080B04" w:rsidR="00080B04" w:rsidP="00080B04" w:rsidRDefault="00080B04" w14:paraId="4A4CEF66" w14:textId="3394AF22">
      <w:pPr>
        <w:pStyle w:val="Heading3"/>
      </w:pPr>
      <w:r w:rsidRPr="00080B04">
        <w:lastRenderedPageBreak/>
        <w:t>3.3 Grant expense</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080B04" w:rsidR="00080B04" w:rsidTr="00CC210C" w14:paraId="3E3DF790" w14:textId="77777777">
        <w:trPr>
          <w:tblHeader/>
        </w:trPr>
        <w:tc>
          <w:tcPr>
            <w:tcW w:w="7087" w:type="dxa"/>
            <w:tcBorders>
              <w:top w:val="nil"/>
              <w:left w:val="nil"/>
              <w:bottom w:val="single" w:color="000000" w:sz="6" w:space="0"/>
              <w:right w:val="nil"/>
            </w:tcBorders>
            <w:tcMar>
              <w:top w:w="28" w:type="dxa"/>
              <w:left w:w="0" w:type="dxa"/>
              <w:bottom w:w="28" w:type="dxa"/>
              <w:right w:w="0" w:type="dxa"/>
            </w:tcMar>
          </w:tcPr>
          <w:p w:rsidRPr="00080B04" w:rsidR="00080B04" w:rsidP="00080B04" w:rsidRDefault="00080B04" w14:paraId="0488F84C" w14:textId="77777777">
            <w:pPr>
              <w:pStyle w:val="tablebody"/>
              <w:rPr>
                <w:b/>
                <w:lang w:val="en-US"/>
              </w:rPr>
            </w:pPr>
          </w:p>
        </w:tc>
        <w:tc>
          <w:tcPr>
            <w:tcW w:w="1417" w:type="dxa"/>
            <w:tcBorders>
              <w:top w:val="nil"/>
              <w:left w:val="nil"/>
              <w:bottom w:val="single" w:color="000000" w:sz="6" w:space="0"/>
              <w:right w:val="nil"/>
            </w:tcBorders>
            <w:tcMar>
              <w:top w:w="28" w:type="dxa"/>
              <w:left w:w="0" w:type="dxa"/>
              <w:bottom w:w="28" w:type="dxa"/>
              <w:right w:w="0" w:type="dxa"/>
            </w:tcMar>
          </w:tcPr>
          <w:p w:rsidRPr="00080B04" w:rsidR="00080B04" w:rsidP="00080B04" w:rsidRDefault="00080B04" w14:paraId="15AA1FBA" w14:textId="77777777">
            <w:pPr>
              <w:pStyle w:val="tablebody"/>
              <w:jc w:val="right"/>
              <w:rPr>
                <w:b/>
                <w:lang w:val="en-US"/>
              </w:rPr>
            </w:pPr>
          </w:p>
        </w:tc>
        <w:tc>
          <w:tcPr>
            <w:tcW w:w="1417" w:type="dxa"/>
            <w:tcBorders>
              <w:top w:val="nil"/>
              <w:left w:val="nil"/>
              <w:bottom w:val="single" w:color="000000" w:sz="6" w:space="0"/>
              <w:right w:val="nil"/>
            </w:tcBorders>
            <w:tcMar>
              <w:top w:w="28" w:type="dxa"/>
              <w:left w:w="0" w:type="dxa"/>
              <w:bottom w:w="28" w:type="dxa"/>
              <w:right w:w="0" w:type="dxa"/>
            </w:tcMar>
          </w:tcPr>
          <w:p w:rsidRPr="00080B04" w:rsidR="00080B04" w:rsidP="00080B04" w:rsidRDefault="00080B04" w14:paraId="3A8FEB2D" w14:textId="77777777">
            <w:pPr>
              <w:pStyle w:val="tablebody"/>
              <w:jc w:val="right"/>
              <w:rPr>
                <w:b/>
              </w:rPr>
            </w:pPr>
            <w:r w:rsidRPr="00080B04">
              <w:rPr>
                <w:b/>
              </w:rPr>
              <w:t>($ thousand)</w:t>
            </w:r>
          </w:p>
        </w:tc>
      </w:tr>
      <w:tr w:rsidRPr="00080B04" w:rsidR="00080B04" w:rsidTr="00CC210C" w14:paraId="7E83A1CD" w14:textId="77777777">
        <w:trPr>
          <w:tblHeader/>
        </w:trPr>
        <w:tc>
          <w:tcPr>
            <w:tcW w:w="708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6A4F1D76" w14:textId="77777777">
            <w:pPr>
              <w:pStyle w:val="tablebody"/>
              <w:rPr>
                <w:b/>
                <w:lang w:val="en-US"/>
              </w:rPr>
            </w:pPr>
          </w:p>
        </w:tc>
        <w:tc>
          <w:tcPr>
            <w:tcW w:w="141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782A2303" w14:textId="77777777">
            <w:pPr>
              <w:pStyle w:val="tablebody"/>
              <w:jc w:val="right"/>
              <w:rPr>
                <w:b/>
              </w:rPr>
            </w:pPr>
            <w:r w:rsidRPr="00080B04">
              <w:rPr>
                <w:b/>
              </w:rPr>
              <w:t>2019</w:t>
            </w:r>
          </w:p>
        </w:tc>
        <w:tc>
          <w:tcPr>
            <w:tcW w:w="141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038E208E" w14:textId="77777777">
            <w:pPr>
              <w:pStyle w:val="tablebody"/>
              <w:jc w:val="right"/>
              <w:rPr>
                <w:b/>
              </w:rPr>
            </w:pPr>
            <w:r w:rsidRPr="00080B04">
              <w:rPr>
                <w:b/>
              </w:rPr>
              <w:t>2018</w:t>
            </w:r>
          </w:p>
        </w:tc>
      </w:tr>
      <w:tr w:rsidRPr="00080B04" w:rsidR="00080B04" w:rsidTr="00CC210C" w14:paraId="1BB50DF9" w14:textId="77777777">
        <w:tc>
          <w:tcPr>
            <w:tcW w:w="7087" w:type="dxa"/>
            <w:tcBorders>
              <w:top w:val="single" w:color="000000" w:sz="6" w:space="0"/>
              <w:left w:val="nil"/>
              <w:bottom w:val="nil"/>
              <w:right w:val="nil"/>
            </w:tcBorders>
            <w:tcMar>
              <w:top w:w="28" w:type="dxa"/>
              <w:left w:w="0" w:type="dxa"/>
              <w:bottom w:w="28" w:type="dxa"/>
              <w:right w:w="0" w:type="dxa"/>
            </w:tcMar>
          </w:tcPr>
          <w:p w:rsidRPr="00080B04" w:rsidR="00080B04" w:rsidP="00080B04" w:rsidRDefault="00080B04" w14:paraId="1AE33AD9" w14:textId="77777777">
            <w:pPr>
              <w:pStyle w:val="tablebody"/>
            </w:pPr>
            <w:r w:rsidRPr="00080B04">
              <w:t>Payments to:</w:t>
            </w:r>
          </w:p>
        </w:tc>
        <w:tc>
          <w:tcPr>
            <w:tcW w:w="1417" w:type="dxa"/>
            <w:tcBorders>
              <w:top w:val="single" w:color="000000" w:sz="6" w:space="0"/>
              <w:left w:val="nil"/>
              <w:bottom w:val="nil"/>
              <w:right w:val="nil"/>
            </w:tcBorders>
            <w:tcMar>
              <w:top w:w="28" w:type="dxa"/>
              <w:left w:w="0" w:type="dxa"/>
              <w:bottom w:w="28" w:type="dxa"/>
              <w:right w:w="0" w:type="dxa"/>
            </w:tcMar>
          </w:tcPr>
          <w:p w:rsidRPr="00080B04" w:rsidR="00080B04" w:rsidP="00080B04" w:rsidRDefault="00080B04" w14:paraId="1A555699" w14:textId="77777777">
            <w:pPr>
              <w:pStyle w:val="tablebody"/>
              <w:jc w:val="right"/>
              <w:rPr>
                <w:lang w:val="en-US"/>
              </w:rPr>
            </w:pPr>
          </w:p>
        </w:tc>
        <w:tc>
          <w:tcPr>
            <w:tcW w:w="1417" w:type="dxa"/>
            <w:tcBorders>
              <w:top w:val="single" w:color="000000" w:sz="6" w:space="0"/>
              <w:left w:val="nil"/>
              <w:bottom w:val="nil"/>
              <w:right w:val="nil"/>
            </w:tcBorders>
            <w:tcMar>
              <w:top w:w="28" w:type="dxa"/>
              <w:left w:w="0" w:type="dxa"/>
              <w:bottom w:w="28" w:type="dxa"/>
              <w:right w:w="0" w:type="dxa"/>
            </w:tcMar>
          </w:tcPr>
          <w:p w:rsidRPr="00080B04" w:rsidR="00080B04" w:rsidP="00080B04" w:rsidRDefault="00080B04" w14:paraId="56E7F529" w14:textId="77777777">
            <w:pPr>
              <w:pStyle w:val="tablebody"/>
              <w:jc w:val="right"/>
              <w:rPr>
                <w:lang w:val="en-US"/>
              </w:rPr>
            </w:pPr>
          </w:p>
        </w:tc>
      </w:tr>
      <w:tr w:rsidRPr="00080B04" w:rsidR="00080B04" w:rsidTr="00CC210C" w14:paraId="72DD934A"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0BE5C866" w14:textId="77777777">
            <w:pPr>
              <w:pStyle w:val="Bullet1"/>
              <w:spacing w:after="0"/>
              <w:rPr>
                <w:sz w:val="16"/>
                <w:szCs w:val="16"/>
              </w:rPr>
            </w:pPr>
            <w:r w:rsidRPr="00912894">
              <w:rPr>
                <w:sz w:val="16"/>
                <w:szCs w:val="16"/>
              </w:rPr>
              <w:t>Victoria Police</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0945BAB6" w14:textId="77777777">
            <w:pPr>
              <w:pStyle w:val="tablebody"/>
              <w:jc w:val="right"/>
            </w:pPr>
            <w:r w:rsidRPr="00080B04">
              <w:t xml:space="preserve">3,362,390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5318A0CC" w14:textId="77777777">
            <w:pPr>
              <w:pStyle w:val="tablebody"/>
              <w:jc w:val="right"/>
            </w:pPr>
            <w:r w:rsidRPr="00080B04">
              <w:t xml:space="preserve">3,051,625 </w:t>
            </w:r>
          </w:p>
        </w:tc>
      </w:tr>
      <w:tr w:rsidRPr="00080B04" w:rsidR="00080B04" w:rsidTr="00CC210C" w14:paraId="53F4C765"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39686E47" w14:textId="77777777">
            <w:pPr>
              <w:pStyle w:val="Bullet1"/>
              <w:spacing w:after="0"/>
              <w:rPr>
                <w:sz w:val="16"/>
                <w:szCs w:val="16"/>
              </w:rPr>
            </w:pPr>
            <w:r w:rsidRPr="00912894">
              <w:rPr>
                <w:sz w:val="16"/>
                <w:szCs w:val="16"/>
              </w:rPr>
              <w:t>Country Fire Authority</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765B5EF3" w14:textId="77777777">
            <w:pPr>
              <w:pStyle w:val="tablebody"/>
              <w:jc w:val="right"/>
            </w:pPr>
            <w:r w:rsidRPr="00080B04">
              <w:t xml:space="preserve">619,023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2A568338" w14:textId="77777777">
            <w:pPr>
              <w:pStyle w:val="tablebody"/>
              <w:jc w:val="right"/>
            </w:pPr>
            <w:r w:rsidRPr="00080B04">
              <w:t xml:space="preserve">593,192 </w:t>
            </w:r>
          </w:p>
        </w:tc>
      </w:tr>
      <w:tr w:rsidRPr="00080B04" w:rsidR="00080B04" w:rsidTr="00CC210C" w14:paraId="0EC4570C"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7092558A" w14:textId="77777777">
            <w:pPr>
              <w:pStyle w:val="Bullet1"/>
              <w:spacing w:after="0"/>
              <w:rPr>
                <w:sz w:val="16"/>
                <w:szCs w:val="16"/>
              </w:rPr>
            </w:pPr>
            <w:r w:rsidRPr="00912894">
              <w:rPr>
                <w:sz w:val="16"/>
                <w:szCs w:val="16"/>
              </w:rPr>
              <w:t>Metropolitan Fire and Emergency Services Board</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38E885E5" w14:textId="77777777">
            <w:pPr>
              <w:pStyle w:val="tablebody"/>
              <w:jc w:val="right"/>
            </w:pPr>
            <w:r w:rsidRPr="00080B04">
              <w:t xml:space="preserve">417,287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4B657849" w14:textId="77777777">
            <w:pPr>
              <w:pStyle w:val="tablebody"/>
              <w:jc w:val="right"/>
            </w:pPr>
            <w:r w:rsidRPr="00080B04">
              <w:t xml:space="preserve">380,932 </w:t>
            </w:r>
          </w:p>
        </w:tc>
      </w:tr>
      <w:tr w:rsidRPr="00080B04" w:rsidR="00080B04" w:rsidTr="00CC210C" w14:paraId="62DC9716"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1D4C28A0" w14:textId="77777777">
            <w:pPr>
              <w:pStyle w:val="Bullet1"/>
              <w:spacing w:after="0"/>
              <w:rPr>
                <w:sz w:val="16"/>
                <w:szCs w:val="16"/>
              </w:rPr>
            </w:pPr>
            <w:r w:rsidRPr="00912894">
              <w:rPr>
                <w:sz w:val="16"/>
                <w:szCs w:val="16"/>
              </w:rPr>
              <w:t>Victoria Legal Aid</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0DBF3D9F" w14:textId="77777777">
            <w:pPr>
              <w:pStyle w:val="tablebody"/>
              <w:jc w:val="right"/>
            </w:pPr>
            <w:r w:rsidRPr="00080B04">
              <w:t xml:space="preserve">188,083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7CABB8C7" w14:textId="77777777">
            <w:pPr>
              <w:pStyle w:val="tablebody"/>
              <w:jc w:val="right"/>
            </w:pPr>
            <w:r w:rsidRPr="00080B04">
              <w:t xml:space="preserve">171,387 </w:t>
            </w:r>
          </w:p>
        </w:tc>
      </w:tr>
      <w:tr w:rsidRPr="00080B04" w:rsidR="00080B04" w:rsidTr="00CC210C" w14:paraId="61BAB4E2"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439D1D4E" w14:textId="77777777">
            <w:pPr>
              <w:pStyle w:val="Bullet1"/>
              <w:spacing w:after="0"/>
              <w:rPr>
                <w:sz w:val="16"/>
                <w:szCs w:val="16"/>
              </w:rPr>
            </w:pPr>
            <w:r w:rsidRPr="00912894">
              <w:rPr>
                <w:sz w:val="16"/>
                <w:szCs w:val="16"/>
              </w:rPr>
              <w:t>Office of Public Prosecutions</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7D7A0BE7" w14:textId="77777777">
            <w:pPr>
              <w:pStyle w:val="tablebody"/>
              <w:jc w:val="right"/>
            </w:pPr>
            <w:r w:rsidRPr="00080B04">
              <w:t xml:space="preserve">79,762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4E27A390" w14:textId="77777777">
            <w:pPr>
              <w:pStyle w:val="tablebody"/>
              <w:jc w:val="right"/>
            </w:pPr>
            <w:r w:rsidRPr="00080B04">
              <w:t xml:space="preserve">70,816 </w:t>
            </w:r>
          </w:p>
        </w:tc>
      </w:tr>
      <w:tr w:rsidRPr="00080B04" w:rsidR="00080B04" w:rsidTr="00CC210C" w14:paraId="52788007"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52BA3FAE" w14:textId="77777777">
            <w:pPr>
              <w:pStyle w:val="Bullet1"/>
              <w:spacing w:after="0"/>
              <w:rPr>
                <w:sz w:val="16"/>
                <w:szCs w:val="16"/>
              </w:rPr>
            </w:pPr>
            <w:r w:rsidRPr="00912894">
              <w:rPr>
                <w:sz w:val="16"/>
                <w:szCs w:val="16"/>
              </w:rPr>
              <w:t>Victoria State Emergency Service Authority</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4E29E089" w14:textId="77777777">
            <w:pPr>
              <w:pStyle w:val="tablebody"/>
              <w:jc w:val="right"/>
            </w:pPr>
            <w:r w:rsidRPr="00080B04">
              <w:t xml:space="preserve">60,675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3797B7F2" w14:textId="77777777">
            <w:pPr>
              <w:pStyle w:val="tablebody"/>
              <w:jc w:val="right"/>
            </w:pPr>
            <w:r w:rsidRPr="00080B04">
              <w:t xml:space="preserve">57,765 </w:t>
            </w:r>
          </w:p>
        </w:tc>
      </w:tr>
      <w:tr w:rsidRPr="00080B04" w:rsidR="00080B04" w:rsidTr="00CC210C" w14:paraId="7F8BEB5D"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73D46076" w14:textId="77777777">
            <w:pPr>
              <w:pStyle w:val="Bullet1"/>
              <w:spacing w:after="0"/>
              <w:rPr>
                <w:sz w:val="16"/>
                <w:szCs w:val="16"/>
              </w:rPr>
            </w:pPr>
            <w:r w:rsidRPr="00912894">
              <w:rPr>
                <w:sz w:val="16"/>
                <w:szCs w:val="16"/>
              </w:rPr>
              <w:t>Court Services Victoria</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3585797E" w14:textId="77777777">
            <w:pPr>
              <w:pStyle w:val="tablebody"/>
              <w:jc w:val="right"/>
            </w:pPr>
            <w:r w:rsidRPr="00080B04">
              <w:t xml:space="preserve">23,396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5C929C88" w14:textId="77777777">
            <w:pPr>
              <w:pStyle w:val="tablebody"/>
              <w:jc w:val="right"/>
            </w:pPr>
            <w:r w:rsidRPr="00080B04">
              <w:t xml:space="preserve">23,406 </w:t>
            </w:r>
          </w:p>
        </w:tc>
      </w:tr>
      <w:tr w:rsidRPr="00080B04" w:rsidR="00080B04" w:rsidTr="00CC210C" w14:paraId="55CB2151"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35D14672" w14:textId="77777777">
            <w:pPr>
              <w:pStyle w:val="Bullet1"/>
              <w:spacing w:after="0"/>
              <w:rPr>
                <w:sz w:val="16"/>
                <w:szCs w:val="16"/>
              </w:rPr>
            </w:pPr>
            <w:r w:rsidRPr="00912894">
              <w:rPr>
                <w:sz w:val="16"/>
                <w:szCs w:val="16"/>
              </w:rPr>
              <w:t>Victorian Commission for Gambling and Liquor Regulation</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38886067" w14:textId="77777777">
            <w:pPr>
              <w:pStyle w:val="tablebody"/>
              <w:jc w:val="right"/>
            </w:pPr>
            <w:r w:rsidRPr="00080B04">
              <w:t xml:space="preserve">43,394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62E712DA" w14:textId="77777777">
            <w:pPr>
              <w:pStyle w:val="tablebody"/>
              <w:jc w:val="right"/>
            </w:pPr>
            <w:r w:rsidRPr="00080B04">
              <w:t xml:space="preserve">37,893 </w:t>
            </w:r>
          </w:p>
        </w:tc>
      </w:tr>
      <w:tr w:rsidRPr="00080B04" w:rsidR="00080B04" w:rsidTr="00CC210C" w14:paraId="6D1859F3"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6CC9FE62" w14:textId="77777777">
            <w:pPr>
              <w:pStyle w:val="Bullet1"/>
              <w:spacing w:after="0"/>
              <w:rPr>
                <w:sz w:val="16"/>
                <w:szCs w:val="16"/>
              </w:rPr>
            </w:pPr>
            <w:r w:rsidRPr="00912894">
              <w:rPr>
                <w:sz w:val="16"/>
                <w:szCs w:val="16"/>
              </w:rPr>
              <w:t>Victorian Institute of Forensic Medicine</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1C30ED44" w14:textId="77777777">
            <w:pPr>
              <w:pStyle w:val="tablebody"/>
              <w:jc w:val="right"/>
            </w:pPr>
            <w:r w:rsidRPr="00080B04">
              <w:t xml:space="preserve">41,486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1C0B0054" w14:textId="77777777">
            <w:pPr>
              <w:pStyle w:val="tablebody"/>
              <w:jc w:val="right"/>
            </w:pPr>
            <w:r w:rsidRPr="00080B04">
              <w:t xml:space="preserve">36,771 </w:t>
            </w:r>
          </w:p>
        </w:tc>
      </w:tr>
      <w:tr w:rsidRPr="00080B04" w:rsidR="00080B04" w:rsidTr="00CC210C" w14:paraId="77C7848C"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5A3FAB66" w14:textId="77777777">
            <w:pPr>
              <w:pStyle w:val="Bullet1"/>
              <w:spacing w:after="0"/>
              <w:rPr>
                <w:sz w:val="16"/>
                <w:szCs w:val="16"/>
              </w:rPr>
            </w:pPr>
            <w:r w:rsidRPr="00912894">
              <w:rPr>
                <w:sz w:val="16"/>
                <w:szCs w:val="16"/>
              </w:rPr>
              <w:t>Emergency Services Telecommunications Authority</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579F4617" w14:textId="77777777">
            <w:pPr>
              <w:pStyle w:val="tablebody"/>
              <w:jc w:val="right"/>
            </w:pPr>
            <w:r w:rsidRPr="00080B04">
              <w:t xml:space="preserve">50,505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1450B8A0" w14:textId="77777777">
            <w:pPr>
              <w:pStyle w:val="tablebody"/>
              <w:jc w:val="right"/>
            </w:pPr>
            <w:r w:rsidRPr="00080B04">
              <w:t xml:space="preserve">45,324 </w:t>
            </w:r>
          </w:p>
        </w:tc>
      </w:tr>
      <w:tr w:rsidRPr="00080B04" w:rsidR="00080B04" w:rsidTr="00CC210C" w14:paraId="446D9042"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3C34F86E" w14:textId="77777777">
            <w:pPr>
              <w:pStyle w:val="Bullet1"/>
              <w:spacing w:after="0"/>
              <w:rPr>
                <w:sz w:val="16"/>
                <w:szCs w:val="16"/>
              </w:rPr>
            </w:pPr>
            <w:r w:rsidRPr="00912894">
              <w:rPr>
                <w:sz w:val="16"/>
                <w:szCs w:val="16"/>
              </w:rPr>
              <w:t>Victorian Equal Opportunity and Human Rights Commission</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572B5A51" w14:textId="77777777">
            <w:pPr>
              <w:pStyle w:val="tablebody"/>
              <w:jc w:val="right"/>
            </w:pPr>
            <w:r w:rsidRPr="00080B04">
              <w:t xml:space="preserve">9,197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3534C4C5" w14:textId="77777777">
            <w:pPr>
              <w:pStyle w:val="tablebody"/>
              <w:jc w:val="right"/>
            </w:pPr>
            <w:r w:rsidRPr="00080B04">
              <w:t xml:space="preserve">9,428 </w:t>
            </w:r>
          </w:p>
        </w:tc>
      </w:tr>
      <w:tr w:rsidRPr="00080B04" w:rsidR="00080B04" w:rsidTr="00CC210C" w14:paraId="5EB5291B"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3A4413E3" w14:textId="77777777">
            <w:pPr>
              <w:pStyle w:val="Bullet1"/>
              <w:spacing w:after="0"/>
              <w:rPr>
                <w:sz w:val="16"/>
                <w:szCs w:val="16"/>
              </w:rPr>
            </w:pPr>
            <w:r w:rsidRPr="00912894">
              <w:rPr>
                <w:sz w:val="16"/>
                <w:szCs w:val="16"/>
              </w:rPr>
              <w:t>Sentencing Advisory Council</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60BBB21F" w14:textId="77777777">
            <w:pPr>
              <w:pStyle w:val="tablebody"/>
              <w:jc w:val="right"/>
            </w:pPr>
            <w:r w:rsidRPr="00080B04">
              <w:t xml:space="preserve">1,777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1BAD341E" w14:textId="77777777">
            <w:pPr>
              <w:pStyle w:val="tablebody"/>
              <w:jc w:val="right"/>
            </w:pPr>
            <w:r w:rsidRPr="00080B04">
              <w:t xml:space="preserve">2,018 </w:t>
            </w:r>
          </w:p>
        </w:tc>
      </w:tr>
      <w:tr w:rsidRPr="00080B04" w:rsidR="00080B04" w:rsidTr="00CC210C" w14:paraId="433E8552" w14:textId="77777777">
        <w:tc>
          <w:tcPr>
            <w:tcW w:w="7087" w:type="dxa"/>
            <w:tcBorders>
              <w:top w:val="nil"/>
              <w:left w:val="nil"/>
              <w:bottom w:val="nil"/>
              <w:right w:val="nil"/>
            </w:tcBorders>
            <w:tcMar>
              <w:top w:w="28" w:type="dxa"/>
              <w:left w:w="0" w:type="dxa"/>
              <w:bottom w:w="28" w:type="dxa"/>
              <w:right w:w="0" w:type="dxa"/>
            </w:tcMar>
          </w:tcPr>
          <w:p w:rsidRPr="00912894" w:rsidR="00080B04" w:rsidP="00912894" w:rsidRDefault="00080B04" w14:paraId="66F6D237" w14:textId="77777777">
            <w:pPr>
              <w:pStyle w:val="Bullet1"/>
              <w:spacing w:after="0"/>
              <w:rPr>
                <w:sz w:val="16"/>
                <w:szCs w:val="16"/>
              </w:rPr>
            </w:pPr>
            <w:r w:rsidRPr="00912894">
              <w:rPr>
                <w:sz w:val="16"/>
                <w:szCs w:val="16"/>
              </w:rPr>
              <w:t>Victorian Responsible Gambling Foundation</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25EB66EB" w14:textId="77777777">
            <w:pPr>
              <w:pStyle w:val="tablebody"/>
              <w:jc w:val="right"/>
            </w:pPr>
            <w:r w:rsidRPr="00080B04">
              <w:t xml:space="preserve">2,912 </w:t>
            </w:r>
          </w:p>
        </w:tc>
        <w:tc>
          <w:tcPr>
            <w:tcW w:w="1417" w:type="dxa"/>
            <w:tcBorders>
              <w:top w:val="nil"/>
              <w:left w:val="nil"/>
              <w:bottom w:val="nil"/>
              <w:right w:val="nil"/>
            </w:tcBorders>
            <w:tcMar>
              <w:top w:w="28" w:type="dxa"/>
              <w:left w:w="0" w:type="dxa"/>
              <w:bottom w:w="28" w:type="dxa"/>
              <w:right w:w="0" w:type="dxa"/>
            </w:tcMar>
          </w:tcPr>
          <w:p w:rsidRPr="00080B04" w:rsidR="00080B04" w:rsidP="00080B04" w:rsidRDefault="00080B04" w14:paraId="52D7FE2A" w14:textId="77777777">
            <w:pPr>
              <w:pStyle w:val="tablebody"/>
              <w:jc w:val="right"/>
            </w:pPr>
            <w:r w:rsidRPr="00080B04">
              <w:t xml:space="preserve">2,417 </w:t>
            </w:r>
          </w:p>
        </w:tc>
      </w:tr>
      <w:tr w:rsidRPr="00080B04" w:rsidR="00080B04" w:rsidTr="00CC210C" w14:paraId="7AE74041" w14:textId="77777777">
        <w:tc>
          <w:tcPr>
            <w:tcW w:w="708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508D827D" w14:textId="77777777">
            <w:pPr>
              <w:pStyle w:val="Bullet1"/>
              <w:spacing w:after="0"/>
              <w:rPr>
                <w:sz w:val="16"/>
                <w:szCs w:val="16"/>
              </w:rPr>
            </w:pPr>
            <w:r w:rsidRPr="00912894">
              <w:rPr>
                <w:sz w:val="16"/>
                <w:szCs w:val="16"/>
              </w:rPr>
              <w:t>Other parties</w:t>
            </w:r>
          </w:p>
        </w:tc>
        <w:tc>
          <w:tcPr>
            <w:tcW w:w="1417" w:type="dxa"/>
            <w:tcBorders>
              <w:top w:val="nil"/>
              <w:left w:val="nil"/>
              <w:bottom w:val="single" w:color="000000" w:sz="6" w:space="0"/>
              <w:right w:val="nil"/>
            </w:tcBorders>
            <w:tcMar>
              <w:top w:w="28" w:type="dxa"/>
              <w:left w:w="0" w:type="dxa"/>
              <w:bottom w:w="57" w:type="dxa"/>
              <w:right w:w="0" w:type="dxa"/>
            </w:tcMar>
          </w:tcPr>
          <w:p w:rsidRPr="00080B04" w:rsidR="00080B04" w:rsidP="00080B04" w:rsidRDefault="00080B04" w14:paraId="5FD3DE3C" w14:textId="77777777">
            <w:pPr>
              <w:pStyle w:val="tablebody"/>
              <w:jc w:val="right"/>
            </w:pPr>
            <w:r w:rsidRPr="00080B04">
              <w:t xml:space="preserve">143,614 </w:t>
            </w:r>
          </w:p>
        </w:tc>
        <w:tc>
          <w:tcPr>
            <w:tcW w:w="1417" w:type="dxa"/>
            <w:tcBorders>
              <w:top w:val="nil"/>
              <w:left w:val="nil"/>
              <w:bottom w:val="single" w:color="000000" w:sz="6" w:space="0"/>
              <w:right w:val="nil"/>
            </w:tcBorders>
            <w:tcMar>
              <w:top w:w="28" w:type="dxa"/>
              <w:left w:w="0" w:type="dxa"/>
              <w:bottom w:w="57" w:type="dxa"/>
              <w:right w:w="0" w:type="dxa"/>
            </w:tcMar>
          </w:tcPr>
          <w:p w:rsidRPr="00080B04" w:rsidR="00080B04" w:rsidP="00080B04" w:rsidRDefault="00080B04" w14:paraId="5E01820E" w14:textId="77777777">
            <w:pPr>
              <w:pStyle w:val="tablebody"/>
              <w:jc w:val="right"/>
            </w:pPr>
            <w:r w:rsidRPr="00080B04">
              <w:t xml:space="preserve">151,143 </w:t>
            </w:r>
          </w:p>
        </w:tc>
      </w:tr>
      <w:tr w:rsidRPr="00080B04" w:rsidR="00080B04" w:rsidTr="00CC210C" w14:paraId="745C6462" w14:textId="77777777">
        <w:tc>
          <w:tcPr>
            <w:tcW w:w="708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1498F068" w14:textId="77777777">
            <w:pPr>
              <w:pStyle w:val="tablebody"/>
              <w:rPr>
                <w:b/>
              </w:rPr>
            </w:pPr>
            <w:r w:rsidRPr="00080B04">
              <w:rPr>
                <w:b/>
              </w:rPr>
              <w:t>Total grant expenses</w:t>
            </w:r>
          </w:p>
        </w:tc>
        <w:tc>
          <w:tcPr>
            <w:tcW w:w="141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4A4B83BF" w14:textId="77777777">
            <w:pPr>
              <w:pStyle w:val="tablebody"/>
              <w:jc w:val="right"/>
              <w:rPr>
                <w:b/>
              </w:rPr>
            </w:pPr>
            <w:r w:rsidRPr="00080B04">
              <w:rPr>
                <w:b/>
              </w:rPr>
              <w:t xml:space="preserve">5,043,501 </w:t>
            </w:r>
          </w:p>
        </w:tc>
        <w:tc>
          <w:tcPr>
            <w:tcW w:w="1417" w:type="dxa"/>
            <w:tcBorders>
              <w:top w:val="single" w:color="000000" w:sz="6" w:space="0"/>
              <w:left w:val="nil"/>
              <w:bottom w:val="single" w:color="000000" w:sz="6" w:space="0"/>
              <w:right w:val="nil"/>
            </w:tcBorders>
            <w:tcMar>
              <w:top w:w="28" w:type="dxa"/>
              <w:left w:w="0" w:type="dxa"/>
              <w:bottom w:w="28" w:type="dxa"/>
              <w:right w:w="0" w:type="dxa"/>
            </w:tcMar>
          </w:tcPr>
          <w:p w:rsidRPr="00080B04" w:rsidR="00080B04" w:rsidP="00080B04" w:rsidRDefault="00080B04" w14:paraId="4E0A188B" w14:textId="77777777">
            <w:pPr>
              <w:pStyle w:val="tablebody"/>
              <w:jc w:val="right"/>
              <w:rPr>
                <w:b/>
              </w:rPr>
            </w:pPr>
            <w:r w:rsidRPr="00080B04">
              <w:rPr>
                <w:b/>
              </w:rPr>
              <w:t xml:space="preserve">4,634,117 </w:t>
            </w:r>
          </w:p>
        </w:tc>
      </w:tr>
    </w:tbl>
    <w:p w:rsidRPr="00080B04" w:rsidR="00080B04" w:rsidP="00080B04" w:rsidRDefault="00080B04" w14:paraId="3EF1A33E" w14:textId="77777777">
      <w:r w:rsidRPr="00912894">
        <w:rPr>
          <w:b/>
        </w:rPr>
        <w:t>Grant expenses</w:t>
      </w:r>
      <w:r w:rsidRPr="00080B04">
        <w:t xml:space="preserve"> are contributions of the department’s resources to another party for specific or general purposes where there is no expectation that the amount will be repaid in equal value (either by money, goods or services).  Grant expenses are recognised in the reporting period in which they are paid or payable.  </w:t>
      </w:r>
    </w:p>
    <w:p w:rsidRPr="00080B04" w:rsidR="00080B04" w:rsidP="00912894" w:rsidRDefault="00080B04" w14:paraId="265A9551" w14:textId="086020B2">
      <w:pPr>
        <w:pStyle w:val="Heading3"/>
      </w:pPr>
      <w:r w:rsidRPr="00080B04">
        <w:t>3.4 Capital asset charge</w:t>
      </w:r>
    </w:p>
    <w:tbl>
      <w:tblPr>
        <w:tblW w:w="0" w:type="auto"/>
        <w:tblLayout w:type="fixed"/>
        <w:tblCellMar>
          <w:left w:w="0" w:type="dxa"/>
          <w:right w:w="0" w:type="dxa"/>
        </w:tblCellMar>
        <w:tblLook w:firstRow="0" w:lastRow="0" w:firstColumn="0" w:lastColumn="0" w:noHBand="0" w:noVBand="0" w:val="0000"/>
      </w:tblPr>
      <w:tblGrid>
        <w:gridCol w:w="7087"/>
        <w:gridCol w:w="1417"/>
        <w:gridCol w:w="1417"/>
      </w:tblGrid>
      <w:tr w:rsidRPr="00912894" w:rsidR="00080B04" w:rsidTr="00912894" w14:paraId="16F939A4" w14:textId="77777777">
        <w:trPr>
          <w:tblHeader/>
        </w:trPr>
        <w:tc>
          <w:tcPr>
            <w:tcW w:w="708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7C1F0F0D" w14:textId="77777777">
            <w:pPr>
              <w:pStyle w:val="tablebody"/>
              <w:rPr>
                <w:b/>
              </w:rPr>
            </w:pP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4E9162A1" w14:textId="77777777">
            <w:pPr>
              <w:pStyle w:val="tablebody"/>
              <w:jc w:val="right"/>
              <w:rPr>
                <w:b/>
              </w:rPr>
            </w:pP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3A818C89" w14:textId="77777777">
            <w:pPr>
              <w:pStyle w:val="tablebody"/>
              <w:jc w:val="right"/>
              <w:rPr>
                <w:b/>
              </w:rPr>
            </w:pPr>
            <w:r w:rsidRPr="00912894">
              <w:rPr>
                <w:b/>
              </w:rPr>
              <w:t>($ thousand)</w:t>
            </w:r>
          </w:p>
        </w:tc>
      </w:tr>
      <w:tr w:rsidRPr="00912894" w:rsidR="00080B04" w:rsidTr="00912894" w14:paraId="6BCCC880" w14:textId="77777777">
        <w:trPr>
          <w:tblHeader/>
        </w:trPr>
        <w:tc>
          <w:tcPr>
            <w:tcW w:w="708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72250232" w14:textId="77777777">
            <w:pPr>
              <w:pStyle w:val="tablebody"/>
              <w:rPr>
                <w:b/>
              </w:rPr>
            </w:pP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10D22C28" w14:textId="77777777">
            <w:pPr>
              <w:pStyle w:val="tablebody"/>
              <w:jc w:val="right"/>
              <w:rPr>
                <w:b/>
              </w:rPr>
            </w:pPr>
            <w:r w:rsidRPr="00912894">
              <w:rPr>
                <w:b/>
              </w:rPr>
              <w:t>2019</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69F4B4E6" w14:textId="77777777">
            <w:pPr>
              <w:pStyle w:val="tablebody"/>
              <w:jc w:val="right"/>
              <w:rPr>
                <w:b/>
              </w:rPr>
            </w:pPr>
            <w:r w:rsidRPr="00912894">
              <w:rPr>
                <w:b/>
              </w:rPr>
              <w:t>2018</w:t>
            </w:r>
          </w:p>
        </w:tc>
      </w:tr>
      <w:tr w:rsidRPr="00912894" w:rsidR="00080B04" w:rsidTr="00912894" w14:paraId="5F0CFA23" w14:textId="77777777">
        <w:tc>
          <w:tcPr>
            <w:tcW w:w="708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2A34B463" w14:textId="77777777">
            <w:pPr>
              <w:pStyle w:val="tablebody"/>
            </w:pPr>
            <w:r w:rsidRPr="00912894">
              <w:t>Capital asset charge</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42F9045E" w14:textId="77777777">
            <w:pPr>
              <w:pStyle w:val="tablebody"/>
              <w:jc w:val="right"/>
            </w:pPr>
            <w:r w:rsidRPr="00912894">
              <w:t xml:space="preserve">185,884 </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66297226" w14:textId="77777777">
            <w:pPr>
              <w:pStyle w:val="tablebody"/>
              <w:jc w:val="right"/>
            </w:pPr>
            <w:r w:rsidRPr="00912894">
              <w:t xml:space="preserve">169,878 </w:t>
            </w:r>
          </w:p>
        </w:tc>
      </w:tr>
    </w:tbl>
    <w:p w:rsidRPr="00080B04" w:rsidR="00080B04" w:rsidP="00080B04" w:rsidRDefault="00080B04" w14:paraId="5FF80DDD" w14:textId="77777777">
      <w:r w:rsidRPr="00912894">
        <w:rPr>
          <w:b/>
        </w:rPr>
        <w:t>A capital asset charge</w:t>
      </w:r>
      <w:r w:rsidRPr="00080B04">
        <w:t xml:space="preserve"> is a charge levied on the written down value of controlled non-current physical assets in a department’s balance sheet.  It aims to attribute to the department outputs, a cost of capital used in service delivery.  Imposing this charge provides incentives for the department to identify and dispose of underutilised or surplus non-current physical assets.</w:t>
      </w:r>
    </w:p>
    <w:p w:rsidRPr="00912894" w:rsidR="00080B04" w:rsidP="00912894" w:rsidRDefault="00080B04" w14:paraId="7D90B78B" w14:textId="6AD30E39">
      <w:pPr>
        <w:pStyle w:val="Heading3"/>
      </w:pPr>
      <w:r w:rsidRPr="00912894">
        <w:t>3.5 Supplies and services</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912894" w:rsidR="00080B04" w:rsidTr="00CC210C" w14:paraId="182428FF" w14:textId="77777777">
        <w:trPr>
          <w:tblHeader/>
        </w:trPr>
        <w:tc>
          <w:tcPr>
            <w:tcW w:w="708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33DE3925" w14:textId="77777777">
            <w:pPr>
              <w:pStyle w:val="tablebody"/>
              <w:rPr>
                <w:b/>
              </w:rPr>
            </w:pP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6F431EC6" w14:textId="77777777">
            <w:pPr>
              <w:pStyle w:val="tablebody"/>
              <w:jc w:val="right"/>
              <w:rPr>
                <w:b/>
              </w:rPr>
            </w:pP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7D008611" w14:textId="77777777">
            <w:pPr>
              <w:pStyle w:val="tablebody"/>
              <w:jc w:val="right"/>
              <w:rPr>
                <w:b/>
              </w:rPr>
            </w:pPr>
            <w:r w:rsidRPr="00912894">
              <w:rPr>
                <w:b/>
              </w:rPr>
              <w:t>($ thousand)</w:t>
            </w:r>
          </w:p>
        </w:tc>
      </w:tr>
      <w:tr w:rsidRPr="00912894" w:rsidR="00080B04" w:rsidTr="00CC210C" w14:paraId="7F8E217B" w14:textId="77777777">
        <w:trPr>
          <w:tblHeader/>
        </w:trPr>
        <w:tc>
          <w:tcPr>
            <w:tcW w:w="708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3E458AFD" w14:textId="77777777">
            <w:pPr>
              <w:pStyle w:val="tablebody"/>
              <w:rPr>
                <w:b/>
              </w:rPr>
            </w:pP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0CF1E946" w14:textId="77777777">
            <w:pPr>
              <w:pStyle w:val="tablebody"/>
              <w:jc w:val="right"/>
              <w:rPr>
                <w:b/>
              </w:rPr>
            </w:pPr>
            <w:r w:rsidRPr="00912894">
              <w:rPr>
                <w:b/>
              </w:rPr>
              <w:t>2019</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378EE258" w14:textId="77777777">
            <w:pPr>
              <w:pStyle w:val="tablebody"/>
              <w:jc w:val="right"/>
              <w:rPr>
                <w:b/>
              </w:rPr>
            </w:pPr>
            <w:r w:rsidRPr="00912894">
              <w:rPr>
                <w:b/>
              </w:rPr>
              <w:t>2018</w:t>
            </w:r>
          </w:p>
        </w:tc>
      </w:tr>
      <w:tr w:rsidRPr="00912894" w:rsidR="00080B04" w:rsidTr="00CC210C" w14:paraId="5DF42925" w14:textId="77777777">
        <w:tc>
          <w:tcPr>
            <w:tcW w:w="7087" w:type="dxa"/>
            <w:tcBorders>
              <w:top w:val="single" w:color="000000" w:sz="6" w:space="0"/>
              <w:left w:val="nil"/>
              <w:bottom w:val="nil"/>
              <w:right w:val="nil"/>
            </w:tcBorders>
            <w:tcMar>
              <w:top w:w="28" w:type="dxa"/>
              <w:left w:w="0" w:type="dxa"/>
              <w:bottom w:w="57" w:type="dxa"/>
              <w:right w:w="0" w:type="dxa"/>
            </w:tcMar>
          </w:tcPr>
          <w:p w:rsidRPr="00912894" w:rsidR="00080B04" w:rsidP="00912894" w:rsidRDefault="00080B04" w14:paraId="0AA771E2" w14:textId="77777777">
            <w:pPr>
              <w:pStyle w:val="tablebody"/>
            </w:pPr>
            <w:r w:rsidRPr="00912894">
              <w:t>Outsourced contracts</w:t>
            </w:r>
          </w:p>
        </w:tc>
        <w:tc>
          <w:tcPr>
            <w:tcW w:w="1417" w:type="dxa"/>
            <w:tcBorders>
              <w:top w:val="single" w:color="000000" w:sz="6" w:space="0"/>
              <w:left w:val="nil"/>
              <w:bottom w:val="nil"/>
              <w:right w:val="nil"/>
            </w:tcBorders>
            <w:tcMar>
              <w:top w:w="28" w:type="dxa"/>
              <w:left w:w="0" w:type="dxa"/>
              <w:bottom w:w="57" w:type="dxa"/>
              <w:right w:w="0" w:type="dxa"/>
            </w:tcMar>
          </w:tcPr>
          <w:p w:rsidRPr="00912894" w:rsidR="00080B04" w:rsidP="00912894" w:rsidRDefault="00080B04" w14:paraId="54C8AADD" w14:textId="77777777">
            <w:pPr>
              <w:pStyle w:val="tablebody"/>
              <w:jc w:val="right"/>
            </w:pPr>
            <w:r w:rsidRPr="00912894">
              <w:t xml:space="preserve">697,147 </w:t>
            </w:r>
          </w:p>
        </w:tc>
        <w:tc>
          <w:tcPr>
            <w:tcW w:w="1417" w:type="dxa"/>
            <w:tcBorders>
              <w:top w:val="single" w:color="000000" w:sz="6" w:space="0"/>
              <w:left w:val="nil"/>
              <w:bottom w:val="nil"/>
              <w:right w:val="nil"/>
            </w:tcBorders>
            <w:tcMar>
              <w:top w:w="28" w:type="dxa"/>
              <w:left w:w="0" w:type="dxa"/>
              <w:bottom w:w="57" w:type="dxa"/>
              <w:right w:w="0" w:type="dxa"/>
            </w:tcMar>
          </w:tcPr>
          <w:p w:rsidRPr="00912894" w:rsidR="00080B04" w:rsidP="00912894" w:rsidRDefault="00080B04" w14:paraId="314FD03B" w14:textId="77777777">
            <w:pPr>
              <w:pStyle w:val="tablebody"/>
              <w:jc w:val="right"/>
            </w:pPr>
            <w:r w:rsidRPr="00912894">
              <w:t xml:space="preserve">584,345 </w:t>
            </w:r>
          </w:p>
        </w:tc>
      </w:tr>
      <w:tr w:rsidRPr="00912894" w:rsidR="00080B04" w:rsidTr="00CC210C" w14:paraId="2074BDE7" w14:textId="77777777">
        <w:tc>
          <w:tcPr>
            <w:tcW w:w="7087" w:type="dxa"/>
            <w:tcBorders>
              <w:top w:val="nil"/>
              <w:left w:val="nil"/>
              <w:bottom w:val="nil"/>
              <w:right w:val="nil"/>
            </w:tcBorders>
            <w:tcMar>
              <w:top w:w="28" w:type="dxa"/>
              <w:left w:w="0" w:type="dxa"/>
              <w:bottom w:w="57" w:type="dxa"/>
              <w:right w:w="0" w:type="dxa"/>
            </w:tcMar>
          </w:tcPr>
          <w:p w:rsidRPr="00912894" w:rsidR="00080B04" w:rsidP="00912894" w:rsidRDefault="00080B04" w14:paraId="7ADB55BE" w14:textId="77777777">
            <w:pPr>
              <w:pStyle w:val="tablebody"/>
            </w:pPr>
            <w:r w:rsidRPr="00912894">
              <w:t>Contractors, professional services and consultants</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4B754A0A" w14:textId="77777777">
            <w:pPr>
              <w:pStyle w:val="tablebody"/>
              <w:jc w:val="right"/>
            </w:pPr>
            <w:r w:rsidRPr="00912894">
              <w:t xml:space="preserve">106,951 </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6DA650C0" w14:textId="77777777">
            <w:pPr>
              <w:pStyle w:val="tablebody"/>
              <w:jc w:val="right"/>
            </w:pPr>
            <w:r w:rsidRPr="00912894">
              <w:t xml:space="preserve">116,832 </w:t>
            </w:r>
          </w:p>
        </w:tc>
      </w:tr>
      <w:tr w:rsidRPr="00912894" w:rsidR="00080B04" w:rsidTr="00CC210C" w14:paraId="7136B9DB" w14:textId="77777777">
        <w:tc>
          <w:tcPr>
            <w:tcW w:w="7087" w:type="dxa"/>
            <w:tcBorders>
              <w:top w:val="nil"/>
              <w:left w:val="nil"/>
              <w:bottom w:val="nil"/>
              <w:right w:val="nil"/>
            </w:tcBorders>
            <w:tcMar>
              <w:top w:w="28" w:type="dxa"/>
              <w:left w:w="0" w:type="dxa"/>
              <w:bottom w:w="57" w:type="dxa"/>
              <w:right w:w="0" w:type="dxa"/>
            </w:tcMar>
          </w:tcPr>
          <w:p w:rsidRPr="00912894" w:rsidR="00080B04" w:rsidP="00912894" w:rsidRDefault="00080B04" w14:paraId="39A60CFA" w14:textId="77777777">
            <w:pPr>
              <w:pStyle w:val="tablebody"/>
            </w:pPr>
            <w:r w:rsidRPr="00912894">
              <w:t>Accommodation and property services</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324CA64B" w14:textId="77777777">
            <w:pPr>
              <w:pStyle w:val="tablebody"/>
              <w:jc w:val="right"/>
            </w:pPr>
            <w:r w:rsidRPr="00912894">
              <w:t xml:space="preserve">88,151 </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41944C0F" w14:textId="77777777">
            <w:pPr>
              <w:pStyle w:val="tablebody"/>
              <w:jc w:val="right"/>
            </w:pPr>
            <w:r w:rsidRPr="00912894">
              <w:t xml:space="preserve">73,579 </w:t>
            </w:r>
          </w:p>
        </w:tc>
      </w:tr>
      <w:tr w:rsidRPr="00912894" w:rsidR="00080B04" w:rsidTr="00CC210C" w14:paraId="51C8D183" w14:textId="77777777">
        <w:tc>
          <w:tcPr>
            <w:tcW w:w="7087" w:type="dxa"/>
            <w:tcBorders>
              <w:top w:val="nil"/>
              <w:left w:val="nil"/>
              <w:bottom w:val="nil"/>
              <w:right w:val="nil"/>
            </w:tcBorders>
            <w:tcMar>
              <w:top w:w="28" w:type="dxa"/>
              <w:left w:w="0" w:type="dxa"/>
              <w:bottom w:w="57" w:type="dxa"/>
              <w:right w:w="0" w:type="dxa"/>
            </w:tcMar>
          </w:tcPr>
          <w:p w:rsidRPr="00912894" w:rsidR="00080B04" w:rsidP="00912894" w:rsidRDefault="00080B04" w14:paraId="5B8501AA" w14:textId="77777777">
            <w:pPr>
              <w:pStyle w:val="tablebody"/>
            </w:pPr>
            <w:r w:rsidRPr="00912894">
              <w:t>Maintenance</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189DC162" w14:textId="77777777">
            <w:pPr>
              <w:pStyle w:val="tablebody"/>
              <w:jc w:val="right"/>
            </w:pPr>
            <w:r w:rsidRPr="00912894">
              <w:t xml:space="preserve">26,346 </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77109248" w14:textId="77777777">
            <w:pPr>
              <w:pStyle w:val="tablebody"/>
              <w:jc w:val="right"/>
            </w:pPr>
            <w:r w:rsidRPr="00912894">
              <w:t xml:space="preserve">27,865 </w:t>
            </w:r>
          </w:p>
        </w:tc>
      </w:tr>
      <w:tr w:rsidRPr="00912894" w:rsidR="00080B04" w:rsidTr="00CC210C" w14:paraId="13A709FE" w14:textId="77777777">
        <w:tc>
          <w:tcPr>
            <w:tcW w:w="7087" w:type="dxa"/>
            <w:tcBorders>
              <w:top w:val="nil"/>
              <w:left w:val="nil"/>
              <w:bottom w:val="nil"/>
              <w:right w:val="nil"/>
            </w:tcBorders>
            <w:tcMar>
              <w:top w:w="28" w:type="dxa"/>
              <w:left w:w="0" w:type="dxa"/>
              <w:bottom w:w="57" w:type="dxa"/>
              <w:right w:w="0" w:type="dxa"/>
            </w:tcMar>
          </w:tcPr>
          <w:p w:rsidRPr="00912894" w:rsidR="00080B04" w:rsidP="00912894" w:rsidRDefault="00080B04" w14:paraId="201A6416" w14:textId="77777777">
            <w:pPr>
              <w:pStyle w:val="tablebody"/>
            </w:pPr>
            <w:r w:rsidRPr="00912894">
              <w:t>Technology services</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2F7E5D23" w14:textId="77777777">
            <w:pPr>
              <w:pStyle w:val="tablebody"/>
              <w:jc w:val="right"/>
            </w:pPr>
            <w:r w:rsidRPr="00912894">
              <w:t xml:space="preserve">78,750 </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1DC7C396" w14:textId="77777777">
            <w:pPr>
              <w:pStyle w:val="tablebody"/>
              <w:jc w:val="right"/>
            </w:pPr>
            <w:r w:rsidRPr="00912894">
              <w:t xml:space="preserve">61,211 </w:t>
            </w:r>
          </w:p>
        </w:tc>
      </w:tr>
      <w:tr w:rsidRPr="00912894" w:rsidR="00080B04" w:rsidTr="00CC210C" w14:paraId="75C782F6" w14:textId="77777777">
        <w:tc>
          <w:tcPr>
            <w:tcW w:w="7087" w:type="dxa"/>
            <w:tcBorders>
              <w:top w:val="nil"/>
              <w:left w:val="nil"/>
              <w:bottom w:val="nil"/>
              <w:right w:val="nil"/>
            </w:tcBorders>
            <w:tcMar>
              <w:top w:w="28" w:type="dxa"/>
              <w:left w:w="0" w:type="dxa"/>
              <w:bottom w:w="57" w:type="dxa"/>
              <w:right w:w="0" w:type="dxa"/>
            </w:tcMar>
          </w:tcPr>
          <w:p w:rsidRPr="00912894" w:rsidR="00080B04" w:rsidP="00912894" w:rsidRDefault="00080B04" w14:paraId="0A37071B" w14:textId="77777777">
            <w:pPr>
              <w:pStyle w:val="tablebody"/>
            </w:pPr>
            <w:r w:rsidRPr="00912894">
              <w:t>Printing, stationery and other office expenses</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7C184243" w14:textId="77777777">
            <w:pPr>
              <w:pStyle w:val="tablebody"/>
              <w:jc w:val="right"/>
            </w:pPr>
            <w:r w:rsidRPr="00912894">
              <w:t xml:space="preserve">33,560 </w:t>
            </w:r>
          </w:p>
        </w:tc>
        <w:tc>
          <w:tcPr>
            <w:tcW w:w="1417" w:type="dxa"/>
            <w:tcBorders>
              <w:top w:val="nil"/>
              <w:left w:val="nil"/>
              <w:bottom w:val="nil"/>
              <w:right w:val="nil"/>
            </w:tcBorders>
            <w:tcMar>
              <w:top w:w="28" w:type="dxa"/>
              <w:left w:w="0" w:type="dxa"/>
              <w:bottom w:w="57" w:type="dxa"/>
              <w:right w:w="0" w:type="dxa"/>
            </w:tcMar>
          </w:tcPr>
          <w:p w:rsidRPr="00912894" w:rsidR="00080B04" w:rsidP="00912894" w:rsidRDefault="00080B04" w14:paraId="49B31207" w14:textId="77777777">
            <w:pPr>
              <w:pStyle w:val="tablebody"/>
              <w:jc w:val="right"/>
            </w:pPr>
            <w:r w:rsidRPr="00912894">
              <w:t xml:space="preserve">30,939 </w:t>
            </w:r>
          </w:p>
        </w:tc>
      </w:tr>
      <w:tr w:rsidRPr="00912894" w:rsidR="00080B04" w:rsidTr="00CC210C" w14:paraId="3BFC0B00" w14:textId="77777777">
        <w:tc>
          <w:tcPr>
            <w:tcW w:w="708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01F81134" w14:textId="77777777">
            <w:pPr>
              <w:pStyle w:val="tablebody"/>
            </w:pPr>
            <w:r w:rsidRPr="00912894">
              <w:t>Other</w:t>
            </w: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24B8B8DB" w14:textId="77777777">
            <w:pPr>
              <w:pStyle w:val="tablebody"/>
              <w:jc w:val="right"/>
            </w:pPr>
            <w:r w:rsidRPr="00912894">
              <w:t xml:space="preserve">130,358 </w:t>
            </w:r>
          </w:p>
        </w:tc>
        <w:tc>
          <w:tcPr>
            <w:tcW w:w="1417" w:type="dxa"/>
            <w:tcBorders>
              <w:top w:val="nil"/>
              <w:left w:val="nil"/>
              <w:bottom w:val="single" w:color="000000" w:sz="6" w:space="0"/>
              <w:right w:val="nil"/>
            </w:tcBorders>
            <w:tcMar>
              <w:top w:w="28" w:type="dxa"/>
              <w:left w:w="0" w:type="dxa"/>
              <w:bottom w:w="57" w:type="dxa"/>
              <w:right w:w="0" w:type="dxa"/>
            </w:tcMar>
          </w:tcPr>
          <w:p w:rsidRPr="00912894" w:rsidR="00080B04" w:rsidP="00912894" w:rsidRDefault="00080B04" w14:paraId="5D986F8B" w14:textId="77777777">
            <w:pPr>
              <w:pStyle w:val="tablebody"/>
              <w:jc w:val="right"/>
            </w:pPr>
            <w:r w:rsidRPr="00912894">
              <w:t xml:space="preserve">108,338 </w:t>
            </w:r>
          </w:p>
        </w:tc>
      </w:tr>
      <w:tr w:rsidRPr="00912894" w:rsidR="00080B04" w:rsidTr="00CC210C" w14:paraId="3A678683" w14:textId="77777777">
        <w:tc>
          <w:tcPr>
            <w:tcW w:w="708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4F3EE13B" w14:textId="77777777">
            <w:pPr>
              <w:pStyle w:val="tablebody"/>
              <w:rPr>
                <w:b/>
              </w:rPr>
            </w:pPr>
            <w:r w:rsidRPr="00912894">
              <w:rPr>
                <w:b/>
              </w:rPr>
              <w:t>Total supplies and services</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3A53734B" w14:textId="77777777">
            <w:pPr>
              <w:pStyle w:val="tablebody"/>
              <w:jc w:val="right"/>
              <w:rPr>
                <w:b/>
              </w:rPr>
            </w:pPr>
            <w:r w:rsidRPr="00912894">
              <w:rPr>
                <w:b/>
              </w:rPr>
              <w:t xml:space="preserve">1,161,263 </w:t>
            </w:r>
          </w:p>
        </w:tc>
        <w:tc>
          <w:tcPr>
            <w:tcW w:w="1417" w:type="dxa"/>
            <w:tcBorders>
              <w:top w:val="single" w:color="000000" w:sz="6" w:space="0"/>
              <w:left w:val="nil"/>
              <w:bottom w:val="single" w:color="000000" w:sz="6" w:space="0"/>
              <w:right w:val="nil"/>
            </w:tcBorders>
            <w:tcMar>
              <w:top w:w="28" w:type="dxa"/>
              <w:left w:w="0" w:type="dxa"/>
              <w:bottom w:w="57" w:type="dxa"/>
              <w:right w:w="0" w:type="dxa"/>
            </w:tcMar>
          </w:tcPr>
          <w:p w:rsidRPr="00912894" w:rsidR="00080B04" w:rsidP="00912894" w:rsidRDefault="00080B04" w14:paraId="2E7ADC70" w14:textId="77777777">
            <w:pPr>
              <w:pStyle w:val="tablebody"/>
              <w:jc w:val="right"/>
              <w:rPr>
                <w:b/>
              </w:rPr>
            </w:pPr>
            <w:r w:rsidRPr="00912894">
              <w:rPr>
                <w:b/>
              </w:rPr>
              <w:t xml:space="preserve">1,003,109 </w:t>
            </w:r>
          </w:p>
        </w:tc>
      </w:tr>
    </w:tbl>
    <w:p w:rsidRPr="00080B04" w:rsidR="00080B04" w:rsidP="00080B04" w:rsidRDefault="00080B04" w14:paraId="07A7DD93" w14:textId="77777777">
      <w:r w:rsidRPr="00912894">
        <w:rPr>
          <w:b/>
        </w:rPr>
        <w:t>Supplies and services</w:t>
      </w:r>
      <w:r w:rsidRPr="00080B04">
        <w:t xml:space="preserve"> generally represent the day-to-day running costs incurred in normal operations, and are recognised as an expense in the reporting period in which they are incurred.</w:t>
      </w:r>
    </w:p>
    <w:p w:rsidRPr="00080B04" w:rsidR="00080B04" w:rsidP="00080B04" w:rsidRDefault="00080B04" w14:paraId="4DEBF68A" w14:textId="77777777">
      <w:r w:rsidRPr="00912894">
        <w:rPr>
          <w:b/>
        </w:rPr>
        <w:t>Outsourced contracts</w:t>
      </w:r>
      <w:r w:rsidRPr="00080B04">
        <w:t xml:space="preserve"> relate to expenses paid for outsourced functions of the department.  </w:t>
      </w:r>
    </w:p>
    <w:p w:rsidRPr="00080B04" w:rsidR="00080B04" w:rsidP="00080B04" w:rsidRDefault="00080B04" w14:paraId="705DF76D" w14:textId="77777777">
      <w:r w:rsidRPr="00912894">
        <w:rPr>
          <w:b/>
        </w:rPr>
        <w:t>Contractors, professional services and consultants</w:t>
      </w:r>
      <w:r w:rsidRPr="00080B04">
        <w:t xml:space="preserve"> relate to the expenses paid for operational services, specialist professional services, expert analysis and strategic advice.</w:t>
      </w:r>
    </w:p>
    <w:p w:rsidRPr="00080B04" w:rsidR="00080B04" w:rsidP="00080B04" w:rsidRDefault="00080B04" w14:paraId="5FEA14FF" w14:textId="77777777">
      <w:r w:rsidRPr="00912894">
        <w:rPr>
          <w:b/>
        </w:rPr>
        <w:t>Accommodation and property services</w:t>
      </w:r>
      <w:r w:rsidRPr="00080B04">
        <w:t xml:space="preserve"> relate to the expenses paid for accommodation leases, utilities, cleaning services, fire protection services, security services, storage costs and other services.</w:t>
      </w:r>
    </w:p>
    <w:p w:rsidRPr="00080B04" w:rsidR="00080B04" w:rsidP="00080B04" w:rsidRDefault="00080B04" w14:paraId="323452FA" w14:textId="77777777">
      <w:r w:rsidRPr="00912894">
        <w:rPr>
          <w:b/>
        </w:rPr>
        <w:t>Maintenance</w:t>
      </w:r>
      <w:r w:rsidRPr="00080B04">
        <w:t xml:space="preserve"> relates to the expenses paid for repairs and maintenance services.</w:t>
      </w:r>
    </w:p>
    <w:p w:rsidRPr="00080B04" w:rsidR="00080B04" w:rsidP="00080B04" w:rsidRDefault="00080B04" w14:paraId="1C602095" w14:textId="77777777">
      <w:r w:rsidRPr="00912894">
        <w:rPr>
          <w:b/>
        </w:rPr>
        <w:t>Technology services</w:t>
      </w:r>
      <w:r w:rsidRPr="00080B04">
        <w:t xml:space="preserve"> relate to the expenses paid for information and technology services.</w:t>
      </w:r>
    </w:p>
    <w:p w:rsidRPr="00080B04" w:rsidR="00080B04" w:rsidP="00080B04" w:rsidRDefault="00080B04" w14:paraId="2ECEACDA" w14:textId="77777777">
      <w:r w:rsidRPr="00912894">
        <w:rPr>
          <w:b/>
        </w:rPr>
        <w:t>Printing, stationery and other office expenses</w:t>
      </w:r>
      <w:r w:rsidRPr="00080B04">
        <w:t xml:space="preserve"> relate to expenses paid for stationery, consumables, supplies, external printing, books, acts, regulations, statutory rulings, legal subscriptions, transcripts, newspapers, magazines, journals, media monitoring services, advertising, low value office equipment and other office expenses.</w:t>
      </w:r>
    </w:p>
    <w:p w:rsidR="00912894" w:rsidRDefault="00912894" w14:paraId="7CC65B15" w14:textId="3DD59E70">
      <w:pPr>
        <w:spacing w:after="0"/>
      </w:pPr>
      <w:r>
        <w:br w:type="page"/>
      </w:r>
    </w:p>
    <w:p w:rsidRPr="00912894" w:rsidR="00912894" w:rsidP="00912894" w:rsidRDefault="00912894" w14:paraId="0C698C8D" w14:textId="77777777">
      <w:pPr>
        <w:pStyle w:val="Heading2"/>
      </w:pPr>
      <w:bookmarkStart w:id="18" w:name="_Toc21870906"/>
      <w:r w:rsidRPr="00912894">
        <w:lastRenderedPageBreak/>
        <w:t>4. Disaggregated financial information by output</w:t>
      </w:r>
      <w:bookmarkEnd w:id="18"/>
    </w:p>
    <w:p w:rsidRPr="00912894" w:rsidR="00912894" w:rsidP="00912894" w:rsidRDefault="00912894" w14:paraId="4841A383" w14:textId="77777777">
      <w:pPr>
        <w:pStyle w:val="Heading3"/>
      </w:pPr>
      <w:r w:rsidRPr="00912894">
        <w:t>4.1 Introduction</w:t>
      </w:r>
    </w:p>
    <w:p w:rsidRPr="00912894" w:rsidR="00912894" w:rsidP="00912894" w:rsidRDefault="00912894" w14:paraId="192AAB77" w14:textId="77777777">
      <w:r w:rsidRPr="00912894">
        <w:t>This section provides a description of the departmental outputs delivered during the year ended 30 June 2019 along with the objectives of those outputs.</w:t>
      </w:r>
    </w:p>
    <w:p w:rsidRPr="00912894" w:rsidR="00912894" w:rsidP="00912894" w:rsidRDefault="00912894" w14:paraId="1500A3AA" w14:textId="77777777">
      <w:r w:rsidRPr="00912894">
        <w:t>This note disaggregates income that enables the delivery of services (described in note 2) by output and records the allocation of expenses incurred (described in note 3) also by output, which form part of controlled balances of the department.</w:t>
      </w:r>
    </w:p>
    <w:p w:rsidRPr="00912894" w:rsidR="00912894" w:rsidP="00912894" w:rsidRDefault="00912894" w14:paraId="54936369" w14:textId="77777777">
      <w:r w:rsidRPr="00912894">
        <w:t>It also provides information on items administered in connection with these outputs.</w:t>
      </w:r>
    </w:p>
    <w:p w:rsidRPr="00912894" w:rsidR="00912894" w:rsidP="00912894" w:rsidRDefault="00912894" w14:paraId="355984E4" w14:textId="7B6FED3F">
      <w:r w:rsidRPr="00912894">
        <w:t>The distinction between controlled and administered items is drawn based on whether the department has the ability to deploy the resources in question for its own benefit (controlled items) or whether it does so on behalf of the State (administered). The department remains accountable for transactions involving administered items, but it does not recognise these items in its financial statements.</w:t>
      </w:r>
    </w:p>
    <w:p w:rsidRPr="00912894" w:rsidR="00912894" w:rsidP="00912894" w:rsidRDefault="00912894" w14:paraId="464BFF30" w14:textId="77777777">
      <w:pPr>
        <w:pStyle w:val="Heading3"/>
      </w:pPr>
      <w:r w:rsidRPr="00912894">
        <w:t>4.2 Department outputs – descriptions and objectives</w:t>
      </w:r>
    </w:p>
    <w:p w:rsidRPr="00912894" w:rsidR="00912894" w:rsidP="00912894" w:rsidRDefault="00912894" w14:paraId="6C899E8A" w14:textId="77777777">
      <w:pPr>
        <w:pStyle w:val="Heading4"/>
      </w:pPr>
      <w:r w:rsidRPr="00912894">
        <w:t>Policing and crime prevention</w:t>
      </w:r>
    </w:p>
    <w:p w:rsidRPr="00912894" w:rsidR="00912894" w:rsidP="00912894" w:rsidRDefault="00912894" w14:paraId="7694069F" w14:textId="77777777">
      <w:r w:rsidRPr="00912894">
        <w:rPr>
          <w:b/>
        </w:rPr>
        <w:t>Description of output:</w:t>
      </w:r>
      <w:r w:rsidRPr="00912894">
        <w:t xml:space="preserve"> This output group reports on activities relating to the provision of effective police and law enforcement services that aim to prevent, detect, investigate and prosecute crime, and promote safer road user behaviour.  It focuses on activities that enable Victorians to undertake their lawful pursuits confidently, safely and without fear of crime.</w:t>
      </w:r>
    </w:p>
    <w:p w:rsidRPr="00912894" w:rsidR="00912894" w:rsidP="00912894" w:rsidRDefault="00912894" w14:paraId="27CEF095" w14:textId="77777777">
      <w:r w:rsidRPr="00912894">
        <w:rPr>
          <w:b/>
        </w:rPr>
        <w:t>Objectives:</w:t>
      </w:r>
      <w:r w:rsidRPr="00912894">
        <w:t xml:space="preserve"> This output group contributes to the department’s objective of ‘ensuring community safety through policing, law enforcement and prevention activities’.</w:t>
      </w:r>
    </w:p>
    <w:p w:rsidRPr="00912894" w:rsidR="00912894" w:rsidP="00912894" w:rsidRDefault="00912894" w14:paraId="48F0507B" w14:textId="77777777">
      <w:pPr>
        <w:pStyle w:val="Heading4"/>
      </w:pPr>
      <w:r w:rsidRPr="00912894">
        <w:t>Enforcing and managing correctional orders</w:t>
      </w:r>
    </w:p>
    <w:p w:rsidRPr="00912894" w:rsidR="00912894" w:rsidP="00912894" w:rsidRDefault="00912894" w14:paraId="464C5C0B" w14:textId="77777777">
      <w:r w:rsidRPr="00912894">
        <w:rPr>
          <w:b/>
        </w:rPr>
        <w:t>Description of output:</w:t>
      </w:r>
      <w:r w:rsidRPr="00912894">
        <w:t xml:space="preserve"> This output group relates to the management of the State’s adult correctional system.</w:t>
      </w:r>
    </w:p>
    <w:p w:rsidRPr="00912894" w:rsidR="00912894" w:rsidP="00912894" w:rsidRDefault="00912894" w14:paraId="7A73F845" w14:textId="77777777">
      <w:r w:rsidRPr="00912894">
        <w:rPr>
          <w:b/>
        </w:rPr>
        <w:t>Objectives:</w:t>
      </w:r>
      <w:r w:rsidRPr="00912894">
        <w:t xml:space="preserve"> This output group contributes to the department’s objective of ‘effective management of prisoners and offenders and provision of opportunities for rehabilitation and reparation’.</w:t>
      </w:r>
    </w:p>
    <w:p w:rsidRPr="00912894" w:rsidR="00912894" w:rsidP="00912894" w:rsidRDefault="00912894" w14:paraId="4E086CF2" w14:textId="77777777">
      <w:pPr>
        <w:pStyle w:val="Heading4"/>
      </w:pPr>
      <w:r w:rsidRPr="00912894">
        <w:t>Youth justice services</w:t>
      </w:r>
    </w:p>
    <w:p w:rsidRPr="00912894" w:rsidR="00912894" w:rsidP="00912894" w:rsidRDefault="00912894" w14:paraId="34485FC0" w14:textId="77777777">
      <w:r w:rsidRPr="00912894">
        <w:rPr>
          <w:b/>
        </w:rPr>
        <w:t>Description of output:</w:t>
      </w:r>
      <w:r w:rsidRPr="00912894">
        <w:t xml:space="preserve"> This output group promotes opportunities for rehabilitation for young people in the youth justice system and contributes to the reduction of crime in the community by providing a range of services including diversion services, advice to courts, offence related programs, community-based and custodial supervision.</w:t>
      </w:r>
    </w:p>
    <w:p w:rsidRPr="00912894" w:rsidR="00912894" w:rsidP="00912894" w:rsidRDefault="00912894" w14:paraId="578E0870" w14:textId="77777777">
      <w:r w:rsidRPr="00912894">
        <w:rPr>
          <w:b/>
        </w:rPr>
        <w:t>Objectives:</w:t>
      </w:r>
      <w:r w:rsidRPr="00912894">
        <w:t xml:space="preserve"> This output group contributes to the department’s objective of ‘effective supervision of young offenders through the provision of youth justice services promoting rehabilitation’.</w:t>
      </w:r>
    </w:p>
    <w:p w:rsidRPr="00B32DBF" w:rsidR="00B32DBF" w:rsidP="00B32DBF" w:rsidRDefault="00B32DBF" w14:paraId="787D8740" w14:textId="77777777">
      <w:pPr>
        <w:pStyle w:val="Heading4"/>
      </w:pPr>
      <w:r w:rsidRPr="00B32DBF">
        <w:t>Criminal justice services</w:t>
      </w:r>
    </w:p>
    <w:p w:rsidRPr="00B32DBF" w:rsidR="00B32DBF" w:rsidP="00B32DBF" w:rsidRDefault="00B32DBF" w14:paraId="02BA8E13" w14:textId="77777777">
      <w:pPr>
        <w:rPr>
          <w:rFonts w:cs="Times New Roman (Body CS)"/>
          <w:spacing w:val="-2"/>
        </w:rPr>
      </w:pPr>
      <w:r w:rsidRPr="00B32DBF">
        <w:rPr>
          <w:rFonts w:cs="Times New Roman (Body CS)"/>
          <w:b/>
          <w:spacing w:val="-2"/>
        </w:rPr>
        <w:t>Description of output:</w:t>
      </w:r>
      <w:r w:rsidRPr="00B32DBF">
        <w:rPr>
          <w:rFonts w:cs="Times New Roman (Body CS)"/>
          <w:spacing w:val="-2"/>
        </w:rPr>
        <w:t xml:space="preserve"> This output group relates to the provision of criminal justice services that support legal processes and law reform.  Services that support legal processes include legal assistance and education services, prosecution services, community mediation services, support for victims of crime, risk assessments for those working with or caring for children, infringement processing and enforcement activities and the delivery of independent, expert forensic medical services to the justice system.  Other services in this output group include legal policy advice to government, law reform, and sentencing advisory services.</w:t>
      </w:r>
    </w:p>
    <w:p w:rsidRPr="00B32DBF" w:rsidR="00B32DBF" w:rsidP="00B32DBF" w:rsidRDefault="00B32DBF" w14:paraId="49E93110" w14:textId="77777777">
      <w:r w:rsidRPr="00B32DBF">
        <w:rPr>
          <w:b/>
        </w:rPr>
        <w:t>Objectives:</w:t>
      </w:r>
      <w:r w:rsidRPr="00B32DBF">
        <w:t xml:space="preserve"> This output group contributes to the department’s objective of ‘a fair and accessible criminal justice system that supports a just society based on the rule of law’.</w:t>
      </w:r>
    </w:p>
    <w:p w:rsidRPr="00B32DBF" w:rsidR="00B32DBF" w:rsidP="00B32DBF" w:rsidRDefault="00B32DBF" w14:paraId="120C1B91" w14:textId="77777777">
      <w:pPr>
        <w:pStyle w:val="Heading4"/>
      </w:pPr>
      <w:r w:rsidRPr="00B32DBF">
        <w:t>Civil justice services</w:t>
      </w:r>
    </w:p>
    <w:p w:rsidRPr="00B32DBF" w:rsidR="00B32DBF" w:rsidP="00B32DBF" w:rsidRDefault="00B32DBF" w14:paraId="758A519B" w14:textId="77777777">
      <w:r w:rsidRPr="00B32DBF">
        <w:rPr>
          <w:b/>
        </w:rPr>
        <w:t>Description of output:</w:t>
      </w:r>
      <w:r w:rsidRPr="00B32DBF">
        <w:t xml:space="preserve"> This output group supports the Victorian community through the provision of services relating to: rights and equal opportunity; life event registration and identity protection; and advocacy and guardianship for Victorians with a disability or mental illness.</w:t>
      </w:r>
    </w:p>
    <w:p w:rsidRPr="00B32DBF" w:rsidR="00B32DBF" w:rsidP="00B32DBF" w:rsidRDefault="00B32DBF" w14:paraId="56698F88" w14:textId="77777777">
      <w:r w:rsidRPr="00B32DBF">
        <w:rPr>
          <w:b/>
        </w:rPr>
        <w:t>Objectives:</w:t>
      </w:r>
      <w:r w:rsidRPr="00B32DBF">
        <w:t xml:space="preserve"> This output group contributes to the department’s objective of ‘a fair and accessible civil justice system that supports a just society with increased confidence and equality in the Victorian community.</w:t>
      </w:r>
    </w:p>
    <w:p w:rsidRPr="00B32DBF" w:rsidR="00B32DBF" w:rsidP="00B32DBF" w:rsidRDefault="00B32DBF" w14:paraId="2AB447B9" w14:textId="77777777">
      <w:pPr>
        <w:pStyle w:val="Heading4"/>
      </w:pPr>
      <w:r w:rsidRPr="00B32DBF">
        <w:t>Emergency management</w:t>
      </w:r>
    </w:p>
    <w:p w:rsidRPr="00B32DBF" w:rsidR="00B32DBF" w:rsidP="00B32DBF" w:rsidRDefault="00B32DBF" w14:paraId="61304C96" w14:textId="77777777">
      <w:r w:rsidRPr="00B32DBF">
        <w:rPr>
          <w:b/>
        </w:rPr>
        <w:t>Description of output:</w:t>
      </w:r>
      <w:r w:rsidRPr="00B32DBF">
        <w:t xml:space="preserve"> This output group supports the delivery of a coordinated, all communities - all emergencies approach to emergency management, focusing on risk mitigation and active partnership with the Victorian community.</w:t>
      </w:r>
    </w:p>
    <w:p w:rsidRPr="00B32DBF" w:rsidR="00B32DBF" w:rsidP="00B32DBF" w:rsidRDefault="00B32DBF" w14:paraId="14F7022B" w14:textId="77777777">
      <w:r w:rsidRPr="00B32DBF">
        <w:rPr>
          <w:b/>
        </w:rPr>
        <w:t>Objectives:</w:t>
      </w:r>
      <w:r w:rsidRPr="00B32DBF">
        <w:t xml:space="preserve"> This output group contributes to the department’s objective to ‘reduce the impact of, and consequences from, natural disasters and other emergencies on people, infrastructure, the economy and the environment’.</w:t>
      </w:r>
    </w:p>
    <w:p w:rsidRPr="00B32DBF" w:rsidR="00B32DBF" w:rsidP="00B32DBF" w:rsidRDefault="00B32DBF" w14:paraId="631ADFC5" w14:textId="77777777">
      <w:pPr>
        <w:pStyle w:val="Heading4"/>
      </w:pPr>
      <w:r w:rsidRPr="00B32DBF">
        <w:t>Industry regulation and support</w:t>
      </w:r>
    </w:p>
    <w:p w:rsidRPr="00B32DBF" w:rsidR="00B32DBF" w:rsidP="00B32DBF" w:rsidRDefault="00B32DBF" w14:paraId="19077298" w14:textId="77777777">
      <w:pPr>
        <w:rPr>
          <w:rFonts w:cs="Times New Roman (Body CS)"/>
          <w:spacing w:val="-2"/>
        </w:rPr>
      </w:pPr>
      <w:r w:rsidRPr="00B32DBF">
        <w:rPr>
          <w:rFonts w:cs="Times New Roman (Body CS)"/>
          <w:b/>
          <w:spacing w:val="-2"/>
        </w:rPr>
        <w:t>Description of output:</w:t>
      </w:r>
      <w:r w:rsidRPr="00B32DBF">
        <w:rPr>
          <w:rFonts w:cs="Times New Roman (Body CS)"/>
          <w:spacing w:val="-2"/>
        </w:rPr>
        <w:t xml:space="preserve"> This output group relates to harm minimisation through the regulation of the gambling and liquor industries, as well as support and development of the racing sector.  This output group also promotes the empowerment of consumers and businesses to know their rights and responsibilities to promote a well-functioning market economy through regulation and support to consumers and businesses.  There is a specific focus on the needs of vulnerable and disadvantaged consumers.</w:t>
      </w:r>
    </w:p>
    <w:p w:rsidR="00F0351D" w:rsidP="00B32DBF" w:rsidRDefault="00B32DBF" w14:paraId="4AB71F69" w14:textId="77777777">
      <w:pPr>
        <w:sectPr w:rsidR="00F0351D" w:rsidSect="005F28BF">
          <w:headerReference r:id="rId13" w:type="first"/>
          <w:pgSz w:w="11900" w:h="16840"/>
          <w:pgMar w:top="1701" w:right="851" w:bottom="851" w:left="851" w:header="0" w:footer="284" w:gutter="0"/>
          <w:cols w:space="720"/>
          <w:docGrid w:linePitch="360"/>
          <w15:footnoteColumns w:val="1"/>
        </w:sectPr>
      </w:pPr>
      <w:r w:rsidRPr="00B32DBF">
        <w:rPr>
          <w:b/>
        </w:rPr>
        <w:t>Objectives:</w:t>
      </w:r>
      <w:r w:rsidRPr="00B32DBF">
        <w:t xml:space="preserve"> This output group contributes to the department’s objective of ‘a fair market place for Victorian consumers and businesses with responsible and sustainable liquor, gambling and racing sectors’.</w:t>
      </w:r>
    </w:p>
    <w:p w:rsidRPr="00535DCC" w:rsidR="00045808" w:rsidP="00535DCC" w:rsidRDefault="00045808" w14:paraId="7AC7BCA4" w14:textId="6544F299">
      <w:pPr>
        <w:spacing w:before="360" w:after="60"/>
        <w:ind w:left="-1418" w:right="91"/>
        <w:rPr>
          <w:b/>
          <w:bCs/>
        </w:rPr>
      </w:pPr>
      <w:r w:rsidRPr="00045808">
        <w:rPr>
          <w:b/>
          <w:bCs/>
        </w:rPr>
        <w:lastRenderedPageBreak/>
        <w:t>Departmental outputs - controlled</w:t>
      </w:r>
    </w:p>
    <w:tbl>
      <w:tblPr>
        <w:tblW w:w="16160" w:type="dxa"/>
        <w:tblInd w:w="-1418" w:type="dxa"/>
        <w:tblLayout w:type="fixed"/>
        <w:tblCellMar>
          <w:left w:w="0" w:type="dxa"/>
          <w:right w:w="0" w:type="dxa"/>
        </w:tblCellMar>
        <w:tblLook w:firstRow="1" w:lastRow="0" w:firstColumn="0" w:lastColumn="0" w:noHBand="0" w:noVBand="0" w:val="0020"/>
      </w:tblPr>
      <w:tblGrid>
        <w:gridCol w:w="142"/>
        <w:gridCol w:w="2424"/>
        <w:gridCol w:w="837"/>
        <w:gridCol w:w="850"/>
        <w:gridCol w:w="851"/>
        <w:gridCol w:w="850"/>
        <w:gridCol w:w="851"/>
        <w:gridCol w:w="850"/>
        <w:gridCol w:w="851"/>
        <w:gridCol w:w="850"/>
        <w:gridCol w:w="851"/>
        <w:gridCol w:w="850"/>
        <w:gridCol w:w="851"/>
        <w:gridCol w:w="850"/>
        <w:gridCol w:w="851"/>
        <w:gridCol w:w="850"/>
        <w:gridCol w:w="850"/>
        <w:gridCol w:w="851"/>
      </w:tblGrid>
      <w:tr w:rsidRPr="0088782A" w:rsidR="00535DCC" w:rsidTr="00CC210C" w14:paraId="415FC337" w14:textId="77777777">
        <w:trPr>
          <w:tblHeader/>
        </w:trPr>
        <w:tc>
          <w:tcPr>
            <w:tcW w:w="142"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5B9CEBC5" w14:textId="77777777">
            <w:pPr>
              <w:pStyle w:val="tablebody"/>
              <w:rPr>
                <w:rFonts w:cs="Arial"/>
                <w:b/>
                <w:sz w:val="14"/>
                <w:szCs w:val="14"/>
                <w:lang w:val="en-US"/>
              </w:rPr>
            </w:pPr>
          </w:p>
        </w:tc>
        <w:tc>
          <w:tcPr>
            <w:tcW w:w="2424"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2E0DB8B6" w14:textId="77777777">
            <w:pPr>
              <w:pStyle w:val="tablebody"/>
              <w:rPr>
                <w:rFonts w:cs="Arial"/>
                <w:b/>
                <w:sz w:val="14"/>
                <w:szCs w:val="14"/>
                <w:lang w:val="en-US"/>
              </w:rPr>
            </w:pPr>
          </w:p>
        </w:tc>
        <w:tc>
          <w:tcPr>
            <w:tcW w:w="1687"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F73F748"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EE264D6"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E436438"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A68A990"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C3DBE65"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7BE14AA"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22B8DDA" w14:textId="77777777">
            <w:pPr>
              <w:pStyle w:val="tablebody"/>
              <w:jc w:val="right"/>
              <w:rPr>
                <w:rFonts w:cs="Arial"/>
                <w:b/>
                <w:sz w:val="14"/>
                <w:szCs w:val="14"/>
                <w:lang w:val="en-US"/>
              </w:rPr>
            </w:pP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BEDEB12" w14:textId="77777777">
            <w:pPr>
              <w:pStyle w:val="tablebody"/>
              <w:jc w:val="right"/>
              <w:rPr>
                <w:rFonts w:cs="Arial"/>
                <w:b/>
                <w:sz w:val="14"/>
                <w:szCs w:val="14"/>
              </w:rPr>
            </w:pPr>
            <w:r w:rsidRPr="0088782A">
              <w:rPr>
                <w:rFonts w:cs="Arial"/>
                <w:b/>
                <w:sz w:val="14"/>
                <w:szCs w:val="14"/>
              </w:rPr>
              <w:t>($ thousand)</w:t>
            </w:r>
          </w:p>
        </w:tc>
      </w:tr>
      <w:tr w:rsidRPr="0088782A" w:rsidR="00535DCC" w:rsidTr="00CC210C" w14:paraId="02703F22" w14:textId="77777777">
        <w:trPr>
          <w:tblHeader/>
        </w:trPr>
        <w:tc>
          <w:tcPr>
            <w:tcW w:w="142" w:type="dxa"/>
            <w:tcBorders>
              <w:top w:val="single" w:color="000000" w:sz="6" w:space="0"/>
              <w:left w:val="nil"/>
              <w:bottom w:val="single" w:color="000000" w:sz="8" w:space="0"/>
              <w:right w:val="nil"/>
            </w:tcBorders>
            <w:tcMar>
              <w:top w:w="28" w:type="dxa"/>
              <w:left w:w="0" w:type="dxa"/>
              <w:bottom w:w="28" w:type="dxa"/>
              <w:right w:w="0" w:type="dxa"/>
            </w:tcMar>
            <w:vAlign w:val="bottom"/>
          </w:tcPr>
          <w:p w:rsidRPr="0088782A" w:rsidR="00045808" w:rsidP="00045808" w:rsidRDefault="00045808" w14:paraId="11D0FF3B" w14:textId="77777777">
            <w:pPr>
              <w:pStyle w:val="tablebody"/>
              <w:rPr>
                <w:rFonts w:cs="Arial"/>
                <w:b/>
                <w:sz w:val="14"/>
                <w:szCs w:val="14"/>
                <w:lang w:val="en-US"/>
              </w:rPr>
            </w:pPr>
          </w:p>
        </w:tc>
        <w:tc>
          <w:tcPr>
            <w:tcW w:w="2424" w:type="dxa"/>
            <w:tcBorders>
              <w:top w:val="single" w:color="000000" w:sz="6" w:space="0"/>
              <w:left w:val="nil"/>
              <w:bottom w:val="single" w:color="000000" w:sz="8" w:space="0"/>
              <w:right w:val="nil"/>
            </w:tcBorders>
            <w:tcMar>
              <w:top w:w="28" w:type="dxa"/>
              <w:left w:w="0" w:type="dxa"/>
              <w:bottom w:w="28" w:type="dxa"/>
              <w:right w:w="0" w:type="dxa"/>
            </w:tcMar>
            <w:vAlign w:val="bottom"/>
          </w:tcPr>
          <w:p w:rsidRPr="0088782A" w:rsidR="00045808" w:rsidP="00045808" w:rsidRDefault="00045808" w14:paraId="19DC43A4" w14:textId="77777777">
            <w:pPr>
              <w:pStyle w:val="tablebody"/>
              <w:rPr>
                <w:rFonts w:cs="Arial"/>
                <w:b/>
                <w:sz w:val="14"/>
                <w:szCs w:val="14"/>
                <w:lang w:val="en-US"/>
              </w:rPr>
            </w:pPr>
          </w:p>
        </w:tc>
        <w:tc>
          <w:tcPr>
            <w:tcW w:w="1687"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21BAFD0" w14:textId="77777777">
            <w:pPr>
              <w:pStyle w:val="tablebody"/>
              <w:jc w:val="right"/>
              <w:rPr>
                <w:rFonts w:cs="Arial"/>
                <w:b/>
                <w:sz w:val="14"/>
                <w:szCs w:val="14"/>
              </w:rPr>
            </w:pPr>
            <w:r w:rsidRPr="0088782A">
              <w:rPr>
                <w:rFonts w:cs="Arial"/>
                <w:b/>
                <w:sz w:val="14"/>
                <w:szCs w:val="14"/>
              </w:rPr>
              <w:t xml:space="preserve">Policing and </w:t>
            </w:r>
            <w:r w:rsidRPr="0088782A">
              <w:rPr>
                <w:rFonts w:cs="Arial"/>
                <w:b/>
                <w:sz w:val="14"/>
                <w:szCs w:val="14"/>
              </w:rPr>
              <w:br/>
              <w:t>crime prevention</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B34921B" w14:textId="77777777">
            <w:pPr>
              <w:pStyle w:val="tablebody"/>
              <w:jc w:val="right"/>
              <w:rPr>
                <w:rFonts w:cs="Arial"/>
                <w:b/>
                <w:sz w:val="14"/>
                <w:szCs w:val="14"/>
              </w:rPr>
            </w:pPr>
            <w:r w:rsidRPr="0088782A">
              <w:rPr>
                <w:rFonts w:cs="Arial"/>
                <w:b/>
                <w:sz w:val="14"/>
                <w:szCs w:val="14"/>
              </w:rPr>
              <w:t xml:space="preserve">Enforcing and managing </w:t>
            </w:r>
            <w:r w:rsidRPr="0088782A">
              <w:rPr>
                <w:rFonts w:cs="Arial"/>
                <w:b/>
                <w:sz w:val="14"/>
                <w:szCs w:val="14"/>
              </w:rPr>
              <w:br/>
              <w:t>correctional orders</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AD603F4" w14:textId="77777777">
            <w:pPr>
              <w:pStyle w:val="tablebody"/>
              <w:jc w:val="right"/>
              <w:rPr>
                <w:rFonts w:cs="Arial"/>
                <w:b/>
                <w:sz w:val="14"/>
                <w:szCs w:val="14"/>
              </w:rPr>
            </w:pPr>
            <w:r w:rsidRPr="0088782A">
              <w:rPr>
                <w:rFonts w:cs="Arial"/>
                <w:b/>
                <w:sz w:val="14"/>
                <w:szCs w:val="14"/>
              </w:rPr>
              <w:t xml:space="preserve">Youth justice </w:t>
            </w:r>
            <w:r w:rsidRPr="0088782A">
              <w:rPr>
                <w:rFonts w:cs="Arial"/>
                <w:b/>
                <w:sz w:val="14"/>
                <w:szCs w:val="14"/>
              </w:rPr>
              <w:br/>
              <w:t>services</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F628214" w14:textId="77777777">
            <w:pPr>
              <w:pStyle w:val="tablebody"/>
              <w:jc w:val="right"/>
              <w:rPr>
                <w:rFonts w:cs="Arial"/>
                <w:b/>
                <w:sz w:val="14"/>
                <w:szCs w:val="14"/>
              </w:rPr>
            </w:pPr>
            <w:r w:rsidRPr="0088782A">
              <w:rPr>
                <w:rFonts w:cs="Arial"/>
                <w:b/>
                <w:sz w:val="14"/>
                <w:szCs w:val="14"/>
              </w:rPr>
              <w:t xml:space="preserve">Criminal justice </w:t>
            </w:r>
            <w:r w:rsidRPr="0088782A">
              <w:rPr>
                <w:rFonts w:cs="Arial"/>
                <w:b/>
                <w:sz w:val="14"/>
                <w:szCs w:val="14"/>
              </w:rPr>
              <w:br/>
              <w:t>services</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1251C52" w14:textId="77777777">
            <w:pPr>
              <w:pStyle w:val="tablebody"/>
              <w:jc w:val="right"/>
              <w:rPr>
                <w:rFonts w:cs="Arial"/>
                <w:b/>
                <w:sz w:val="14"/>
                <w:szCs w:val="14"/>
              </w:rPr>
            </w:pPr>
            <w:r w:rsidRPr="0088782A">
              <w:rPr>
                <w:rFonts w:cs="Arial"/>
                <w:b/>
                <w:sz w:val="14"/>
                <w:szCs w:val="14"/>
              </w:rPr>
              <w:t xml:space="preserve">Civil justice </w:t>
            </w:r>
            <w:r w:rsidRPr="0088782A">
              <w:rPr>
                <w:rFonts w:cs="Arial"/>
                <w:b/>
                <w:sz w:val="14"/>
                <w:szCs w:val="14"/>
              </w:rPr>
              <w:br/>
              <w:t>services</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7BC5492" w14:textId="77777777">
            <w:pPr>
              <w:pStyle w:val="tablebody"/>
              <w:jc w:val="right"/>
              <w:rPr>
                <w:rFonts w:cs="Arial"/>
                <w:b/>
                <w:sz w:val="14"/>
                <w:szCs w:val="14"/>
              </w:rPr>
            </w:pPr>
            <w:r w:rsidRPr="0088782A">
              <w:rPr>
                <w:rFonts w:cs="Arial"/>
                <w:b/>
                <w:sz w:val="14"/>
                <w:szCs w:val="14"/>
              </w:rPr>
              <w:t xml:space="preserve">Emergency </w:t>
            </w:r>
            <w:r w:rsidRPr="0088782A">
              <w:rPr>
                <w:rFonts w:cs="Arial"/>
                <w:b/>
                <w:sz w:val="14"/>
                <w:szCs w:val="14"/>
              </w:rPr>
              <w:br/>
              <w:t>management</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F055CA0" w14:textId="77777777">
            <w:pPr>
              <w:pStyle w:val="tablebody"/>
              <w:jc w:val="right"/>
              <w:rPr>
                <w:rFonts w:cs="Arial"/>
                <w:b/>
                <w:sz w:val="14"/>
                <w:szCs w:val="14"/>
              </w:rPr>
            </w:pPr>
            <w:r w:rsidRPr="0088782A">
              <w:rPr>
                <w:rFonts w:cs="Arial"/>
                <w:b/>
                <w:sz w:val="14"/>
                <w:szCs w:val="14"/>
              </w:rPr>
              <w:t>Industry regulation</w:t>
            </w:r>
            <w:r w:rsidRPr="0088782A">
              <w:rPr>
                <w:rFonts w:cs="Arial"/>
                <w:b/>
                <w:sz w:val="14"/>
                <w:szCs w:val="14"/>
              </w:rPr>
              <w:br/>
              <w:t>and support</w:t>
            </w:r>
          </w:p>
        </w:tc>
        <w:tc>
          <w:tcPr>
            <w:tcW w:w="1701"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BBF3C11" w14:textId="77777777">
            <w:pPr>
              <w:pStyle w:val="tablebody"/>
              <w:jc w:val="right"/>
              <w:rPr>
                <w:rFonts w:cs="Arial"/>
                <w:b/>
                <w:sz w:val="14"/>
                <w:szCs w:val="14"/>
              </w:rPr>
            </w:pPr>
            <w:r w:rsidRPr="0088782A">
              <w:rPr>
                <w:rFonts w:cs="Arial"/>
                <w:b/>
                <w:sz w:val="14"/>
                <w:szCs w:val="14"/>
              </w:rPr>
              <w:t>Departmental total</w:t>
            </w:r>
          </w:p>
        </w:tc>
      </w:tr>
      <w:tr w:rsidRPr="0088782A" w:rsidR="00535DCC" w:rsidTr="00CC210C" w14:paraId="6B5C5CD2" w14:textId="77777777">
        <w:trPr>
          <w:tblHeader/>
        </w:trPr>
        <w:tc>
          <w:tcPr>
            <w:tcW w:w="142" w:type="dxa"/>
            <w:tcBorders>
              <w:top w:val="single" w:color="000000" w:sz="8"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27329E7F" w14:textId="77777777">
            <w:pPr>
              <w:pStyle w:val="tablebody"/>
              <w:rPr>
                <w:rFonts w:cs="Arial"/>
                <w:b/>
                <w:sz w:val="14"/>
                <w:szCs w:val="14"/>
                <w:lang w:val="en-US"/>
              </w:rPr>
            </w:pPr>
          </w:p>
        </w:tc>
        <w:tc>
          <w:tcPr>
            <w:tcW w:w="2424" w:type="dxa"/>
            <w:tcBorders>
              <w:top w:val="single" w:color="000000" w:sz="8"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5BF728E2" w14:textId="77777777">
            <w:pPr>
              <w:pStyle w:val="tablebody"/>
              <w:rPr>
                <w:rFonts w:cs="Arial"/>
                <w:b/>
                <w:sz w:val="14"/>
                <w:szCs w:val="14"/>
                <w:lang w:val="en-US"/>
              </w:rPr>
            </w:pP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3E8402B"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FF271D5"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305EBC5"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532B3EA"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52CFF90"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A54EBD6"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6E8573F"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A67D1F2"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BEE0462"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52B0AC7"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F4952B4"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AF69822" w14:textId="77777777">
            <w:pPr>
              <w:pStyle w:val="tablebody"/>
              <w:jc w:val="right"/>
              <w:rPr>
                <w:rFonts w:cs="Arial"/>
                <w:b/>
                <w:sz w:val="14"/>
                <w:szCs w:val="14"/>
              </w:rPr>
            </w:pPr>
            <w:r w:rsidRPr="0088782A">
              <w:rPr>
                <w:rFonts w:cs="Arial"/>
                <w:b/>
                <w:sz w:val="14"/>
                <w:szCs w:val="14"/>
              </w:rPr>
              <w:t>2018</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1373AE6" w14:textId="77777777">
            <w:pPr>
              <w:pStyle w:val="tablebody"/>
              <w:jc w:val="right"/>
              <w:rPr>
                <w:rFonts w:cs="Arial"/>
                <w:b/>
                <w:sz w:val="14"/>
                <w:szCs w:val="14"/>
              </w:rPr>
            </w:pPr>
            <w:r w:rsidRPr="0088782A">
              <w:rPr>
                <w:rFonts w:cs="Arial"/>
                <w:b/>
                <w:sz w:val="14"/>
                <w:szCs w:val="14"/>
              </w:rPr>
              <w:t>2019</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EDB6EA1" w14:textId="77777777">
            <w:pPr>
              <w:pStyle w:val="tablebody"/>
              <w:jc w:val="right"/>
              <w:rPr>
                <w:rFonts w:cs="Arial"/>
                <w:b/>
                <w:sz w:val="14"/>
                <w:szCs w:val="14"/>
              </w:rPr>
            </w:pPr>
            <w:r w:rsidRPr="0088782A">
              <w:rPr>
                <w:rFonts w:cs="Arial"/>
                <w:b/>
                <w:sz w:val="14"/>
                <w:szCs w:val="14"/>
              </w:rPr>
              <w:t>2018</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3301809" w14:textId="77777777">
            <w:pPr>
              <w:pStyle w:val="tablebody"/>
              <w:jc w:val="right"/>
              <w:rPr>
                <w:rFonts w:cs="Arial"/>
                <w:b/>
                <w:sz w:val="14"/>
                <w:szCs w:val="14"/>
              </w:rPr>
            </w:pPr>
            <w:r w:rsidRPr="0088782A">
              <w:rPr>
                <w:rFonts w:cs="Arial"/>
                <w:b/>
                <w:sz w:val="14"/>
                <w:szCs w:val="14"/>
              </w:rPr>
              <w:t>2019</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71713B9" w14:textId="77777777">
            <w:pPr>
              <w:pStyle w:val="tablebody"/>
              <w:jc w:val="right"/>
              <w:rPr>
                <w:rFonts w:cs="Arial"/>
                <w:b/>
                <w:sz w:val="14"/>
                <w:szCs w:val="14"/>
              </w:rPr>
            </w:pPr>
            <w:r w:rsidRPr="0088782A">
              <w:rPr>
                <w:rFonts w:cs="Arial"/>
                <w:b/>
                <w:sz w:val="14"/>
                <w:szCs w:val="14"/>
              </w:rPr>
              <w:t>2018</w:t>
            </w:r>
          </w:p>
        </w:tc>
      </w:tr>
      <w:tr w:rsidRPr="0088782A" w:rsidR="00045808" w:rsidTr="00CC210C" w14:paraId="3339EAF0" w14:textId="77777777">
        <w:tc>
          <w:tcPr>
            <w:tcW w:w="16160" w:type="dxa"/>
            <w:gridSpan w:val="18"/>
            <w:tcBorders>
              <w:top w:val="single" w:color="000000" w:sz="6" w:space="0"/>
              <w:left w:val="nil"/>
              <w:bottom w:val="nil"/>
              <w:right w:val="nil"/>
            </w:tcBorders>
            <w:tcMar>
              <w:top w:w="28" w:type="dxa"/>
              <w:left w:w="0" w:type="dxa"/>
              <w:bottom w:w="28" w:type="dxa"/>
              <w:right w:w="0" w:type="dxa"/>
            </w:tcMar>
            <w:vAlign w:val="bottom"/>
          </w:tcPr>
          <w:p w:rsidRPr="0088782A" w:rsidR="00045808" w:rsidP="00535DCC" w:rsidRDefault="00045808" w14:paraId="5161E278" w14:textId="77777777">
            <w:pPr>
              <w:pStyle w:val="tablebody"/>
              <w:rPr>
                <w:rFonts w:cs="Arial"/>
                <w:b/>
                <w:sz w:val="14"/>
                <w:szCs w:val="14"/>
              </w:rPr>
            </w:pPr>
            <w:r w:rsidRPr="0088782A">
              <w:rPr>
                <w:rFonts w:cs="Arial"/>
                <w:b/>
                <w:sz w:val="14"/>
                <w:szCs w:val="14"/>
              </w:rPr>
              <w:t>Controlled income and expenses for year ended 30 June 2019</w:t>
            </w:r>
          </w:p>
        </w:tc>
      </w:tr>
      <w:tr w:rsidRPr="0088782A" w:rsidR="00535DCC" w:rsidTr="00CC210C" w14:paraId="5D5A11F4" w14:textId="77777777">
        <w:tc>
          <w:tcPr>
            <w:tcW w:w="2566" w:type="dxa"/>
            <w:gridSpan w:val="2"/>
            <w:tcBorders>
              <w:top w:val="nil"/>
              <w:left w:val="nil"/>
              <w:bottom w:val="nil"/>
              <w:right w:val="nil"/>
            </w:tcBorders>
            <w:tcMar>
              <w:top w:w="0" w:type="dxa"/>
              <w:left w:w="0" w:type="dxa"/>
              <w:bottom w:w="28" w:type="dxa"/>
              <w:right w:w="0" w:type="dxa"/>
            </w:tcMar>
            <w:vAlign w:val="bottom"/>
          </w:tcPr>
          <w:p w:rsidRPr="0088782A" w:rsidR="00045808" w:rsidP="00045808" w:rsidRDefault="00045808" w14:paraId="4FF6CEC1" w14:textId="77777777">
            <w:pPr>
              <w:pStyle w:val="tablebody"/>
              <w:rPr>
                <w:rFonts w:cs="Arial"/>
                <w:b/>
                <w:sz w:val="14"/>
                <w:szCs w:val="14"/>
              </w:rPr>
            </w:pPr>
            <w:r w:rsidRPr="0088782A">
              <w:rPr>
                <w:rFonts w:cs="Arial"/>
                <w:b/>
                <w:sz w:val="14"/>
                <w:szCs w:val="14"/>
              </w:rPr>
              <w:t>Income from transactions</w:t>
            </w:r>
          </w:p>
        </w:tc>
        <w:tc>
          <w:tcPr>
            <w:tcW w:w="837"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4A66AC96"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5FF7D49A"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41A3F72E"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4A4E7461"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ED390D2"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55678B20"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0051255E"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4413395A"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08C0000"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05E8BABF"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4C50F472"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58BEA90E"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256870A7"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2B68618"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1F430EE1"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6A9E7E24" w14:textId="77777777">
            <w:pPr>
              <w:pStyle w:val="tablebody"/>
              <w:jc w:val="right"/>
              <w:rPr>
                <w:rFonts w:cs="Arial"/>
                <w:b/>
                <w:sz w:val="14"/>
                <w:szCs w:val="14"/>
                <w:lang w:val="en-US"/>
              </w:rPr>
            </w:pPr>
          </w:p>
        </w:tc>
      </w:tr>
      <w:tr w:rsidRPr="00045808" w:rsidR="00535DCC" w:rsidTr="00CC210C" w14:paraId="0B042AC5"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636FA68A"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4D54E15C" w14:textId="77777777">
            <w:pPr>
              <w:pStyle w:val="tablebody"/>
              <w:rPr>
                <w:rFonts w:cs="Arial"/>
                <w:sz w:val="14"/>
                <w:szCs w:val="14"/>
              </w:rPr>
            </w:pPr>
            <w:r w:rsidRPr="00045808">
              <w:rPr>
                <w:rFonts w:cs="Arial"/>
                <w:sz w:val="14"/>
                <w:szCs w:val="14"/>
              </w:rPr>
              <w:t>Output appropriations</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C566F79" w14:textId="77777777">
            <w:pPr>
              <w:pStyle w:val="tablebody"/>
              <w:jc w:val="right"/>
              <w:rPr>
                <w:rFonts w:cs="Arial"/>
                <w:sz w:val="14"/>
                <w:szCs w:val="14"/>
              </w:rPr>
            </w:pPr>
            <w:r w:rsidRPr="00045808">
              <w:rPr>
                <w:rFonts w:cs="Arial"/>
                <w:sz w:val="14"/>
                <w:szCs w:val="14"/>
              </w:rPr>
              <w:t xml:space="preserve">3,402,098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AFF41C3" w14:textId="77777777">
            <w:pPr>
              <w:pStyle w:val="tablebody"/>
              <w:jc w:val="right"/>
              <w:rPr>
                <w:rFonts w:cs="Arial"/>
                <w:sz w:val="14"/>
                <w:szCs w:val="14"/>
              </w:rPr>
            </w:pPr>
            <w:r w:rsidRPr="00045808">
              <w:rPr>
                <w:rFonts w:cs="Arial"/>
                <w:sz w:val="14"/>
                <w:szCs w:val="14"/>
              </w:rPr>
              <w:t xml:space="preserve">3,078,572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D8A9049" w14:textId="77777777">
            <w:pPr>
              <w:pStyle w:val="tablebody"/>
              <w:jc w:val="right"/>
              <w:rPr>
                <w:rFonts w:cs="Arial"/>
                <w:sz w:val="14"/>
                <w:szCs w:val="14"/>
              </w:rPr>
            </w:pPr>
            <w:r w:rsidRPr="00045808">
              <w:rPr>
                <w:rFonts w:cs="Arial"/>
                <w:sz w:val="14"/>
                <w:szCs w:val="14"/>
              </w:rPr>
              <w:t xml:space="preserve">1,762,541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7CE0E11" w14:textId="77777777">
            <w:pPr>
              <w:pStyle w:val="tablebody"/>
              <w:jc w:val="right"/>
              <w:rPr>
                <w:rFonts w:cs="Arial"/>
                <w:sz w:val="14"/>
                <w:szCs w:val="14"/>
              </w:rPr>
            </w:pPr>
            <w:r w:rsidRPr="00045808">
              <w:rPr>
                <w:rFonts w:cs="Arial"/>
                <w:sz w:val="14"/>
                <w:szCs w:val="14"/>
              </w:rPr>
              <w:t xml:space="preserve">1,548,217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6FEA24D" w14:textId="77777777">
            <w:pPr>
              <w:pStyle w:val="tablebody"/>
              <w:jc w:val="right"/>
              <w:rPr>
                <w:rFonts w:cs="Arial"/>
                <w:sz w:val="14"/>
                <w:szCs w:val="14"/>
              </w:rPr>
            </w:pPr>
            <w:r w:rsidRPr="00045808">
              <w:rPr>
                <w:rFonts w:cs="Arial"/>
                <w:sz w:val="14"/>
                <w:szCs w:val="14"/>
              </w:rPr>
              <w:t xml:space="preserve">225,241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1A5550A" w14:textId="77777777">
            <w:pPr>
              <w:pStyle w:val="tablebody"/>
              <w:jc w:val="right"/>
              <w:rPr>
                <w:rFonts w:cs="Arial"/>
                <w:sz w:val="14"/>
                <w:szCs w:val="14"/>
              </w:rPr>
            </w:pPr>
            <w:r w:rsidRPr="00045808">
              <w:rPr>
                <w:rFonts w:cs="Arial"/>
                <w:sz w:val="14"/>
                <w:szCs w:val="14"/>
              </w:rPr>
              <w:t xml:space="preserve">152,398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EBC3E25" w14:textId="77777777">
            <w:pPr>
              <w:pStyle w:val="tablebody"/>
              <w:jc w:val="right"/>
              <w:rPr>
                <w:rFonts w:cs="Arial"/>
                <w:sz w:val="14"/>
                <w:szCs w:val="14"/>
              </w:rPr>
            </w:pPr>
            <w:r w:rsidRPr="00045808">
              <w:rPr>
                <w:rFonts w:cs="Arial"/>
                <w:sz w:val="14"/>
                <w:szCs w:val="14"/>
              </w:rPr>
              <w:t xml:space="preserve">642,549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6A8DF4B" w14:textId="77777777">
            <w:pPr>
              <w:pStyle w:val="tablebody"/>
              <w:jc w:val="right"/>
              <w:rPr>
                <w:rFonts w:cs="Arial"/>
                <w:sz w:val="14"/>
                <w:szCs w:val="14"/>
              </w:rPr>
            </w:pPr>
            <w:r w:rsidRPr="00045808">
              <w:rPr>
                <w:rFonts w:cs="Arial"/>
                <w:sz w:val="14"/>
                <w:szCs w:val="14"/>
              </w:rPr>
              <w:t xml:space="preserve">627,079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78B0F85" w14:textId="77777777">
            <w:pPr>
              <w:pStyle w:val="tablebody"/>
              <w:jc w:val="right"/>
              <w:rPr>
                <w:rFonts w:cs="Arial"/>
                <w:sz w:val="14"/>
                <w:szCs w:val="14"/>
              </w:rPr>
            </w:pPr>
            <w:r w:rsidRPr="00045808">
              <w:rPr>
                <w:rFonts w:cs="Arial"/>
                <w:sz w:val="14"/>
                <w:szCs w:val="14"/>
              </w:rPr>
              <w:t xml:space="preserve">114,777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CDF41E6" w14:textId="77777777">
            <w:pPr>
              <w:pStyle w:val="tablebody"/>
              <w:jc w:val="right"/>
              <w:rPr>
                <w:rFonts w:cs="Arial"/>
                <w:sz w:val="14"/>
                <w:szCs w:val="14"/>
              </w:rPr>
            </w:pPr>
            <w:r w:rsidRPr="00045808">
              <w:rPr>
                <w:rFonts w:cs="Arial"/>
                <w:sz w:val="14"/>
                <w:szCs w:val="14"/>
              </w:rPr>
              <w:t xml:space="preserve">104,771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BEFF390" w14:textId="77777777">
            <w:pPr>
              <w:pStyle w:val="tablebody"/>
              <w:jc w:val="right"/>
              <w:rPr>
                <w:rFonts w:cs="Arial"/>
                <w:sz w:val="14"/>
                <w:szCs w:val="14"/>
              </w:rPr>
            </w:pPr>
            <w:r w:rsidRPr="00045808">
              <w:rPr>
                <w:rFonts w:cs="Arial"/>
                <w:sz w:val="14"/>
                <w:szCs w:val="14"/>
              </w:rPr>
              <w:t xml:space="preserve">1,314,652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F5FC170" w14:textId="77777777">
            <w:pPr>
              <w:pStyle w:val="tablebody"/>
              <w:jc w:val="right"/>
              <w:rPr>
                <w:rFonts w:cs="Arial"/>
                <w:sz w:val="14"/>
                <w:szCs w:val="14"/>
              </w:rPr>
            </w:pPr>
            <w:r w:rsidRPr="00045808">
              <w:rPr>
                <w:rFonts w:cs="Arial"/>
                <w:sz w:val="14"/>
                <w:szCs w:val="14"/>
              </w:rPr>
              <w:t xml:space="preserve">1,207,654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78CD5A2" w14:textId="77777777">
            <w:pPr>
              <w:pStyle w:val="tablebody"/>
              <w:jc w:val="right"/>
              <w:rPr>
                <w:rFonts w:cs="Arial"/>
                <w:sz w:val="14"/>
                <w:szCs w:val="14"/>
              </w:rPr>
            </w:pPr>
            <w:r w:rsidRPr="00045808">
              <w:rPr>
                <w:rFonts w:cs="Arial"/>
                <w:sz w:val="14"/>
                <w:szCs w:val="14"/>
              </w:rPr>
              <w:t xml:space="preserve">108,442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0EC6990" w14:textId="77777777">
            <w:pPr>
              <w:pStyle w:val="tablebody"/>
              <w:jc w:val="right"/>
              <w:rPr>
                <w:rFonts w:cs="Arial"/>
                <w:sz w:val="14"/>
                <w:szCs w:val="14"/>
              </w:rPr>
            </w:pPr>
            <w:r w:rsidRPr="00045808">
              <w:rPr>
                <w:rFonts w:cs="Arial"/>
                <w:sz w:val="14"/>
                <w:szCs w:val="14"/>
              </w:rPr>
              <w:t xml:space="preserve">118,319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89A9E9D" w14:textId="77777777">
            <w:pPr>
              <w:pStyle w:val="tablebody"/>
              <w:jc w:val="right"/>
              <w:rPr>
                <w:rFonts w:cs="Arial"/>
                <w:sz w:val="14"/>
                <w:szCs w:val="14"/>
              </w:rPr>
            </w:pPr>
            <w:r w:rsidRPr="00045808">
              <w:rPr>
                <w:rFonts w:cs="Arial"/>
                <w:sz w:val="14"/>
                <w:szCs w:val="14"/>
              </w:rPr>
              <w:t xml:space="preserve">7,570,300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EC3DD0E" w14:textId="77777777">
            <w:pPr>
              <w:pStyle w:val="tablebody"/>
              <w:jc w:val="right"/>
              <w:rPr>
                <w:rFonts w:cs="Arial"/>
                <w:sz w:val="14"/>
                <w:szCs w:val="14"/>
              </w:rPr>
            </w:pPr>
            <w:r w:rsidRPr="00045808">
              <w:rPr>
                <w:rFonts w:cs="Arial"/>
                <w:sz w:val="14"/>
                <w:szCs w:val="14"/>
              </w:rPr>
              <w:t xml:space="preserve">6,837,010 </w:t>
            </w:r>
          </w:p>
        </w:tc>
      </w:tr>
      <w:tr w:rsidRPr="00045808" w:rsidR="00535DCC" w:rsidTr="00CC210C" w14:paraId="1951AC97"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39E98263"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4E3BD9FE" w14:textId="77777777">
            <w:pPr>
              <w:pStyle w:val="tablebody"/>
              <w:rPr>
                <w:rFonts w:cs="Arial"/>
                <w:sz w:val="14"/>
                <w:szCs w:val="14"/>
              </w:rPr>
            </w:pPr>
            <w:r w:rsidRPr="00045808">
              <w:rPr>
                <w:rFonts w:cs="Arial"/>
                <w:sz w:val="14"/>
                <w:szCs w:val="14"/>
              </w:rPr>
              <w:t>Special appropriations</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926D0CB"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124EEB0"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0E5A1D7" w14:textId="77777777">
            <w:pPr>
              <w:pStyle w:val="tablebody"/>
              <w:jc w:val="right"/>
              <w:rPr>
                <w:rFonts w:cs="Arial"/>
                <w:sz w:val="14"/>
                <w:szCs w:val="14"/>
              </w:rPr>
            </w:pPr>
            <w:r w:rsidRPr="00045808">
              <w:rPr>
                <w:rFonts w:cs="Arial"/>
                <w:sz w:val="14"/>
                <w:szCs w:val="14"/>
              </w:rPr>
              <w:t xml:space="preserve">157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47E8F06" w14:textId="77777777">
            <w:pPr>
              <w:pStyle w:val="tablebody"/>
              <w:jc w:val="right"/>
              <w:rPr>
                <w:rFonts w:cs="Arial"/>
                <w:sz w:val="14"/>
                <w:szCs w:val="14"/>
              </w:rPr>
            </w:pPr>
            <w:r w:rsidRPr="00045808">
              <w:rPr>
                <w:rFonts w:cs="Arial"/>
                <w:sz w:val="14"/>
                <w:szCs w:val="14"/>
              </w:rPr>
              <w:t xml:space="preserve">73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6418B75"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B8FDCC6"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9156687" w14:textId="77777777">
            <w:pPr>
              <w:pStyle w:val="tablebody"/>
              <w:jc w:val="right"/>
              <w:rPr>
                <w:rFonts w:cs="Arial"/>
                <w:sz w:val="14"/>
                <w:szCs w:val="14"/>
              </w:rPr>
            </w:pPr>
            <w:r w:rsidRPr="00045808">
              <w:rPr>
                <w:rFonts w:cs="Arial"/>
                <w:sz w:val="14"/>
                <w:szCs w:val="14"/>
              </w:rPr>
              <w:t xml:space="preserve">2,082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50B37A3"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A6245F4"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7225E09"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C7E422F" w14:textId="77777777">
            <w:pPr>
              <w:pStyle w:val="tablebody"/>
              <w:jc w:val="right"/>
              <w:rPr>
                <w:rFonts w:cs="Arial"/>
                <w:sz w:val="14"/>
                <w:szCs w:val="14"/>
              </w:rPr>
            </w:pPr>
            <w:r w:rsidRPr="00045808">
              <w:rPr>
                <w:rFonts w:cs="Arial"/>
                <w:sz w:val="14"/>
                <w:szCs w:val="14"/>
              </w:rPr>
              <w:t xml:space="preserve">1,161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2BDC06B" w14:textId="77777777">
            <w:pPr>
              <w:pStyle w:val="tablebody"/>
              <w:jc w:val="right"/>
              <w:rPr>
                <w:rFonts w:cs="Arial"/>
                <w:sz w:val="14"/>
                <w:szCs w:val="14"/>
              </w:rPr>
            </w:pPr>
            <w:r w:rsidRPr="00045808">
              <w:rPr>
                <w:rFonts w:cs="Arial"/>
                <w:sz w:val="14"/>
                <w:szCs w:val="14"/>
              </w:rPr>
              <w:t xml:space="preserve">581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48B9D51"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B1EFB19"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E93E3A6" w14:textId="77777777">
            <w:pPr>
              <w:pStyle w:val="tablebody"/>
              <w:jc w:val="right"/>
              <w:rPr>
                <w:rFonts w:cs="Arial"/>
                <w:sz w:val="14"/>
                <w:szCs w:val="14"/>
              </w:rPr>
            </w:pPr>
            <w:r w:rsidRPr="00045808">
              <w:rPr>
                <w:rFonts w:cs="Arial"/>
                <w:sz w:val="14"/>
                <w:szCs w:val="14"/>
              </w:rPr>
              <w:t xml:space="preserve">3,400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A910AA2" w14:textId="77777777">
            <w:pPr>
              <w:pStyle w:val="tablebody"/>
              <w:jc w:val="right"/>
              <w:rPr>
                <w:rFonts w:cs="Arial"/>
                <w:sz w:val="14"/>
                <w:szCs w:val="14"/>
              </w:rPr>
            </w:pPr>
            <w:r w:rsidRPr="00045808">
              <w:rPr>
                <w:rFonts w:cs="Arial"/>
                <w:sz w:val="14"/>
                <w:szCs w:val="14"/>
              </w:rPr>
              <w:t xml:space="preserve">654 </w:t>
            </w:r>
          </w:p>
        </w:tc>
      </w:tr>
      <w:tr w:rsidRPr="00045808" w:rsidR="00535DCC" w:rsidTr="00CC210C" w14:paraId="5BE002FD"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6D56D81F"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37AE111A" w14:textId="77777777">
            <w:pPr>
              <w:pStyle w:val="tablebody"/>
              <w:rPr>
                <w:rFonts w:cs="Arial"/>
                <w:sz w:val="14"/>
                <w:szCs w:val="14"/>
              </w:rPr>
            </w:pPr>
            <w:r w:rsidRPr="00045808">
              <w:rPr>
                <w:rFonts w:cs="Arial"/>
                <w:sz w:val="14"/>
                <w:szCs w:val="14"/>
              </w:rPr>
              <w:t>Interest income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BD2E564"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4B70A17"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D0AE941" w14:textId="77777777">
            <w:pPr>
              <w:pStyle w:val="tablebody"/>
              <w:jc w:val="right"/>
              <w:rPr>
                <w:rFonts w:cs="Arial"/>
                <w:sz w:val="14"/>
                <w:szCs w:val="14"/>
              </w:rPr>
            </w:pPr>
            <w:r w:rsidRPr="00045808">
              <w:rPr>
                <w:rFonts w:cs="Arial"/>
                <w:sz w:val="14"/>
                <w:szCs w:val="14"/>
              </w:rPr>
              <w:t xml:space="preserve">405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6A30E5E"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86B2F59"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3044544"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5E23D0A"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34C5B82"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35F70E1"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F7A3BBB"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F526686"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7340A9B"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287B3AE" w14:textId="77777777">
            <w:pPr>
              <w:pStyle w:val="tablebody"/>
              <w:jc w:val="right"/>
              <w:rPr>
                <w:rFonts w:cs="Arial"/>
                <w:sz w:val="14"/>
                <w:szCs w:val="14"/>
              </w:rPr>
            </w:pPr>
            <w:r w:rsidRPr="00045808">
              <w:rPr>
                <w:rFonts w:cs="Arial"/>
                <w:sz w:val="14"/>
                <w:szCs w:val="14"/>
              </w:rPr>
              <w:t xml:space="preserve">23,177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B04C5BF" w14:textId="77777777">
            <w:pPr>
              <w:pStyle w:val="tablebody"/>
              <w:jc w:val="right"/>
              <w:rPr>
                <w:rFonts w:cs="Arial"/>
                <w:sz w:val="14"/>
                <w:szCs w:val="14"/>
              </w:rPr>
            </w:pPr>
            <w:r w:rsidRPr="00045808">
              <w:rPr>
                <w:rFonts w:cs="Arial"/>
                <w:sz w:val="14"/>
                <w:szCs w:val="14"/>
              </w:rPr>
              <w:t xml:space="preserve">27,608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122F851" w14:textId="77777777">
            <w:pPr>
              <w:pStyle w:val="tablebody"/>
              <w:jc w:val="right"/>
              <w:rPr>
                <w:rFonts w:cs="Arial"/>
                <w:sz w:val="14"/>
                <w:szCs w:val="14"/>
              </w:rPr>
            </w:pPr>
            <w:r w:rsidRPr="00045808">
              <w:rPr>
                <w:rFonts w:cs="Arial"/>
                <w:sz w:val="14"/>
                <w:szCs w:val="14"/>
              </w:rPr>
              <w:t xml:space="preserve">23,582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59D3AA7" w14:textId="77777777">
            <w:pPr>
              <w:pStyle w:val="tablebody"/>
              <w:jc w:val="right"/>
              <w:rPr>
                <w:rFonts w:cs="Arial"/>
                <w:sz w:val="14"/>
                <w:szCs w:val="14"/>
              </w:rPr>
            </w:pPr>
            <w:r w:rsidRPr="00045808">
              <w:rPr>
                <w:rFonts w:cs="Arial"/>
                <w:sz w:val="14"/>
                <w:szCs w:val="14"/>
              </w:rPr>
              <w:t xml:space="preserve">27,608 </w:t>
            </w:r>
          </w:p>
        </w:tc>
      </w:tr>
      <w:tr w:rsidRPr="00045808" w:rsidR="00535DCC" w:rsidTr="00CC210C" w14:paraId="1DFA193D"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3BDF9A73"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0C34EEE5" w14:textId="77777777">
            <w:pPr>
              <w:pStyle w:val="tablebody"/>
              <w:rPr>
                <w:rFonts w:cs="Arial"/>
                <w:sz w:val="14"/>
                <w:szCs w:val="14"/>
              </w:rPr>
            </w:pPr>
            <w:r w:rsidRPr="00045808">
              <w:rPr>
                <w:rFonts w:cs="Arial"/>
                <w:sz w:val="14"/>
                <w:szCs w:val="14"/>
              </w:rPr>
              <w:t>Grant income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5BD74BF" w14:textId="77777777">
            <w:pPr>
              <w:pStyle w:val="tablebody"/>
              <w:jc w:val="right"/>
              <w:rPr>
                <w:rFonts w:cs="Arial"/>
                <w:sz w:val="14"/>
                <w:szCs w:val="14"/>
              </w:rPr>
            </w:pPr>
            <w:r w:rsidRPr="00045808">
              <w:rPr>
                <w:rFonts w:cs="Arial"/>
                <w:sz w:val="14"/>
                <w:szCs w:val="14"/>
              </w:rPr>
              <w:t xml:space="preserve">139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034AE03" w14:textId="77777777">
            <w:pPr>
              <w:pStyle w:val="tablebody"/>
              <w:jc w:val="right"/>
              <w:rPr>
                <w:rFonts w:cs="Arial"/>
                <w:sz w:val="14"/>
                <w:szCs w:val="14"/>
              </w:rPr>
            </w:pPr>
            <w:r w:rsidRPr="00045808">
              <w:rPr>
                <w:rFonts w:cs="Arial"/>
                <w:sz w:val="14"/>
                <w:szCs w:val="14"/>
              </w:rPr>
              <w:t xml:space="preserve">106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0046EC5" w14:textId="77777777">
            <w:pPr>
              <w:pStyle w:val="tablebody"/>
              <w:jc w:val="right"/>
              <w:rPr>
                <w:rFonts w:cs="Arial"/>
                <w:sz w:val="14"/>
                <w:szCs w:val="14"/>
              </w:rPr>
            </w:pPr>
            <w:r w:rsidRPr="00045808">
              <w:rPr>
                <w:rFonts w:cs="Arial"/>
                <w:sz w:val="14"/>
                <w:szCs w:val="14"/>
              </w:rPr>
              <w:t xml:space="preserve">15,714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51A78EB" w14:textId="77777777">
            <w:pPr>
              <w:pStyle w:val="tablebody"/>
              <w:jc w:val="right"/>
              <w:rPr>
                <w:rFonts w:cs="Arial"/>
                <w:sz w:val="14"/>
                <w:szCs w:val="14"/>
              </w:rPr>
            </w:pPr>
            <w:r w:rsidRPr="00045808">
              <w:rPr>
                <w:rFonts w:cs="Arial"/>
                <w:sz w:val="14"/>
                <w:szCs w:val="14"/>
              </w:rPr>
              <w:t xml:space="preserve">15,090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39DCB3B" w14:textId="77777777">
            <w:pPr>
              <w:pStyle w:val="tablebody"/>
              <w:jc w:val="right"/>
              <w:rPr>
                <w:rFonts w:cs="Arial"/>
                <w:sz w:val="14"/>
                <w:szCs w:val="14"/>
              </w:rPr>
            </w:pPr>
            <w:r w:rsidRPr="00045808">
              <w:rPr>
                <w:rFonts w:cs="Arial"/>
                <w:sz w:val="14"/>
                <w:szCs w:val="14"/>
              </w:rPr>
              <w:t xml:space="preserve">792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78A53A7"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0B7F082" w14:textId="77777777">
            <w:pPr>
              <w:pStyle w:val="tablebody"/>
              <w:jc w:val="right"/>
              <w:rPr>
                <w:rFonts w:cs="Arial"/>
                <w:sz w:val="14"/>
                <w:szCs w:val="14"/>
              </w:rPr>
            </w:pPr>
            <w:r w:rsidRPr="00045808">
              <w:rPr>
                <w:rFonts w:cs="Arial"/>
                <w:sz w:val="14"/>
                <w:szCs w:val="14"/>
              </w:rPr>
              <w:t xml:space="preserve">3,512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B925F9A" w14:textId="77777777">
            <w:pPr>
              <w:pStyle w:val="tablebody"/>
              <w:jc w:val="right"/>
              <w:rPr>
                <w:rFonts w:cs="Arial"/>
                <w:sz w:val="14"/>
                <w:szCs w:val="14"/>
              </w:rPr>
            </w:pPr>
            <w:r w:rsidRPr="00045808">
              <w:rPr>
                <w:rFonts w:cs="Arial"/>
                <w:sz w:val="14"/>
                <w:szCs w:val="14"/>
              </w:rPr>
              <w:t xml:space="preserve">2,018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96A6F83" w14:textId="77777777">
            <w:pPr>
              <w:pStyle w:val="tablebody"/>
              <w:jc w:val="right"/>
              <w:rPr>
                <w:rFonts w:cs="Arial"/>
                <w:sz w:val="14"/>
                <w:szCs w:val="14"/>
              </w:rPr>
            </w:pPr>
            <w:r w:rsidRPr="00045808">
              <w:rPr>
                <w:rFonts w:cs="Arial"/>
                <w:sz w:val="14"/>
                <w:szCs w:val="14"/>
              </w:rPr>
              <w:t xml:space="preserve">3,750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344CE63" w14:textId="77777777">
            <w:pPr>
              <w:pStyle w:val="tablebody"/>
              <w:jc w:val="right"/>
              <w:rPr>
                <w:rFonts w:cs="Arial"/>
                <w:sz w:val="14"/>
                <w:szCs w:val="14"/>
              </w:rPr>
            </w:pPr>
            <w:r w:rsidRPr="00045808">
              <w:rPr>
                <w:rFonts w:cs="Arial"/>
                <w:sz w:val="14"/>
                <w:szCs w:val="14"/>
              </w:rPr>
              <w:t xml:space="preserve">2,942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1AEB3B3" w14:textId="77777777">
            <w:pPr>
              <w:pStyle w:val="tablebody"/>
              <w:jc w:val="right"/>
              <w:rPr>
                <w:rFonts w:cs="Arial"/>
                <w:sz w:val="14"/>
                <w:szCs w:val="14"/>
              </w:rPr>
            </w:pPr>
            <w:r w:rsidRPr="00045808">
              <w:rPr>
                <w:rFonts w:cs="Arial"/>
                <w:sz w:val="14"/>
                <w:szCs w:val="14"/>
              </w:rPr>
              <w:t xml:space="preserve">7,994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630A256" w14:textId="77777777">
            <w:pPr>
              <w:pStyle w:val="tablebody"/>
              <w:jc w:val="right"/>
              <w:rPr>
                <w:rFonts w:cs="Arial"/>
                <w:sz w:val="14"/>
                <w:szCs w:val="14"/>
              </w:rPr>
            </w:pPr>
            <w:r w:rsidRPr="00045808">
              <w:rPr>
                <w:rFonts w:cs="Arial"/>
                <w:sz w:val="14"/>
                <w:szCs w:val="14"/>
              </w:rPr>
              <w:t xml:space="preserve">1,103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2D07B95" w14:textId="77777777">
            <w:pPr>
              <w:pStyle w:val="tablebody"/>
              <w:jc w:val="right"/>
              <w:rPr>
                <w:rFonts w:cs="Arial"/>
                <w:sz w:val="14"/>
                <w:szCs w:val="14"/>
              </w:rPr>
            </w:pPr>
            <w:r w:rsidRPr="00045808">
              <w:rPr>
                <w:rFonts w:cs="Arial"/>
                <w:sz w:val="14"/>
                <w:szCs w:val="14"/>
              </w:rPr>
              <w:t xml:space="preserve">49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321E1C3" w14:textId="77777777">
            <w:pPr>
              <w:pStyle w:val="tablebody"/>
              <w:jc w:val="right"/>
              <w:rPr>
                <w:rFonts w:cs="Arial"/>
                <w:sz w:val="14"/>
                <w:szCs w:val="14"/>
              </w:rPr>
            </w:pPr>
            <w:r w:rsidRPr="00045808">
              <w:rPr>
                <w:rFonts w:cs="Arial"/>
                <w:sz w:val="14"/>
                <w:szCs w:val="14"/>
              </w:rPr>
              <w:t xml:space="preserve">49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5DEDF7C" w14:textId="77777777">
            <w:pPr>
              <w:pStyle w:val="tablebody"/>
              <w:jc w:val="right"/>
              <w:rPr>
                <w:rFonts w:cs="Arial"/>
                <w:sz w:val="14"/>
                <w:szCs w:val="14"/>
              </w:rPr>
            </w:pPr>
            <w:r w:rsidRPr="00045808">
              <w:rPr>
                <w:rFonts w:cs="Arial"/>
                <w:sz w:val="14"/>
                <w:szCs w:val="14"/>
              </w:rPr>
              <w:t xml:space="preserve">31,950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2309CC0" w14:textId="77777777">
            <w:pPr>
              <w:pStyle w:val="tablebody"/>
              <w:jc w:val="right"/>
              <w:rPr>
                <w:rFonts w:cs="Arial"/>
                <w:sz w:val="14"/>
                <w:szCs w:val="14"/>
              </w:rPr>
            </w:pPr>
            <w:r w:rsidRPr="00045808">
              <w:rPr>
                <w:rFonts w:cs="Arial"/>
                <w:sz w:val="14"/>
                <w:szCs w:val="14"/>
              </w:rPr>
              <w:t xml:space="preserve">21,308 </w:t>
            </w:r>
          </w:p>
        </w:tc>
      </w:tr>
      <w:tr w:rsidRPr="00045808" w:rsidR="00535DCC" w:rsidTr="00CC210C" w14:paraId="0D648EE7" w14:textId="77777777">
        <w:tc>
          <w:tcPr>
            <w:tcW w:w="142"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1EA70870" w14:textId="77777777">
            <w:pPr>
              <w:pStyle w:val="tablebody"/>
              <w:rPr>
                <w:rFonts w:cs="Arial"/>
                <w:sz w:val="14"/>
                <w:szCs w:val="14"/>
                <w:lang w:val="en-US"/>
              </w:rPr>
            </w:pPr>
          </w:p>
        </w:tc>
        <w:tc>
          <w:tcPr>
            <w:tcW w:w="2424"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08FB81EA" w14:textId="77777777">
            <w:pPr>
              <w:pStyle w:val="tablebody"/>
              <w:rPr>
                <w:rFonts w:cs="Arial"/>
                <w:sz w:val="14"/>
                <w:szCs w:val="14"/>
              </w:rPr>
            </w:pPr>
            <w:r w:rsidRPr="00045808">
              <w:rPr>
                <w:rFonts w:cs="Arial"/>
                <w:sz w:val="14"/>
                <w:szCs w:val="14"/>
              </w:rPr>
              <w:t>Other income</w:t>
            </w:r>
          </w:p>
        </w:tc>
        <w:tc>
          <w:tcPr>
            <w:tcW w:w="837"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3B39D97" w14:textId="77777777">
            <w:pPr>
              <w:pStyle w:val="tablebody"/>
              <w:jc w:val="right"/>
              <w:rPr>
                <w:rFonts w:cs="Arial"/>
                <w:sz w:val="14"/>
                <w:szCs w:val="14"/>
              </w:rPr>
            </w:pPr>
            <w:r w:rsidRPr="00045808">
              <w:rPr>
                <w:rFonts w:cs="Arial"/>
                <w:sz w:val="14"/>
                <w:szCs w:val="14"/>
              </w:rPr>
              <w:t xml:space="preserve">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CB16A72" w14:textId="77777777">
            <w:pPr>
              <w:pStyle w:val="tablebody"/>
              <w:jc w:val="right"/>
              <w:rPr>
                <w:rFonts w:cs="Arial"/>
                <w:sz w:val="14"/>
                <w:szCs w:val="14"/>
              </w:rPr>
            </w:pPr>
            <w:r w:rsidRPr="00045808">
              <w:rPr>
                <w:rFonts w:cs="Arial"/>
                <w:sz w:val="14"/>
                <w:szCs w:val="14"/>
              </w:rPr>
              <w:t xml:space="preserve">8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D4D60EC" w14:textId="77777777">
            <w:pPr>
              <w:pStyle w:val="tablebody"/>
              <w:jc w:val="right"/>
              <w:rPr>
                <w:rFonts w:cs="Arial"/>
                <w:sz w:val="14"/>
                <w:szCs w:val="14"/>
              </w:rPr>
            </w:pPr>
            <w:r w:rsidRPr="00045808">
              <w:rPr>
                <w:rFonts w:cs="Arial"/>
                <w:sz w:val="14"/>
                <w:szCs w:val="14"/>
              </w:rPr>
              <w:t xml:space="preserve">3,538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C8BF87A" w14:textId="77777777">
            <w:pPr>
              <w:pStyle w:val="tablebody"/>
              <w:jc w:val="right"/>
              <w:rPr>
                <w:rFonts w:cs="Arial"/>
                <w:sz w:val="14"/>
                <w:szCs w:val="14"/>
              </w:rPr>
            </w:pPr>
            <w:r w:rsidRPr="00045808">
              <w:rPr>
                <w:rFonts w:cs="Arial"/>
                <w:sz w:val="14"/>
                <w:szCs w:val="14"/>
              </w:rPr>
              <w:t xml:space="preserve">10,525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50C849BE" w14:textId="77777777">
            <w:pPr>
              <w:pStyle w:val="tablebody"/>
              <w:jc w:val="right"/>
              <w:rPr>
                <w:rFonts w:cs="Arial"/>
                <w:sz w:val="14"/>
                <w:szCs w:val="14"/>
              </w:rPr>
            </w:pPr>
            <w:r w:rsidRPr="00045808">
              <w:rPr>
                <w:rFonts w:cs="Arial"/>
                <w:sz w:val="14"/>
                <w:szCs w:val="14"/>
              </w:rPr>
              <w:t xml:space="preserve">673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EC1EDBE" w14:textId="77777777">
            <w:pPr>
              <w:pStyle w:val="tablebody"/>
              <w:jc w:val="right"/>
              <w:rPr>
                <w:rFonts w:cs="Arial"/>
                <w:sz w:val="14"/>
                <w:szCs w:val="14"/>
              </w:rPr>
            </w:pPr>
            <w:r w:rsidRPr="00045808">
              <w:rPr>
                <w:rFonts w:cs="Arial"/>
                <w:sz w:val="14"/>
                <w:szCs w:val="14"/>
              </w:rPr>
              <w:t xml:space="preserve">328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0CA6531" w14:textId="77777777">
            <w:pPr>
              <w:pStyle w:val="tablebody"/>
              <w:jc w:val="right"/>
              <w:rPr>
                <w:rFonts w:cs="Arial"/>
                <w:sz w:val="14"/>
                <w:szCs w:val="14"/>
              </w:rPr>
            </w:pPr>
            <w:r w:rsidRPr="00045808">
              <w:rPr>
                <w:rFonts w:cs="Arial"/>
                <w:sz w:val="14"/>
                <w:szCs w:val="14"/>
              </w:rPr>
              <w:t xml:space="preserve">1,183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F98FA77" w14:textId="77777777">
            <w:pPr>
              <w:pStyle w:val="tablebody"/>
              <w:jc w:val="right"/>
              <w:rPr>
                <w:rFonts w:cs="Arial"/>
                <w:sz w:val="14"/>
                <w:szCs w:val="14"/>
              </w:rPr>
            </w:pPr>
            <w:r w:rsidRPr="00045808">
              <w:rPr>
                <w:rFonts w:cs="Arial"/>
                <w:sz w:val="14"/>
                <w:szCs w:val="14"/>
              </w:rPr>
              <w:t xml:space="preserve">520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ACD9620" w14:textId="77777777">
            <w:pPr>
              <w:pStyle w:val="tablebody"/>
              <w:jc w:val="right"/>
              <w:rPr>
                <w:rFonts w:cs="Arial"/>
                <w:sz w:val="14"/>
                <w:szCs w:val="14"/>
              </w:rPr>
            </w:pPr>
            <w:r w:rsidRPr="00045808">
              <w:rPr>
                <w:rFonts w:cs="Arial"/>
                <w:sz w:val="14"/>
                <w:szCs w:val="14"/>
              </w:rPr>
              <w:t xml:space="preserve">35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C051CDE" w14:textId="77777777">
            <w:pPr>
              <w:pStyle w:val="tablebody"/>
              <w:jc w:val="right"/>
              <w:rPr>
                <w:rFonts w:cs="Arial"/>
                <w:sz w:val="14"/>
                <w:szCs w:val="14"/>
              </w:rPr>
            </w:pPr>
            <w:r w:rsidRPr="00045808">
              <w:rPr>
                <w:rFonts w:cs="Arial"/>
                <w:sz w:val="14"/>
                <w:szCs w:val="14"/>
              </w:rPr>
              <w:t xml:space="preserve">215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B316948" w14:textId="77777777">
            <w:pPr>
              <w:pStyle w:val="tablebody"/>
              <w:jc w:val="right"/>
              <w:rPr>
                <w:rFonts w:cs="Arial"/>
                <w:sz w:val="14"/>
                <w:szCs w:val="14"/>
              </w:rPr>
            </w:pPr>
            <w:r w:rsidRPr="00045808">
              <w:rPr>
                <w:rFonts w:cs="Arial"/>
                <w:sz w:val="14"/>
                <w:szCs w:val="14"/>
              </w:rPr>
              <w:t xml:space="preserve">16,750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1A0DA14" w14:textId="77777777">
            <w:pPr>
              <w:pStyle w:val="tablebody"/>
              <w:jc w:val="right"/>
              <w:rPr>
                <w:rFonts w:cs="Arial"/>
                <w:sz w:val="14"/>
                <w:szCs w:val="14"/>
              </w:rPr>
            </w:pPr>
            <w:r w:rsidRPr="00045808">
              <w:rPr>
                <w:rFonts w:cs="Arial"/>
                <w:sz w:val="14"/>
                <w:szCs w:val="14"/>
              </w:rPr>
              <w:t xml:space="preserve">1,112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2DB12E5" w14:textId="77777777">
            <w:pPr>
              <w:pStyle w:val="tablebody"/>
              <w:jc w:val="right"/>
              <w:rPr>
                <w:rFonts w:cs="Arial"/>
                <w:sz w:val="14"/>
                <w:szCs w:val="14"/>
              </w:rPr>
            </w:pPr>
            <w:r w:rsidRPr="00045808">
              <w:rPr>
                <w:rFonts w:cs="Arial"/>
                <w:sz w:val="14"/>
                <w:szCs w:val="14"/>
              </w:rPr>
              <w:t xml:space="preserve">67,034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5970CF08" w14:textId="77777777">
            <w:pPr>
              <w:pStyle w:val="tablebody"/>
              <w:jc w:val="right"/>
              <w:rPr>
                <w:rFonts w:cs="Arial"/>
                <w:sz w:val="14"/>
                <w:szCs w:val="14"/>
              </w:rPr>
            </w:pPr>
            <w:r w:rsidRPr="00045808">
              <w:rPr>
                <w:rFonts w:cs="Arial"/>
                <w:sz w:val="14"/>
                <w:szCs w:val="14"/>
              </w:rPr>
              <w:t xml:space="preserve">57,879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57C338DA" w14:textId="77777777">
            <w:pPr>
              <w:pStyle w:val="tablebody"/>
              <w:jc w:val="right"/>
              <w:rPr>
                <w:rFonts w:cs="Arial"/>
                <w:sz w:val="14"/>
                <w:szCs w:val="14"/>
              </w:rPr>
            </w:pPr>
            <w:r w:rsidRPr="00045808">
              <w:rPr>
                <w:rFonts w:cs="Arial"/>
                <w:sz w:val="14"/>
                <w:szCs w:val="14"/>
              </w:rPr>
              <w:t xml:space="preserve">89,216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768DFF4" w14:textId="77777777">
            <w:pPr>
              <w:pStyle w:val="tablebody"/>
              <w:jc w:val="right"/>
              <w:rPr>
                <w:rFonts w:cs="Arial"/>
                <w:sz w:val="14"/>
                <w:szCs w:val="14"/>
              </w:rPr>
            </w:pPr>
            <w:r w:rsidRPr="00045808">
              <w:rPr>
                <w:rFonts w:cs="Arial"/>
                <w:sz w:val="14"/>
                <w:szCs w:val="14"/>
              </w:rPr>
              <w:t xml:space="preserve">70,587 </w:t>
            </w:r>
          </w:p>
        </w:tc>
      </w:tr>
      <w:tr w:rsidRPr="0088782A" w:rsidR="00535DCC" w:rsidTr="00CC210C" w14:paraId="79575663" w14:textId="77777777">
        <w:tc>
          <w:tcPr>
            <w:tcW w:w="2566"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65CADFC0" w14:textId="77777777">
            <w:pPr>
              <w:pStyle w:val="tablebody"/>
              <w:rPr>
                <w:rFonts w:cs="Arial"/>
                <w:b/>
                <w:sz w:val="14"/>
                <w:szCs w:val="14"/>
              </w:rPr>
            </w:pPr>
            <w:r w:rsidRPr="0088782A">
              <w:rPr>
                <w:rFonts w:cs="Arial"/>
                <w:b/>
                <w:sz w:val="14"/>
                <w:szCs w:val="14"/>
              </w:rPr>
              <w:t>Total income from transactions</w:t>
            </w: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2F6AC8E" w14:textId="77777777">
            <w:pPr>
              <w:pStyle w:val="tablebody"/>
              <w:jc w:val="right"/>
              <w:rPr>
                <w:rFonts w:cs="Arial"/>
                <w:b/>
                <w:sz w:val="14"/>
                <w:szCs w:val="14"/>
              </w:rPr>
            </w:pPr>
            <w:r w:rsidRPr="0088782A">
              <w:rPr>
                <w:rFonts w:cs="Arial"/>
                <w:b/>
                <w:sz w:val="14"/>
                <w:szCs w:val="14"/>
              </w:rPr>
              <w:t xml:space="preserve">3,402,240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C469B54" w14:textId="77777777">
            <w:pPr>
              <w:pStyle w:val="tablebody"/>
              <w:jc w:val="right"/>
              <w:rPr>
                <w:rFonts w:cs="Arial"/>
                <w:b/>
                <w:sz w:val="14"/>
                <w:szCs w:val="14"/>
              </w:rPr>
            </w:pPr>
            <w:r w:rsidRPr="0088782A">
              <w:rPr>
                <w:rFonts w:cs="Arial"/>
                <w:b/>
                <w:sz w:val="14"/>
                <w:szCs w:val="14"/>
              </w:rPr>
              <w:t xml:space="preserve">3,078,686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BC1B3E3" w14:textId="77777777">
            <w:pPr>
              <w:pStyle w:val="tablebody"/>
              <w:jc w:val="right"/>
              <w:rPr>
                <w:rFonts w:cs="Arial"/>
                <w:b/>
                <w:sz w:val="14"/>
                <w:szCs w:val="14"/>
              </w:rPr>
            </w:pPr>
            <w:r w:rsidRPr="0088782A">
              <w:rPr>
                <w:rFonts w:cs="Arial"/>
                <w:b/>
                <w:sz w:val="14"/>
                <w:szCs w:val="14"/>
              </w:rPr>
              <w:t xml:space="preserve">1,782,355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11F0B84" w14:textId="77777777">
            <w:pPr>
              <w:pStyle w:val="tablebody"/>
              <w:jc w:val="right"/>
              <w:rPr>
                <w:rFonts w:cs="Arial"/>
                <w:b/>
                <w:sz w:val="14"/>
                <w:szCs w:val="14"/>
              </w:rPr>
            </w:pPr>
            <w:r w:rsidRPr="0088782A">
              <w:rPr>
                <w:rFonts w:cs="Arial"/>
                <w:b/>
                <w:sz w:val="14"/>
                <w:szCs w:val="14"/>
              </w:rPr>
              <w:t xml:space="preserve">1,573,905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F09B121" w14:textId="77777777">
            <w:pPr>
              <w:pStyle w:val="tablebody"/>
              <w:jc w:val="right"/>
              <w:rPr>
                <w:rFonts w:cs="Arial"/>
                <w:b/>
                <w:sz w:val="14"/>
                <w:szCs w:val="14"/>
              </w:rPr>
            </w:pPr>
            <w:r w:rsidRPr="0088782A">
              <w:rPr>
                <w:rFonts w:cs="Arial"/>
                <w:b/>
                <w:sz w:val="14"/>
                <w:szCs w:val="14"/>
              </w:rPr>
              <w:t xml:space="preserve">226,706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1DD013A" w14:textId="77777777">
            <w:pPr>
              <w:pStyle w:val="tablebody"/>
              <w:jc w:val="right"/>
              <w:rPr>
                <w:rFonts w:cs="Arial"/>
                <w:b/>
                <w:sz w:val="14"/>
                <w:szCs w:val="14"/>
              </w:rPr>
            </w:pPr>
            <w:r w:rsidRPr="0088782A">
              <w:rPr>
                <w:rFonts w:cs="Arial"/>
                <w:b/>
                <w:sz w:val="14"/>
                <w:szCs w:val="14"/>
              </w:rPr>
              <w:t xml:space="preserve">152,726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684D76D" w14:textId="77777777">
            <w:pPr>
              <w:pStyle w:val="tablebody"/>
              <w:jc w:val="right"/>
              <w:rPr>
                <w:rFonts w:cs="Arial"/>
                <w:b/>
                <w:sz w:val="14"/>
                <w:szCs w:val="14"/>
              </w:rPr>
            </w:pPr>
            <w:r w:rsidRPr="0088782A">
              <w:rPr>
                <w:rFonts w:cs="Arial"/>
                <w:b/>
                <w:sz w:val="14"/>
                <w:szCs w:val="14"/>
              </w:rPr>
              <w:t xml:space="preserve">649,326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14943C5" w14:textId="77777777">
            <w:pPr>
              <w:pStyle w:val="tablebody"/>
              <w:jc w:val="right"/>
              <w:rPr>
                <w:rFonts w:cs="Arial"/>
                <w:b/>
                <w:sz w:val="14"/>
                <w:szCs w:val="14"/>
              </w:rPr>
            </w:pPr>
            <w:r w:rsidRPr="0088782A">
              <w:rPr>
                <w:rFonts w:cs="Arial"/>
                <w:b/>
                <w:sz w:val="14"/>
                <w:szCs w:val="14"/>
              </w:rPr>
              <w:t xml:space="preserve">629,617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2B9A7DF" w14:textId="77777777">
            <w:pPr>
              <w:pStyle w:val="tablebody"/>
              <w:jc w:val="right"/>
              <w:rPr>
                <w:rFonts w:cs="Arial"/>
                <w:b/>
                <w:sz w:val="14"/>
                <w:szCs w:val="14"/>
              </w:rPr>
            </w:pPr>
            <w:r w:rsidRPr="0088782A">
              <w:rPr>
                <w:rFonts w:cs="Arial"/>
                <w:b/>
                <w:sz w:val="14"/>
                <w:szCs w:val="14"/>
              </w:rPr>
              <w:t xml:space="preserve">118,562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769DE8A" w14:textId="77777777">
            <w:pPr>
              <w:pStyle w:val="tablebody"/>
              <w:jc w:val="right"/>
              <w:rPr>
                <w:rFonts w:cs="Arial"/>
                <w:b/>
                <w:sz w:val="14"/>
                <w:szCs w:val="14"/>
              </w:rPr>
            </w:pPr>
            <w:r w:rsidRPr="0088782A">
              <w:rPr>
                <w:rFonts w:cs="Arial"/>
                <w:b/>
                <w:sz w:val="14"/>
                <w:szCs w:val="14"/>
              </w:rPr>
              <w:t xml:space="preserve">107,928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38B4DBE" w14:textId="77777777">
            <w:pPr>
              <w:pStyle w:val="tablebody"/>
              <w:jc w:val="right"/>
              <w:rPr>
                <w:rFonts w:cs="Arial"/>
                <w:b/>
                <w:sz w:val="14"/>
                <w:szCs w:val="14"/>
              </w:rPr>
            </w:pPr>
            <w:r w:rsidRPr="0088782A">
              <w:rPr>
                <w:rFonts w:cs="Arial"/>
                <w:b/>
                <w:sz w:val="14"/>
                <w:szCs w:val="14"/>
              </w:rPr>
              <w:t xml:space="preserve">1,340,557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2324460" w14:textId="77777777">
            <w:pPr>
              <w:pStyle w:val="tablebody"/>
              <w:jc w:val="right"/>
              <w:rPr>
                <w:rFonts w:cs="Arial"/>
                <w:b/>
                <w:sz w:val="14"/>
                <w:szCs w:val="14"/>
              </w:rPr>
            </w:pPr>
            <w:r w:rsidRPr="0088782A">
              <w:rPr>
                <w:rFonts w:cs="Arial"/>
                <w:b/>
                <w:sz w:val="14"/>
                <w:szCs w:val="14"/>
              </w:rPr>
              <w:t xml:space="preserve">1,210,450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D75BBE3" w14:textId="77777777">
            <w:pPr>
              <w:pStyle w:val="tablebody"/>
              <w:jc w:val="right"/>
              <w:rPr>
                <w:rFonts w:cs="Arial"/>
                <w:b/>
                <w:sz w:val="14"/>
                <w:szCs w:val="14"/>
              </w:rPr>
            </w:pPr>
            <w:r w:rsidRPr="0088782A">
              <w:rPr>
                <w:rFonts w:cs="Arial"/>
                <w:b/>
                <w:sz w:val="14"/>
                <w:szCs w:val="14"/>
              </w:rPr>
              <w:t xml:space="preserve">198,702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8B5E955" w14:textId="77777777">
            <w:pPr>
              <w:pStyle w:val="tablebody"/>
              <w:jc w:val="right"/>
              <w:rPr>
                <w:rFonts w:cs="Arial"/>
                <w:b/>
                <w:sz w:val="14"/>
                <w:szCs w:val="14"/>
              </w:rPr>
            </w:pPr>
            <w:r w:rsidRPr="0088782A">
              <w:rPr>
                <w:rFonts w:cs="Arial"/>
                <w:b/>
                <w:sz w:val="14"/>
                <w:szCs w:val="14"/>
              </w:rPr>
              <w:t xml:space="preserve">203,855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5C521A5" w14:textId="77777777">
            <w:pPr>
              <w:pStyle w:val="tablebody"/>
              <w:jc w:val="right"/>
              <w:rPr>
                <w:rFonts w:cs="Arial"/>
                <w:b/>
                <w:sz w:val="14"/>
                <w:szCs w:val="14"/>
              </w:rPr>
            </w:pPr>
            <w:r w:rsidRPr="0088782A">
              <w:rPr>
                <w:rFonts w:cs="Arial"/>
                <w:b/>
                <w:sz w:val="14"/>
                <w:szCs w:val="14"/>
              </w:rPr>
              <w:t xml:space="preserve">7,718,448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6A88086" w14:textId="77777777">
            <w:pPr>
              <w:pStyle w:val="tablebody"/>
              <w:jc w:val="right"/>
              <w:rPr>
                <w:rFonts w:cs="Arial"/>
                <w:b/>
                <w:sz w:val="14"/>
                <w:szCs w:val="14"/>
              </w:rPr>
            </w:pPr>
            <w:r w:rsidRPr="0088782A">
              <w:rPr>
                <w:rFonts w:cs="Arial"/>
                <w:b/>
                <w:sz w:val="14"/>
                <w:szCs w:val="14"/>
              </w:rPr>
              <w:t xml:space="preserve">6,957,167 </w:t>
            </w:r>
          </w:p>
        </w:tc>
      </w:tr>
      <w:tr w:rsidRPr="0088782A" w:rsidR="00045808" w:rsidTr="00CC210C" w14:paraId="01BC5383" w14:textId="77777777">
        <w:tc>
          <w:tcPr>
            <w:tcW w:w="16160" w:type="dxa"/>
            <w:gridSpan w:val="18"/>
            <w:tcBorders>
              <w:top w:val="single" w:color="000000" w:sz="6" w:space="0"/>
              <w:left w:val="nil"/>
              <w:bottom w:val="nil"/>
              <w:right w:val="nil"/>
            </w:tcBorders>
            <w:tcMar>
              <w:top w:w="28" w:type="dxa"/>
              <w:left w:w="0" w:type="dxa"/>
              <w:bottom w:w="28" w:type="dxa"/>
              <w:right w:w="0" w:type="dxa"/>
            </w:tcMar>
            <w:vAlign w:val="bottom"/>
          </w:tcPr>
          <w:p w:rsidRPr="0088782A" w:rsidR="00045808" w:rsidP="00535DCC" w:rsidRDefault="00045808" w14:paraId="269A1FA2" w14:textId="77777777">
            <w:pPr>
              <w:pStyle w:val="tablebody"/>
              <w:rPr>
                <w:rFonts w:cs="Arial"/>
                <w:b/>
                <w:sz w:val="14"/>
                <w:szCs w:val="14"/>
              </w:rPr>
            </w:pPr>
            <w:r w:rsidRPr="0088782A">
              <w:rPr>
                <w:rFonts w:cs="Arial"/>
                <w:b/>
                <w:sz w:val="14"/>
                <w:szCs w:val="14"/>
              </w:rPr>
              <w:t>Expenses from transactions</w:t>
            </w:r>
          </w:p>
        </w:tc>
      </w:tr>
      <w:tr w:rsidRPr="00045808" w:rsidR="00535DCC" w:rsidTr="00CC210C" w14:paraId="0A437045"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30DC6AE9"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12FE2778" w14:textId="77777777">
            <w:pPr>
              <w:pStyle w:val="tablebody"/>
              <w:rPr>
                <w:rFonts w:cs="Arial"/>
                <w:sz w:val="14"/>
                <w:szCs w:val="14"/>
              </w:rPr>
            </w:pPr>
            <w:r w:rsidRPr="00045808">
              <w:rPr>
                <w:rFonts w:cs="Arial"/>
                <w:sz w:val="14"/>
                <w:szCs w:val="14"/>
              </w:rPr>
              <w:t>Employee benefit expense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B3CE143" w14:textId="77777777">
            <w:pPr>
              <w:pStyle w:val="tablebody"/>
              <w:jc w:val="right"/>
              <w:rPr>
                <w:rFonts w:cs="Arial"/>
                <w:sz w:val="14"/>
                <w:szCs w:val="14"/>
              </w:rPr>
            </w:pPr>
            <w:r w:rsidRPr="00045808">
              <w:rPr>
                <w:rFonts w:cs="Arial"/>
                <w:sz w:val="14"/>
                <w:szCs w:val="14"/>
              </w:rPr>
              <w:t xml:space="preserve">(10,886)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99AA9CC" w14:textId="77777777">
            <w:pPr>
              <w:pStyle w:val="tablebody"/>
              <w:jc w:val="right"/>
              <w:rPr>
                <w:rFonts w:cs="Arial"/>
                <w:sz w:val="14"/>
                <w:szCs w:val="14"/>
              </w:rPr>
            </w:pPr>
            <w:r w:rsidRPr="00045808">
              <w:rPr>
                <w:rFonts w:cs="Arial"/>
                <w:sz w:val="14"/>
                <w:szCs w:val="14"/>
              </w:rPr>
              <w:t xml:space="preserve">(7,417)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D70C483" w14:textId="77777777">
            <w:pPr>
              <w:pStyle w:val="tablebody"/>
              <w:jc w:val="right"/>
              <w:rPr>
                <w:rFonts w:cs="Arial"/>
                <w:sz w:val="14"/>
                <w:szCs w:val="14"/>
              </w:rPr>
            </w:pPr>
            <w:r w:rsidRPr="00045808">
              <w:rPr>
                <w:rFonts w:cs="Arial"/>
                <w:sz w:val="14"/>
                <w:szCs w:val="14"/>
              </w:rPr>
              <w:t xml:space="preserve">(663,566)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A2FA16A" w14:textId="77777777">
            <w:pPr>
              <w:pStyle w:val="tablebody"/>
              <w:jc w:val="right"/>
              <w:rPr>
                <w:rFonts w:cs="Arial"/>
                <w:sz w:val="14"/>
                <w:szCs w:val="14"/>
              </w:rPr>
            </w:pPr>
            <w:r w:rsidRPr="00045808">
              <w:rPr>
                <w:rFonts w:cs="Arial"/>
                <w:sz w:val="14"/>
                <w:szCs w:val="14"/>
              </w:rPr>
              <w:t xml:space="preserve">(617,698)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05058D0" w14:textId="77777777">
            <w:pPr>
              <w:pStyle w:val="tablebody"/>
              <w:jc w:val="right"/>
              <w:rPr>
                <w:rFonts w:cs="Arial"/>
                <w:sz w:val="14"/>
                <w:szCs w:val="14"/>
              </w:rPr>
            </w:pPr>
            <w:r w:rsidRPr="00045808">
              <w:rPr>
                <w:rFonts w:cs="Arial"/>
                <w:sz w:val="14"/>
                <w:szCs w:val="14"/>
              </w:rPr>
              <w:t xml:space="preserve">(118,434)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56C26B0" w14:textId="77777777">
            <w:pPr>
              <w:pStyle w:val="tablebody"/>
              <w:jc w:val="right"/>
              <w:rPr>
                <w:rFonts w:cs="Arial"/>
                <w:sz w:val="14"/>
                <w:szCs w:val="14"/>
              </w:rPr>
            </w:pPr>
            <w:r w:rsidRPr="00045808">
              <w:rPr>
                <w:rFonts w:cs="Arial"/>
                <w:sz w:val="14"/>
                <w:szCs w:val="14"/>
              </w:rPr>
              <w:t xml:space="preserve">(91,120)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11502FB" w14:textId="77777777">
            <w:pPr>
              <w:pStyle w:val="tablebody"/>
              <w:jc w:val="right"/>
              <w:rPr>
                <w:rFonts w:cs="Arial"/>
                <w:sz w:val="14"/>
                <w:szCs w:val="14"/>
              </w:rPr>
            </w:pPr>
            <w:r w:rsidRPr="00045808">
              <w:rPr>
                <w:rFonts w:cs="Arial"/>
                <w:sz w:val="14"/>
                <w:szCs w:val="14"/>
              </w:rPr>
              <w:t xml:space="preserve">(101,314)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E20373F" w14:textId="77777777">
            <w:pPr>
              <w:pStyle w:val="tablebody"/>
              <w:jc w:val="right"/>
              <w:rPr>
                <w:rFonts w:cs="Arial"/>
                <w:sz w:val="14"/>
                <w:szCs w:val="14"/>
              </w:rPr>
            </w:pPr>
            <w:r w:rsidRPr="00045808">
              <w:rPr>
                <w:rFonts w:cs="Arial"/>
                <w:sz w:val="14"/>
                <w:szCs w:val="14"/>
              </w:rPr>
              <w:t xml:space="preserve">(89,453)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4F41A1F" w14:textId="77777777">
            <w:pPr>
              <w:pStyle w:val="tablebody"/>
              <w:jc w:val="right"/>
              <w:rPr>
                <w:rFonts w:cs="Arial"/>
                <w:sz w:val="14"/>
                <w:szCs w:val="14"/>
              </w:rPr>
            </w:pPr>
            <w:r w:rsidRPr="00045808">
              <w:rPr>
                <w:rFonts w:cs="Arial"/>
                <w:sz w:val="14"/>
                <w:szCs w:val="14"/>
              </w:rPr>
              <w:t xml:space="preserve">(67,520)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39ACD83" w14:textId="77777777">
            <w:pPr>
              <w:pStyle w:val="tablebody"/>
              <w:jc w:val="right"/>
              <w:rPr>
                <w:rFonts w:cs="Arial"/>
                <w:sz w:val="14"/>
                <w:szCs w:val="14"/>
              </w:rPr>
            </w:pPr>
            <w:r w:rsidRPr="00045808">
              <w:rPr>
                <w:rFonts w:cs="Arial"/>
                <w:sz w:val="14"/>
                <w:szCs w:val="14"/>
              </w:rPr>
              <w:t xml:space="preserve">(59,474)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4CAE18D" w14:textId="77777777">
            <w:pPr>
              <w:pStyle w:val="tablebody"/>
              <w:jc w:val="right"/>
              <w:rPr>
                <w:rFonts w:cs="Arial"/>
                <w:sz w:val="14"/>
                <w:szCs w:val="14"/>
              </w:rPr>
            </w:pPr>
            <w:r w:rsidRPr="00045808">
              <w:rPr>
                <w:rFonts w:cs="Arial"/>
                <w:sz w:val="14"/>
                <w:szCs w:val="14"/>
              </w:rPr>
              <w:t xml:space="preserve">(43,356)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63B9238" w14:textId="77777777">
            <w:pPr>
              <w:pStyle w:val="tablebody"/>
              <w:jc w:val="right"/>
              <w:rPr>
                <w:rFonts w:cs="Arial"/>
                <w:sz w:val="14"/>
                <w:szCs w:val="14"/>
              </w:rPr>
            </w:pPr>
            <w:r w:rsidRPr="00045808">
              <w:rPr>
                <w:rFonts w:cs="Arial"/>
                <w:sz w:val="14"/>
                <w:szCs w:val="14"/>
              </w:rPr>
              <w:t xml:space="preserve">(40,614)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66570CB" w14:textId="77777777">
            <w:pPr>
              <w:pStyle w:val="tablebody"/>
              <w:jc w:val="right"/>
              <w:rPr>
                <w:rFonts w:cs="Arial"/>
                <w:sz w:val="14"/>
                <w:szCs w:val="14"/>
              </w:rPr>
            </w:pPr>
            <w:r w:rsidRPr="00045808">
              <w:rPr>
                <w:rFonts w:cs="Arial"/>
                <w:sz w:val="14"/>
                <w:szCs w:val="14"/>
              </w:rPr>
              <w:t xml:space="preserve">(57,760)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CA4FEBA" w14:textId="77777777">
            <w:pPr>
              <w:pStyle w:val="tablebody"/>
              <w:jc w:val="right"/>
              <w:rPr>
                <w:rFonts w:cs="Arial"/>
                <w:sz w:val="14"/>
                <w:szCs w:val="14"/>
              </w:rPr>
            </w:pPr>
            <w:r w:rsidRPr="00045808">
              <w:rPr>
                <w:rFonts w:cs="Arial"/>
                <w:sz w:val="14"/>
                <w:szCs w:val="14"/>
              </w:rPr>
              <w:t xml:space="preserve">(55,555)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0CCFD63" w14:textId="77777777">
            <w:pPr>
              <w:pStyle w:val="tablebody"/>
              <w:jc w:val="right"/>
              <w:rPr>
                <w:rFonts w:cs="Arial"/>
                <w:sz w:val="14"/>
                <w:szCs w:val="14"/>
              </w:rPr>
            </w:pPr>
            <w:r w:rsidRPr="00045808">
              <w:rPr>
                <w:rFonts w:cs="Arial"/>
                <w:sz w:val="14"/>
                <w:szCs w:val="14"/>
              </w:rPr>
              <w:t xml:space="preserve">(1,062,836)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3219450" w14:textId="77777777">
            <w:pPr>
              <w:pStyle w:val="tablebody"/>
              <w:jc w:val="right"/>
              <w:rPr>
                <w:rFonts w:cs="Arial"/>
                <w:sz w:val="14"/>
                <w:szCs w:val="14"/>
              </w:rPr>
            </w:pPr>
            <w:r w:rsidRPr="00045808">
              <w:rPr>
                <w:rFonts w:cs="Arial"/>
                <w:sz w:val="14"/>
                <w:szCs w:val="14"/>
              </w:rPr>
              <w:t xml:space="preserve">(961,331) </w:t>
            </w:r>
          </w:p>
        </w:tc>
      </w:tr>
      <w:tr w:rsidRPr="00045808" w:rsidR="00535DCC" w:rsidTr="00CC210C" w14:paraId="6DD6E12F"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5836CB2D"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491D5B75" w14:textId="77777777">
            <w:pPr>
              <w:pStyle w:val="tablebody"/>
              <w:rPr>
                <w:rFonts w:cs="Arial"/>
                <w:sz w:val="14"/>
                <w:szCs w:val="14"/>
              </w:rPr>
            </w:pPr>
            <w:r w:rsidRPr="00045808">
              <w:rPr>
                <w:rFonts w:cs="Arial"/>
                <w:sz w:val="14"/>
                <w:szCs w:val="14"/>
              </w:rPr>
              <w:t>Depreciation</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64A76BE" w14:textId="77777777">
            <w:pPr>
              <w:pStyle w:val="tablebody"/>
              <w:jc w:val="right"/>
              <w:rPr>
                <w:rFonts w:cs="Arial"/>
                <w:sz w:val="14"/>
                <w:szCs w:val="14"/>
              </w:rPr>
            </w:pPr>
            <w:r w:rsidRPr="00045808">
              <w:rPr>
                <w:rFonts w:cs="Arial"/>
                <w:sz w:val="14"/>
                <w:szCs w:val="14"/>
              </w:rPr>
              <w:t xml:space="preserve">(36)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1BA0554" w14:textId="77777777">
            <w:pPr>
              <w:pStyle w:val="tablebody"/>
              <w:jc w:val="right"/>
              <w:rPr>
                <w:rFonts w:cs="Arial"/>
                <w:sz w:val="14"/>
                <w:szCs w:val="14"/>
              </w:rPr>
            </w:pPr>
            <w:r w:rsidRPr="00045808">
              <w:rPr>
                <w:rFonts w:cs="Arial"/>
                <w:sz w:val="14"/>
                <w:szCs w:val="14"/>
              </w:rPr>
              <w:t xml:space="preserve">(16)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86B4B19" w14:textId="77777777">
            <w:pPr>
              <w:pStyle w:val="tablebody"/>
              <w:jc w:val="right"/>
              <w:rPr>
                <w:rFonts w:cs="Arial"/>
                <w:sz w:val="14"/>
                <w:szCs w:val="14"/>
              </w:rPr>
            </w:pPr>
            <w:r w:rsidRPr="00045808">
              <w:rPr>
                <w:rFonts w:cs="Arial"/>
                <w:sz w:val="14"/>
                <w:szCs w:val="14"/>
              </w:rPr>
              <w:t xml:space="preserve">(104,092)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72CC0FF" w14:textId="77777777">
            <w:pPr>
              <w:pStyle w:val="tablebody"/>
              <w:jc w:val="right"/>
              <w:rPr>
                <w:rFonts w:cs="Arial"/>
                <w:sz w:val="14"/>
                <w:szCs w:val="14"/>
              </w:rPr>
            </w:pPr>
            <w:r w:rsidRPr="00045808">
              <w:rPr>
                <w:rFonts w:cs="Arial"/>
                <w:sz w:val="14"/>
                <w:szCs w:val="14"/>
              </w:rPr>
              <w:t xml:space="preserve">(91,572)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AF4B1FB" w14:textId="77777777">
            <w:pPr>
              <w:pStyle w:val="tablebody"/>
              <w:jc w:val="right"/>
              <w:rPr>
                <w:rFonts w:cs="Arial"/>
                <w:sz w:val="14"/>
                <w:szCs w:val="14"/>
              </w:rPr>
            </w:pPr>
            <w:r w:rsidRPr="00045808">
              <w:rPr>
                <w:rFonts w:cs="Arial"/>
                <w:sz w:val="14"/>
                <w:szCs w:val="14"/>
              </w:rPr>
              <w:t xml:space="preserve">(4,969)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85CBEA2" w14:textId="77777777">
            <w:pPr>
              <w:pStyle w:val="tablebody"/>
              <w:jc w:val="right"/>
              <w:rPr>
                <w:rFonts w:cs="Arial"/>
                <w:sz w:val="14"/>
                <w:szCs w:val="14"/>
              </w:rPr>
            </w:pPr>
            <w:r w:rsidRPr="00045808">
              <w:rPr>
                <w:rFonts w:cs="Arial"/>
                <w:sz w:val="14"/>
                <w:szCs w:val="14"/>
              </w:rPr>
              <w:t xml:space="preserve">(4,164)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909F529" w14:textId="77777777">
            <w:pPr>
              <w:pStyle w:val="tablebody"/>
              <w:jc w:val="right"/>
              <w:rPr>
                <w:rFonts w:cs="Arial"/>
                <w:sz w:val="14"/>
                <w:szCs w:val="14"/>
              </w:rPr>
            </w:pPr>
            <w:r w:rsidRPr="00045808">
              <w:rPr>
                <w:rFonts w:cs="Arial"/>
                <w:sz w:val="14"/>
                <w:szCs w:val="14"/>
              </w:rPr>
              <w:t xml:space="preserve">(15,621)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E0F1B75" w14:textId="77777777">
            <w:pPr>
              <w:pStyle w:val="tablebody"/>
              <w:jc w:val="right"/>
              <w:rPr>
                <w:rFonts w:cs="Arial"/>
                <w:sz w:val="14"/>
                <w:szCs w:val="14"/>
              </w:rPr>
            </w:pPr>
            <w:r w:rsidRPr="00045808">
              <w:rPr>
                <w:rFonts w:cs="Arial"/>
                <w:sz w:val="14"/>
                <w:szCs w:val="14"/>
              </w:rPr>
              <w:t xml:space="preserve">(11,401)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49D311E" w14:textId="77777777">
            <w:pPr>
              <w:pStyle w:val="tablebody"/>
              <w:jc w:val="right"/>
              <w:rPr>
                <w:rFonts w:cs="Arial"/>
                <w:sz w:val="14"/>
                <w:szCs w:val="14"/>
              </w:rPr>
            </w:pPr>
            <w:r w:rsidRPr="00045808">
              <w:rPr>
                <w:rFonts w:cs="Arial"/>
                <w:sz w:val="14"/>
                <w:szCs w:val="14"/>
              </w:rPr>
              <w:t xml:space="preserve">(1,601)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D722F06" w14:textId="77777777">
            <w:pPr>
              <w:pStyle w:val="tablebody"/>
              <w:jc w:val="right"/>
              <w:rPr>
                <w:rFonts w:cs="Arial"/>
                <w:sz w:val="14"/>
                <w:szCs w:val="14"/>
              </w:rPr>
            </w:pPr>
            <w:r w:rsidRPr="00045808">
              <w:rPr>
                <w:rFonts w:cs="Arial"/>
                <w:sz w:val="14"/>
                <w:szCs w:val="14"/>
              </w:rPr>
              <w:t xml:space="preserve">(373)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083054C" w14:textId="77777777">
            <w:pPr>
              <w:pStyle w:val="tablebody"/>
              <w:jc w:val="right"/>
              <w:rPr>
                <w:rFonts w:cs="Arial"/>
                <w:sz w:val="14"/>
                <w:szCs w:val="14"/>
              </w:rPr>
            </w:pPr>
            <w:r w:rsidRPr="00045808">
              <w:rPr>
                <w:rFonts w:cs="Arial"/>
                <w:sz w:val="14"/>
                <w:szCs w:val="14"/>
              </w:rPr>
              <w:t xml:space="preserve">(7,885)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D6F01DC" w14:textId="77777777">
            <w:pPr>
              <w:pStyle w:val="tablebody"/>
              <w:jc w:val="right"/>
              <w:rPr>
                <w:rFonts w:cs="Arial"/>
                <w:sz w:val="14"/>
                <w:szCs w:val="14"/>
              </w:rPr>
            </w:pPr>
            <w:r w:rsidRPr="00045808">
              <w:rPr>
                <w:rFonts w:cs="Arial"/>
                <w:sz w:val="14"/>
                <w:szCs w:val="14"/>
              </w:rPr>
              <w:t xml:space="preserve">(10,767)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6A7392E" w14:textId="77777777">
            <w:pPr>
              <w:pStyle w:val="tablebody"/>
              <w:jc w:val="right"/>
              <w:rPr>
                <w:rFonts w:cs="Arial"/>
                <w:sz w:val="14"/>
                <w:szCs w:val="14"/>
              </w:rPr>
            </w:pPr>
            <w:r w:rsidRPr="00045808">
              <w:rPr>
                <w:rFonts w:cs="Arial"/>
                <w:sz w:val="14"/>
                <w:szCs w:val="14"/>
              </w:rPr>
              <w:t xml:space="preserve">(477)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8494E89" w14:textId="77777777">
            <w:pPr>
              <w:pStyle w:val="tablebody"/>
              <w:jc w:val="right"/>
              <w:rPr>
                <w:rFonts w:cs="Arial"/>
                <w:sz w:val="14"/>
                <w:szCs w:val="14"/>
              </w:rPr>
            </w:pPr>
            <w:r w:rsidRPr="00045808">
              <w:rPr>
                <w:rFonts w:cs="Arial"/>
                <w:sz w:val="14"/>
                <w:szCs w:val="14"/>
              </w:rPr>
              <w:t xml:space="preserve">(300)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F56B9C9" w14:textId="77777777">
            <w:pPr>
              <w:pStyle w:val="tablebody"/>
              <w:jc w:val="right"/>
              <w:rPr>
                <w:rFonts w:cs="Arial"/>
                <w:sz w:val="14"/>
                <w:szCs w:val="14"/>
              </w:rPr>
            </w:pPr>
            <w:r w:rsidRPr="00045808">
              <w:rPr>
                <w:rFonts w:cs="Arial"/>
                <w:sz w:val="14"/>
                <w:szCs w:val="14"/>
              </w:rPr>
              <w:t xml:space="preserve">(134,681)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D220999" w14:textId="77777777">
            <w:pPr>
              <w:pStyle w:val="tablebody"/>
              <w:jc w:val="right"/>
              <w:rPr>
                <w:rFonts w:cs="Arial"/>
                <w:sz w:val="14"/>
                <w:szCs w:val="14"/>
              </w:rPr>
            </w:pPr>
            <w:r w:rsidRPr="00045808">
              <w:rPr>
                <w:rFonts w:cs="Arial"/>
                <w:sz w:val="14"/>
                <w:szCs w:val="14"/>
              </w:rPr>
              <w:t xml:space="preserve">(118,593) </w:t>
            </w:r>
          </w:p>
        </w:tc>
      </w:tr>
      <w:tr w:rsidRPr="00045808" w:rsidR="00535DCC" w:rsidTr="00CC210C" w14:paraId="4F971DCB"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6789C786"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2BB85ED6" w14:textId="77777777">
            <w:pPr>
              <w:pStyle w:val="tablebody"/>
              <w:rPr>
                <w:rFonts w:cs="Arial"/>
                <w:sz w:val="14"/>
                <w:szCs w:val="14"/>
              </w:rPr>
            </w:pPr>
            <w:r w:rsidRPr="00045808">
              <w:rPr>
                <w:rFonts w:cs="Arial"/>
                <w:sz w:val="14"/>
                <w:szCs w:val="14"/>
              </w:rPr>
              <w:t>Interest expense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B1AF495" w14:textId="77777777">
            <w:pPr>
              <w:pStyle w:val="tablebody"/>
              <w:jc w:val="right"/>
              <w:rPr>
                <w:rFonts w:cs="Arial"/>
                <w:sz w:val="14"/>
                <w:szCs w:val="14"/>
              </w:rPr>
            </w:pPr>
            <w:r w:rsidRPr="00045808">
              <w:rPr>
                <w:rFonts w:cs="Arial"/>
                <w:sz w:val="14"/>
                <w:szCs w:val="14"/>
              </w:rPr>
              <w:t xml:space="preserve">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425E4DA" w14:textId="77777777">
            <w:pPr>
              <w:pStyle w:val="tablebody"/>
              <w:jc w:val="right"/>
              <w:rPr>
                <w:rFonts w:cs="Arial"/>
                <w:sz w:val="14"/>
                <w:szCs w:val="14"/>
              </w:rPr>
            </w:pPr>
            <w:r w:rsidRPr="00045808">
              <w:rPr>
                <w:rFonts w:cs="Arial"/>
                <w:sz w:val="14"/>
                <w:szCs w:val="14"/>
              </w:rPr>
              <w:t xml:space="preserve">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CC9482D" w14:textId="77777777">
            <w:pPr>
              <w:pStyle w:val="tablebody"/>
              <w:jc w:val="right"/>
              <w:rPr>
                <w:rFonts w:cs="Arial"/>
                <w:sz w:val="14"/>
                <w:szCs w:val="14"/>
              </w:rPr>
            </w:pPr>
            <w:r w:rsidRPr="00045808">
              <w:rPr>
                <w:rFonts w:cs="Arial"/>
                <w:sz w:val="14"/>
                <w:szCs w:val="14"/>
              </w:rPr>
              <w:t xml:space="preserve">(63,518)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0E2BD0A" w14:textId="77777777">
            <w:pPr>
              <w:pStyle w:val="tablebody"/>
              <w:jc w:val="right"/>
              <w:rPr>
                <w:rFonts w:cs="Arial"/>
                <w:sz w:val="14"/>
                <w:szCs w:val="14"/>
              </w:rPr>
            </w:pPr>
            <w:r w:rsidRPr="00045808">
              <w:rPr>
                <w:rFonts w:cs="Arial"/>
                <w:sz w:val="14"/>
                <w:szCs w:val="14"/>
              </w:rPr>
              <w:t xml:space="preserve">(50,622)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57B088A" w14:textId="77777777">
            <w:pPr>
              <w:pStyle w:val="tablebody"/>
              <w:jc w:val="right"/>
              <w:rPr>
                <w:rFonts w:cs="Arial"/>
                <w:sz w:val="14"/>
                <w:szCs w:val="14"/>
              </w:rPr>
            </w:pPr>
            <w:r w:rsidRPr="00045808">
              <w:rPr>
                <w:rFonts w:cs="Arial"/>
                <w:sz w:val="14"/>
                <w:szCs w:val="14"/>
              </w:rPr>
              <w:t xml:space="preserve">(74)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C038327" w14:textId="77777777">
            <w:pPr>
              <w:pStyle w:val="tablebody"/>
              <w:jc w:val="right"/>
              <w:rPr>
                <w:rFonts w:cs="Arial"/>
                <w:sz w:val="14"/>
                <w:szCs w:val="14"/>
              </w:rPr>
            </w:pPr>
            <w:r w:rsidRPr="00045808">
              <w:rPr>
                <w:rFonts w:cs="Arial"/>
                <w:sz w:val="14"/>
                <w:szCs w:val="14"/>
              </w:rPr>
              <w:t xml:space="preserve">(72)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DCB5405" w14:textId="77777777">
            <w:pPr>
              <w:pStyle w:val="tablebody"/>
              <w:jc w:val="right"/>
              <w:rPr>
                <w:rFonts w:cs="Arial"/>
                <w:sz w:val="14"/>
                <w:szCs w:val="14"/>
              </w:rPr>
            </w:pPr>
            <w:r w:rsidRPr="00045808">
              <w:rPr>
                <w:rFonts w:cs="Arial"/>
                <w:sz w:val="14"/>
                <w:szCs w:val="14"/>
              </w:rPr>
              <w:t xml:space="preserve">(23)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C633089" w14:textId="77777777">
            <w:pPr>
              <w:pStyle w:val="tablebody"/>
              <w:jc w:val="right"/>
              <w:rPr>
                <w:rFonts w:cs="Arial"/>
                <w:sz w:val="14"/>
                <w:szCs w:val="14"/>
              </w:rPr>
            </w:pPr>
            <w:r w:rsidRPr="00045808">
              <w:rPr>
                <w:rFonts w:cs="Arial"/>
                <w:sz w:val="14"/>
                <w:szCs w:val="14"/>
              </w:rPr>
              <w:t xml:space="preserve">(27)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449E71C" w14:textId="77777777">
            <w:pPr>
              <w:pStyle w:val="tablebody"/>
              <w:jc w:val="right"/>
              <w:rPr>
                <w:rFonts w:cs="Arial"/>
                <w:sz w:val="14"/>
                <w:szCs w:val="14"/>
              </w:rPr>
            </w:pPr>
            <w:r w:rsidRPr="00045808">
              <w:rPr>
                <w:rFonts w:cs="Arial"/>
                <w:sz w:val="14"/>
                <w:szCs w:val="14"/>
              </w:rPr>
              <w:t xml:space="preserve">(11)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2341A3B" w14:textId="77777777">
            <w:pPr>
              <w:pStyle w:val="tablebody"/>
              <w:jc w:val="right"/>
              <w:rPr>
                <w:rFonts w:cs="Arial"/>
                <w:sz w:val="14"/>
                <w:szCs w:val="14"/>
              </w:rPr>
            </w:pPr>
            <w:r w:rsidRPr="00045808">
              <w:rPr>
                <w:rFonts w:cs="Arial"/>
                <w:sz w:val="14"/>
                <w:szCs w:val="14"/>
              </w:rPr>
              <w:t xml:space="preserve">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3DF02FB" w14:textId="77777777">
            <w:pPr>
              <w:pStyle w:val="tablebody"/>
              <w:jc w:val="right"/>
              <w:rPr>
                <w:rFonts w:cs="Arial"/>
                <w:sz w:val="14"/>
                <w:szCs w:val="14"/>
              </w:rPr>
            </w:pPr>
            <w:r w:rsidRPr="00045808">
              <w:rPr>
                <w:rFonts w:cs="Arial"/>
                <w:sz w:val="14"/>
                <w:szCs w:val="14"/>
              </w:rPr>
              <w:t xml:space="preserve">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D821DD8" w14:textId="77777777">
            <w:pPr>
              <w:pStyle w:val="tablebody"/>
              <w:jc w:val="right"/>
              <w:rPr>
                <w:rFonts w:cs="Arial"/>
                <w:sz w:val="14"/>
                <w:szCs w:val="14"/>
              </w:rPr>
            </w:pPr>
            <w:r w:rsidRPr="00045808">
              <w:rPr>
                <w:rFonts w:cs="Arial"/>
                <w:sz w:val="14"/>
                <w:szCs w:val="14"/>
              </w:rPr>
              <w:t xml:space="preserve">42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3BFBCF6" w14:textId="77777777">
            <w:pPr>
              <w:pStyle w:val="tablebody"/>
              <w:jc w:val="right"/>
              <w:rPr>
                <w:rFonts w:cs="Arial"/>
                <w:sz w:val="14"/>
                <w:szCs w:val="14"/>
              </w:rPr>
            </w:pPr>
            <w:r w:rsidRPr="00045808">
              <w:rPr>
                <w:rFonts w:cs="Arial"/>
                <w:sz w:val="14"/>
                <w:szCs w:val="14"/>
              </w:rPr>
              <w:t xml:space="preserve">(14)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DC10CE0" w14:textId="77777777">
            <w:pPr>
              <w:pStyle w:val="tablebody"/>
              <w:jc w:val="right"/>
              <w:rPr>
                <w:rFonts w:cs="Arial"/>
                <w:sz w:val="14"/>
                <w:szCs w:val="14"/>
              </w:rPr>
            </w:pPr>
            <w:r w:rsidRPr="00045808">
              <w:rPr>
                <w:rFonts w:cs="Arial"/>
                <w:sz w:val="14"/>
                <w:szCs w:val="14"/>
              </w:rPr>
              <w:t xml:space="preserve">(2)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217A93E" w14:textId="77777777">
            <w:pPr>
              <w:pStyle w:val="tablebody"/>
              <w:jc w:val="right"/>
              <w:rPr>
                <w:rFonts w:cs="Arial"/>
                <w:sz w:val="14"/>
                <w:szCs w:val="14"/>
              </w:rPr>
            </w:pPr>
            <w:r w:rsidRPr="00045808">
              <w:rPr>
                <w:rFonts w:cs="Arial"/>
                <w:sz w:val="14"/>
                <w:szCs w:val="14"/>
              </w:rPr>
              <w:t xml:space="preserve">(63,635)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0C48E62" w14:textId="77777777">
            <w:pPr>
              <w:pStyle w:val="tablebody"/>
              <w:jc w:val="right"/>
              <w:rPr>
                <w:rFonts w:cs="Arial"/>
                <w:sz w:val="14"/>
                <w:szCs w:val="14"/>
              </w:rPr>
            </w:pPr>
            <w:r w:rsidRPr="00045808">
              <w:rPr>
                <w:rFonts w:cs="Arial"/>
                <w:sz w:val="14"/>
                <w:szCs w:val="14"/>
              </w:rPr>
              <w:t xml:space="preserve">(50,676) </w:t>
            </w:r>
          </w:p>
        </w:tc>
      </w:tr>
      <w:tr w:rsidRPr="00045808" w:rsidR="00535DCC" w:rsidTr="00CC210C" w14:paraId="5DFAF3F1"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735EC691"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15F49001" w14:textId="77777777">
            <w:pPr>
              <w:pStyle w:val="tablebody"/>
              <w:rPr>
                <w:rFonts w:cs="Arial"/>
                <w:sz w:val="14"/>
                <w:szCs w:val="14"/>
              </w:rPr>
            </w:pPr>
            <w:r w:rsidRPr="00045808">
              <w:rPr>
                <w:rFonts w:cs="Arial"/>
                <w:sz w:val="14"/>
                <w:szCs w:val="14"/>
              </w:rPr>
              <w:t>Grant expense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2453C6B" w14:textId="77777777">
            <w:pPr>
              <w:pStyle w:val="tablebody"/>
              <w:jc w:val="right"/>
              <w:rPr>
                <w:rFonts w:cs="Arial"/>
                <w:sz w:val="14"/>
                <w:szCs w:val="14"/>
              </w:rPr>
            </w:pPr>
            <w:r w:rsidRPr="00045808">
              <w:rPr>
                <w:rFonts w:cs="Arial"/>
                <w:sz w:val="14"/>
                <w:szCs w:val="14"/>
              </w:rPr>
              <w:t xml:space="preserve">(3,380,747)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52BCEB5" w14:textId="77777777">
            <w:pPr>
              <w:pStyle w:val="tablebody"/>
              <w:jc w:val="right"/>
              <w:rPr>
                <w:rFonts w:cs="Arial"/>
                <w:sz w:val="14"/>
                <w:szCs w:val="14"/>
              </w:rPr>
            </w:pPr>
            <w:r w:rsidRPr="00045808">
              <w:rPr>
                <w:rFonts w:cs="Arial"/>
                <w:sz w:val="14"/>
                <w:szCs w:val="14"/>
              </w:rPr>
              <w:t xml:space="preserve">(3,068,463)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CA5B691" w14:textId="77777777">
            <w:pPr>
              <w:pStyle w:val="tablebody"/>
              <w:jc w:val="right"/>
              <w:rPr>
                <w:rFonts w:cs="Arial"/>
                <w:sz w:val="14"/>
                <w:szCs w:val="14"/>
              </w:rPr>
            </w:pPr>
            <w:r w:rsidRPr="00045808">
              <w:rPr>
                <w:rFonts w:cs="Arial"/>
                <w:sz w:val="14"/>
                <w:szCs w:val="14"/>
              </w:rPr>
              <w:t xml:space="preserve">(4,853)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C59B717" w14:textId="77777777">
            <w:pPr>
              <w:pStyle w:val="tablebody"/>
              <w:jc w:val="right"/>
              <w:rPr>
                <w:rFonts w:cs="Arial"/>
                <w:sz w:val="14"/>
                <w:szCs w:val="14"/>
              </w:rPr>
            </w:pPr>
            <w:r w:rsidRPr="00045808">
              <w:rPr>
                <w:rFonts w:cs="Arial"/>
                <w:sz w:val="14"/>
                <w:szCs w:val="14"/>
              </w:rPr>
              <w:t xml:space="preserve">(8,727)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8D19BBC" w14:textId="77777777">
            <w:pPr>
              <w:pStyle w:val="tablebody"/>
              <w:jc w:val="right"/>
              <w:rPr>
                <w:rFonts w:cs="Arial"/>
                <w:sz w:val="14"/>
                <w:szCs w:val="14"/>
              </w:rPr>
            </w:pPr>
            <w:r w:rsidRPr="00045808">
              <w:rPr>
                <w:rFonts w:cs="Arial"/>
                <w:sz w:val="14"/>
                <w:szCs w:val="14"/>
              </w:rPr>
              <w:t xml:space="preserve">(1,431)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C5065D8" w14:textId="77777777">
            <w:pPr>
              <w:pStyle w:val="tablebody"/>
              <w:jc w:val="right"/>
              <w:rPr>
                <w:rFonts w:cs="Arial"/>
                <w:sz w:val="14"/>
                <w:szCs w:val="14"/>
              </w:rPr>
            </w:pPr>
            <w:r w:rsidRPr="00045808">
              <w:rPr>
                <w:rFonts w:cs="Arial"/>
                <w:sz w:val="14"/>
                <w:szCs w:val="14"/>
              </w:rPr>
              <w:t xml:space="preserve">(682)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35FF48C" w14:textId="77777777">
            <w:pPr>
              <w:pStyle w:val="tablebody"/>
              <w:jc w:val="right"/>
              <w:rPr>
                <w:rFonts w:cs="Arial"/>
                <w:sz w:val="14"/>
                <w:szCs w:val="14"/>
              </w:rPr>
            </w:pPr>
            <w:r w:rsidRPr="00045808">
              <w:rPr>
                <w:rFonts w:cs="Arial"/>
                <w:sz w:val="14"/>
                <w:szCs w:val="14"/>
              </w:rPr>
              <w:t xml:space="preserve">(353,811)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33579F9" w14:textId="77777777">
            <w:pPr>
              <w:pStyle w:val="tablebody"/>
              <w:jc w:val="right"/>
              <w:rPr>
                <w:rFonts w:cs="Arial"/>
                <w:sz w:val="14"/>
                <w:szCs w:val="14"/>
              </w:rPr>
            </w:pPr>
            <w:r w:rsidRPr="00045808">
              <w:rPr>
                <w:rFonts w:cs="Arial"/>
                <w:sz w:val="14"/>
                <w:szCs w:val="14"/>
              </w:rPr>
              <w:t xml:space="preserve">(321,116)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5951A80" w14:textId="77777777">
            <w:pPr>
              <w:pStyle w:val="tablebody"/>
              <w:jc w:val="right"/>
              <w:rPr>
                <w:rFonts w:cs="Arial"/>
                <w:sz w:val="14"/>
                <w:szCs w:val="14"/>
              </w:rPr>
            </w:pPr>
            <w:r w:rsidRPr="00045808">
              <w:rPr>
                <w:rFonts w:cs="Arial"/>
                <w:sz w:val="14"/>
                <w:szCs w:val="14"/>
              </w:rPr>
              <w:t xml:space="preserve">(12,284)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4268090" w14:textId="77777777">
            <w:pPr>
              <w:pStyle w:val="tablebody"/>
              <w:jc w:val="right"/>
              <w:rPr>
                <w:rFonts w:cs="Arial"/>
                <w:sz w:val="14"/>
                <w:szCs w:val="14"/>
              </w:rPr>
            </w:pPr>
            <w:r w:rsidRPr="00045808">
              <w:rPr>
                <w:rFonts w:cs="Arial"/>
                <w:sz w:val="14"/>
                <w:szCs w:val="14"/>
              </w:rPr>
              <w:t xml:space="preserve">(12,169)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41EC28B" w14:textId="77777777">
            <w:pPr>
              <w:pStyle w:val="tablebody"/>
              <w:jc w:val="right"/>
              <w:rPr>
                <w:rFonts w:cs="Arial"/>
                <w:sz w:val="14"/>
                <w:szCs w:val="14"/>
              </w:rPr>
            </w:pPr>
            <w:r w:rsidRPr="00045808">
              <w:rPr>
                <w:rFonts w:cs="Arial"/>
                <w:sz w:val="14"/>
                <w:szCs w:val="14"/>
              </w:rPr>
              <w:t xml:space="preserve">(1,178,878)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B1A2B1C" w14:textId="77777777">
            <w:pPr>
              <w:pStyle w:val="tablebody"/>
              <w:jc w:val="right"/>
              <w:rPr>
                <w:rFonts w:cs="Arial"/>
                <w:sz w:val="14"/>
                <w:szCs w:val="14"/>
              </w:rPr>
            </w:pPr>
            <w:r w:rsidRPr="00045808">
              <w:rPr>
                <w:rFonts w:cs="Arial"/>
                <w:sz w:val="14"/>
                <w:szCs w:val="14"/>
              </w:rPr>
              <w:t xml:space="preserve">(1,103,597)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5F49820" w14:textId="77777777">
            <w:pPr>
              <w:pStyle w:val="tablebody"/>
              <w:jc w:val="right"/>
              <w:rPr>
                <w:rFonts w:cs="Arial"/>
                <w:sz w:val="14"/>
                <w:szCs w:val="14"/>
              </w:rPr>
            </w:pPr>
            <w:r w:rsidRPr="00045808">
              <w:rPr>
                <w:rFonts w:cs="Arial"/>
                <w:sz w:val="14"/>
                <w:szCs w:val="14"/>
              </w:rPr>
              <w:t xml:space="preserve">(111,497)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37D045A" w14:textId="77777777">
            <w:pPr>
              <w:pStyle w:val="tablebody"/>
              <w:jc w:val="right"/>
              <w:rPr>
                <w:rFonts w:cs="Arial"/>
                <w:sz w:val="14"/>
                <w:szCs w:val="14"/>
              </w:rPr>
            </w:pPr>
            <w:r w:rsidRPr="00045808">
              <w:rPr>
                <w:rFonts w:cs="Arial"/>
                <w:sz w:val="14"/>
                <w:szCs w:val="14"/>
              </w:rPr>
              <w:t xml:space="preserve">(119,363)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E1CCCEF" w14:textId="77777777">
            <w:pPr>
              <w:pStyle w:val="tablebody"/>
              <w:jc w:val="right"/>
              <w:rPr>
                <w:rFonts w:cs="Arial"/>
                <w:sz w:val="14"/>
                <w:szCs w:val="14"/>
              </w:rPr>
            </w:pPr>
            <w:r w:rsidRPr="00045808">
              <w:rPr>
                <w:rFonts w:cs="Arial"/>
                <w:sz w:val="14"/>
                <w:szCs w:val="14"/>
              </w:rPr>
              <w:t xml:space="preserve">(5,043,501)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1EEB74E" w14:textId="77777777">
            <w:pPr>
              <w:pStyle w:val="tablebody"/>
              <w:jc w:val="right"/>
              <w:rPr>
                <w:rFonts w:cs="Arial"/>
                <w:sz w:val="14"/>
                <w:szCs w:val="14"/>
              </w:rPr>
            </w:pPr>
            <w:r w:rsidRPr="00045808">
              <w:rPr>
                <w:rFonts w:cs="Arial"/>
                <w:sz w:val="14"/>
                <w:szCs w:val="14"/>
              </w:rPr>
              <w:t xml:space="preserve">(4,634,117) </w:t>
            </w:r>
          </w:p>
        </w:tc>
      </w:tr>
      <w:tr w:rsidRPr="00045808" w:rsidR="00535DCC" w:rsidTr="00CC210C" w14:paraId="791CA5B9"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7F6D3EC3"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1D0DB35B" w14:textId="77777777">
            <w:pPr>
              <w:pStyle w:val="tablebody"/>
              <w:rPr>
                <w:rFonts w:cs="Arial"/>
                <w:sz w:val="14"/>
                <w:szCs w:val="14"/>
              </w:rPr>
            </w:pPr>
            <w:r w:rsidRPr="00045808">
              <w:rPr>
                <w:rFonts w:cs="Arial"/>
                <w:sz w:val="14"/>
                <w:szCs w:val="14"/>
              </w:rPr>
              <w:t>Capital asset charge</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1A66EEB"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8FA0470"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A891914" w14:textId="77777777">
            <w:pPr>
              <w:pStyle w:val="tablebody"/>
              <w:jc w:val="right"/>
              <w:rPr>
                <w:rFonts w:cs="Arial"/>
                <w:sz w:val="14"/>
                <w:szCs w:val="14"/>
              </w:rPr>
            </w:pPr>
            <w:r w:rsidRPr="00045808">
              <w:rPr>
                <w:rFonts w:cs="Arial"/>
                <w:sz w:val="14"/>
                <w:szCs w:val="14"/>
              </w:rPr>
              <w:t xml:space="preserve">(158,225)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893C651" w14:textId="77777777">
            <w:pPr>
              <w:pStyle w:val="tablebody"/>
              <w:jc w:val="right"/>
              <w:rPr>
                <w:rFonts w:cs="Arial"/>
                <w:sz w:val="14"/>
                <w:szCs w:val="14"/>
              </w:rPr>
            </w:pPr>
            <w:r w:rsidRPr="00045808">
              <w:rPr>
                <w:rFonts w:cs="Arial"/>
                <w:sz w:val="14"/>
                <w:szCs w:val="14"/>
              </w:rPr>
              <w:t xml:space="preserve">(151,904)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82BF826" w14:textId="77777777">
            <w:pPr>
              <w:pStyle w:val="tablebody"/>
              <w:jc w:val="right"/>
              <w:rPr>
                <w:rFonts w:cs="Arial"/>
                <w:sz w:val="14"/>
                <w:szCs w:val="14"/>
              </w:rPr>
            </w:pPr>
            <w:r w:rsidRPr="00045808">
              <w:rPr>
                <w:rFonts w:cs="Arial"/>
                <w:sz w:val="14"/>
                <w:szCs w:val="14"/>
              </w:rPr>
              <w:t xml:space="preserve">(14,852)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9DBCB21"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00C9E76" w14:textId="77777777">
            <w:pPr>
              <w:pStyle w:val="tablebody"/>
              <w:jc w:val="right"/>
              <w:rPr>
                <w:rFonts w:cs="Arial"/>
                <w:sz w:val="14"/>
                <w:szCs w:val="14"/>
              </w:rPr>
            </w:pPr>
            <w:r w:rsidRPr="00045808">
              <w:rPr>
                <w:rFonts w:cs="Arial"/>
                <w:sz w:val="14"/>
                <w:szCs w:val="14"/>
              </w:rPr>
              <w:t xml:space="preserve">(10,279)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F27D6E0" w14:textId="77777777">
            <w:pPr>
              <w:pStyle w:val="tablebody"/>
              <w:jc w:val="right"/>
              <w:rPr>
                <w:rFonts w:cs="Arial"/>
                <w:sz w:val="14"/>
                <w:szCs w:val="14"/>
              </w:rPr>
            </w:pPr>
            <w:r w:rsidRPr="00045808">
              <w:rPr>
                <w:rFonts w:cs="Arial"/>
                <w:sz w:val="14"/>
                <w:szCs w:val="14"/>
              </w:rPr>
              <w:t xml:space="preserve">(14,491)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66B508E"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DFE1E8B"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8E694DD" w14:textId="77777777">
            <w:pPr>
              <w:pStyle w:val="tablebody"/>
              <w:jc w:val="right"/>
              <w:rPr>
                <w:rFonts w:cs="Arial"/>
                <w:sz w:val="14"/>
                <w:szCs w:val="14"/>
              </w:rPr>
            </w:pPr>
            <w:r w:rsidRPr="00045808">
              <w:rPr>
                <w:rFonts w:cs="Arial"/>
                <w:sz w:val="14"/>
                <w:szCs w:val="14"/>
              </w:rPr>
              <w:t xml:space="preserve">(2,528)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0E99803" w14:textId="77777777">
            <w:pPr>
              <w:pStyle w:val="tablebody"/>
              <w:jc w:val="right"/>
              <w:rPr>
                <w:rFonts w:cs="Arial"/>
                <w:sz w:val="14"/>
                <w:szCs w:val="14"/>
              </w:rPr>
            </w:pPr>
            <w:r w:rsidRPr="00045808">
              <w:rPr>
                <w:rFonts w:cs="Arial"/>
                <w:sz w:val="14"/>
                <w:szCs w:val="14"/>
              </w:rPr>
              <w:t xml:space="preserve">(3,483)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C7967A3"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88982B3" w14:textId="77777777">
            <w:pPr>
              <w:pStyle w:val="tablebody"/>
              <w:jc w:val="right"/>
              <w:rPr>
                <w:rFonts w:cs="Arial"/>
                <w:sz w:val="14"/>
                <w:szCs w:val="14"/>
              </w:rPr>
            </w:pPr>
            <w:r w:rsidRPr="00045808">
              <w:rPr>
                <w:rFonts w:cs="Arial"/>
                <w:sz w:val="14"/>
                <w:szCs w:val="14"/>
              </w:rPr>
              <w:t xml:space="preserve">0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E67E67E" w14:textId="77777777">
            <w:pPr>
              <w:pStyle w:val="tablebody"/>
              <w:jc w:val="right"/>
              <w:rPr>
                <w:rFonts w:cs="Arial"/>
                <w:sz w:val="14"/>
                <w:szCs w:val="14"/>
              </w:rPr>
            </w:pPr>
            <w:r w:rsidRPr="00045808">
              <w:rPr>
                <w:rFonts w:cs="Arial"/>
                <w:sz w:val="14"/>
                <w:szCs w:val="14"/>
              </w:rPr>
              <w:t xml:space="preserve">(185,884)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30244F8" w14:textId="77777777">
            <w:pPr>
              <w:pStyle w:val="tablebody"/>
              <w:jc w:val="right"/>
              <w:rPr>
                <w:rFonts w:cs="Arial"/>
                <w:sz w:val="14"/>
                <w:szCs w:val="14"/>
              </w:rPr>
            </w:pPr>
            <w:r w:rsidRPr="00045808">
              <w:rPr>
                <w:rFonts w:cs="Arial"/>
                <w:sz w:val="14"/>
                <w:szCs w:val="14"/>
              </w:rPr>
              <w:t xml:space="preserve">(169,878) </w:t>
            </w:r>
          </w:p>
        </w:tc>
      </w:tr>
      <w:tr w:rsidRPr="00045808" w:rsidR="00535DCC" w:rsidTr="00CC210C" w14:paraId="43B29C12" w14:textId="77777777">
        <w:tc>
          <w:tcPr>
            <w:tcW w:w="142"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5B0E9CEC" w14:textId="77777777">
            <w:pPr>
              <w:pStyle w:val="tablebody"/>
              <w:rPr>
                <w:rFonts w:cs="Arial"/>
                <w:sz w:val="14"/>
                <w:szCs w:val="14"/>
                <w:lang w:val="en-US"/>
              </w:rPr>
            </w:pPr>
          </w:p>
        </w:tc>
        <w:tc>
          <w:tcPr>
            <w:tcW w:w="2424"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5AA6E72B" w14:textId="77777777">
            <w:pPr>
              <w:pStyle w:val="tablebody"/>
              <w:rPr>
                <w:rFonts w:cs="Arial"/>
                <w:sz w:val="14"/>
                <w:szCs w:val="14"/>
              </w:rPr>
            </w:pPr>
            <w:r w:rsidRPr="00045808">
              <w:rPr>
                <w:rFonts w:cs="Arial"/>
                <w:sz w:val="14"/>
                <w:szCs w:val="14"/>
              </w:rPr>
              <w:t>Supplies and services</w:t>
            </w:r>
          </w:p>
        </w:tc>
        <w:tc>
          <w:tcPr>
            <w:tcW w:w="837"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FFF49DE" w14:textId="77777777">
            <w:pPr>
              <w:pStyle w:val="tablebody"/>
              <w:jc w:val="right"/>
              <w:rPr>
                <w:rFonts w:cs="Arial"/>
                <w:sz w:val="14"/>
                <w:szCs w:val="14"/>
              </w:rPr>
            </w:pPr>
            <w:r w:rsidRPr="00045808">
              <w:rPr>
                <w:rFonts w:cs="Arial"/>
                <w:sz w:val="14"/>
                <w:szCs w:val="14"/>
              </w:rPr>
              <w:t xml:space="preserve">(8,364)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FC19D0C" w14:textId="77777777">
            <w:pPr>
              <w:pStyle w:val="tablebody"/>
              <w:jc w:val="right"/>
              <w:rPr>
                <w:rFonts w:cs="Arial"/>
                <w:sz w:val="14"/>
                <w:szCs w:val="14"/>
              </w:rPr>
            </w:pPr>
            <w:r w:rsidRPr="00045808">
              <w:rPr>
                <w:rFonts w:cs="Arial"/>
                <w:sz w:val="14"/>
                <w:szCs w:val="14"/>
              </w:rPr>
              <w:t xml:space="preserve">(3,633)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1B28F35" w14:textId="77777777">
            <w:pPr>
              <w:pStyle w:val="tablebody"/>
              <w:jc w:val="right"/>
              <w:rPr>
                <w:rFonts w:cs="Arial"/>
                <w:sz w:val="14"/>
                <w:szCs w:val="14"/>
              </w:rPr>
            </w:pPr>
            <w:r w:rsidRPr="00045808">
              <w:rPr>
                <w:rFonts w:cs="Arial"/>
                <w:sz w:val="14"/>
                <w:szCs w:val="14"/>
              </w:rPr>
              <w:t xml:space="preserve">(740,824)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A2CA06D" w14:textId="77777777">
            <w:pPr>
              <w:pStyle w:val="tablebody"/>
              <w:jc w:val="right"/>
              <w:rPr>
                <w:rFonts w:cs="Arial"/>
                <w:sz w:val="14"/>
                <w:szCs w:val="14"/>
              </w:rPr>
            </w:pPr>
            <w:r w:rsidRPr="00045808">
              <w:rPr>
                <w:rFonts w:cs="Arial"/>
                <w:sz w:val="14"/>
                <w:szCs w:val="14"/>
              </w:rPr>
              <w:t xml:space="preserve">(627,633)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D13239A" w14:textId="77777777">
            <w:pPr>
              <w:pStyle w:val="tablebody"/>
              <w:jc w:val="right"/>
              <w:rPr>
                <w:rFonts w:cs="Arial"/>
                <w:sz w:val="14"/>
                <w:szCs w:val="14"/>
              </w:rPr>
            </w:pPr>
            <w:r w:rsidRPr="00045808">
              <w:rPr>
                <w:rFonts w:cs="Arial"/>
                <w:sz w:val="14"/>
                <w:szCs w:val="14"/>
              </w:rPr>
              <w:t xml:space="preserve">(84,835)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249B905" w14:textId="77777777">
            <w:pPr>
              <w:pStyle w:val="tablebody"/>
              <w:jc w:val="right"/>
              <w:rPr>
                <w:rFonts w:cs="Arial"/>
                <w:sz w:val="14"/>
                <w:szCs w:val="14"/>
              </w:rPr>
            </w:pPr>
            <w:r w:rsidRPr="00045808">
              <w:rPr>
                <w:rFonts w:cs="Arial"/>
                <w:sz w:val="14"/>
                <w:szCs w:val="14"/>
              </w:rPr>
              <w:t xml:space="preserve">(60,302)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14BA1D9" w14:textId="77777777">
            <w:pPr>
              <w:pStyle w:val="tablebody"/>
              <w:jc w:val="right"/>
              <w:rPr>
                <w:rFonts w:cs="Arial"/>
                <w:sz w:val="14"/>
                <w:szCs w:val="14"/>
              </w:rPr>
            </w:pPr>
            <w:r w:rsidRPr="00045808">
              <w:rPr>
                <w:rFonts w:cs="Arial"/>
                <w:sz w:val="14"/>
                <w:szCs w:val="14"/>
              </w:rPr>
              <w:t xml:space="preserve">(184,761)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D8CE20A" w14:textId="77777777">
            <w:pPr>
              <w:pStyle w:val="tablebody"/>
              <w:jc w:val="right"/>
              <w:rPr>
                <w:rFonts w:cs="Arial"/>
                <w:sz w:val="14"/>
                <w:szCs w:val="14"/>
              </w:rPr>
            </w:pPr>
            <w:r w:rsidRPr="00045808">
              <w:rPr>
                <w:rFonts w:cs="Arial"/>
                <w:sz w:val="14"/>
                <w:szCs w:val="14"/>
              </w:rPr>
              <w:t xml:space="preserve">(188,877)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0C87C29" w14:textId="77777777">
            <w:pPr>
              <w:pStyle w:val="tablebody"/>
              <w:jc w:val="right"/>
              <w:rPr>
                <w:rFonts w:cs="Arial"/>
                <w:sz w:val="14"/>
                <w:szCs w:val="14"/>
              </w:rPr>
            </w:pPr>
            <w:r w:rsidRPr="00045808">
              <w:rPr>
                <w:rFonts w:cs="Arial"/>
                <w:sz w:val="14"/>
                <w:szCs w:val="14"/>
              </w:rPr>
              <w:t xml:space="preserve">(41,173)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6502BA2" w14:textId="77777777">
            <w:pPr>
              <w:pStyle w:val="tablebody"/>
              <w:jc w:val="right"/>
              <w:rPr>
                <w:rFonts w:cs="Arial"/>
                <w:sz w:val="14"/>
                <w:szCs w:val="14"/>
              </w:rPr>
            </w:pPr>
            <w:r w:rsidRPr="00045808">
              <w:rPr>
                <w:rFonts w:cs="Arial"/>
                <w:sz w:val="14"/>
                <w:szCs w:val="14"/>
              </w:rPr>
              <w:t xml:space="preserve">(34,685)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CA68732" w14:textId="77777777">
            <w:pPr>
              <w:pStyle w:val="tablebody"/>
              <w:jc w:val="right"/>
              <w:rPr>
                <w:rFonts w:cs="Arial"/>
                <w:sz w:val="14"/>
                <w:szCs w:val="14"/>
              </w:rPr>
            </w:pPr>
            <w:r w:rsidRPr="00045808">
              <w:rPr>
                <w:rFonts w:cs="Arial"/>
                <w:sz w:val="14"/>
                <w:szCs w:val="14"/>
              </w:rPr>
              <w:t xml:space="preserve">(61,450)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B9D5C7C" w14:textId="77777777">
            <w:pPr>
              <w:pStyle w:val="tablebody"/>
              <w:jc w:val="right"/>
              <w:rPr>
                <w:rFonts w:cs="Arial"/>
                <w:sz w:val="14"/>
                <w:szCs w:val="14"/>
              </w:rPr>
            </w:pPr>
            <w:r w:rsidRPr="00045808">
              <w:rPr>
                <w:rFonts w:cs="Arial"/>
                <w:sz w:val="14"/>
                <w:szCs w:val="14"/>
              </w:rPr>
              <w:t xml:space="preserve">(49,191)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EF1DA49" w14:textId="77777777">
            <w:pPr>
              <w:pStyle w:val="tablebody"/>
              <w:jc w:val="right"/>
              <w:rPr>
                <w:rFonts w:cs="Arial"/>
                <w:sz w:val="14"/>
                <w:szCs w:val="14"/>
              </w:rPr>
            </w:pPr>
            <w:r w:rsidRPr="00045808">
              <w:rPr>
                <w:rFonts w:cs="Arial"/>
                <w:sz w:val="14"/>
                <w:szCs w:val="14"/>
              </w:rPr>
              <w:t xml:space="preserve">(39,856)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F50092C" w14:textId="77777777">
            <w:pPr>
              <w:pStyle w:val="tablebody"/>
              <w:jc w:val="right"/>
              <w:rPr>
                <w:rFonts w:cs="Arial"/>
                <w:sz w:val="14"/>
                <w:szCs w:val="14"/>
              </w:rPr>
            </w:pPr>
            <w:r w:rsidRPr="00045808">
              <w:rPr>
                <w:rFonts w:cs="Arial"/>
                <w:sz w:val="14"/>
                <w:szCs w:val="14"/>
              </w:rPr>
              <w:t xml:space="preserve">(38,788)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C7CB0FB" w14:textId="77777777">
            <w:pPr>
              <w:pStyle w:val="tablebody"/>
              <w:jc w:val="right"/>
              <w:rPr>
                <w:rFonts w:cs="Arial"/>
                <w:sz w:val="14"/>
                <w:szCs w:val="14"/>
              </w:rPr>
            </w:pPr>
            <w:r w:rsidRPr="00045808">
              <w:rPr>
                <w:rFonts w:cs="Arial"/>
                <w:sz w:val="14"/>
                <w:szCs w:val="14"/>
              </w:rPr>
              <w:t xml:space="preserve">(1,161,263)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69E5869" w14:textId="77777777">
            <w:pPr>
              <w:pStyle w:val="tablebody"/>
              <w:jc w:val="right"/>
              <w:rPr>
                <w:rFonts w:cs="Arial"/>
                <w:sz w:val="14"/>
                <w:szCs w:val="14"/>
              </w:rPr>
            </w:pPr>
            <w:r w:rsidRPr="00045808">
              <w:rPr>
                <w:rFonts w:cs="Arial"/>
                <w:sz w:val="14"/>
                <w:szCs w:val="14"/>
              </w:rPr>
              <w:t xml:space="preserve">(1,003,109) </w:t>
            </w:r>
          </w:p>
        </w:tc>
      </w:tr>
      <w:tr w:rsidRPr="0088782A" w:rsidR="00535DCC" w:rsidTr="00CC210C" w14:paraId="6C1C1AEE" w14:textId="77777777">
        <w:tc>
          <w:tcPr>
            <w:tcW w:w="2566"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361A35E8" w14:textId="77777777">
            <w:pPr>
              <w:pStyle w:val="tablebody"/>
              <w:rPr>
                <w:rFonts w:cs="Arial"/>
                <w:b/>
                <w:sz w:val="14"/>
                <w:szCs w:val="14"/>
              </w:rPr>
            </w:pPr>
            <w:r w:rsidRPr="0088782A">
              <w:rPr>
                <w:rFonts w:cs="Arial"/>
                <w:b/>
                <w:sz w:val="14"/>
                <w:szCs w:val="14"/>
              </w:rPr>
              <w:t>Total expenses from transactions</w:t>
            </w: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692D72E" w14:textId="77777777">
            <w:pPr>
              <w:pStyle w:val="tablebody"/>
              <w:jc w:val="right"/>
              <w:rPr>
                <w:rFonts w:cs="Arial"/>
                <w:b/>
                <w:sz w:val="14"/>
                <w:szCs w:val="14"/>
              </w:rPr>
            </w:pPr>
            <w:r w:rsidRPr="0088782A">
              <w:rPr>
                <w:rFonts w:cs="Arial"/>
                <w:b/>
                <w:sz w:val="14"/>
                <w:szCs w:val="14"/>
              </w:rPr>
              <w:t xml:space="preserve">(3,400,032)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A55C7A4" w14:textId="77777777">
            <w:pPr>
              <w:pStyle w:val="tablebody"/>
              <w:jc w:val="right"/>
              <w:rPr>
                <w:rFonts w:cs="Arial"/>
                <w:b/>
                <w:sz w:val="14"/>
                <w:szCs w:val="14"/>
              </w:rPr>
            </w:pPr>
            <w:r w:rsidRPr="0088782A">
              <w:rPr>
                <w:rFonts w:cs="Arial"/>
                <w:b/>
                <w:sz w:val="14"/>
                <w:szCs w:val="14"/>
              </w:rPr>
              <w:t xml:space="preserve">(3,079,527)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7D8C6CD" w14:textId="77777777">
            <w:pPr>
              <w:pStyle w:val="tablebody"/>
              <w:jc w:val="right"/>
              <w:rPr>
                <w:rFonts w:cs="Arial"/>
                <w:b/>
                <w:sz w:val="14"/>
                <w:szCs w:val="14"/>
              </w:rPr>
            </w:pPr>
            <w:r w:rsidRPr="0088782A">
              <w:rPr>
                <w:rFonts w:cs="Arial"/>
                <w:b/>
                <w:sz w:val="14"/>
                <w:szCs w:val="14"/>
              </w:rPr>
              <w:t xml:space="preserve">(1,735,078)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24F99B6" w14:textId="77777777">
            <w:pPr>
              <w:pStyle w:val="tablebody"/>
              <w:jc w:val="right"/>
              <w:rPr>
                <w:rFonts w:cs="Arial"/>
                <w:b/>
                <w:sz w:val="14"/>
                <w:szCs w:val="14"/>
              </w:rPr>
            </w:pPr>
            <w:r w:rsidRPr="0088782A">
              <w:rPr>
                <w:rFonts w:cs="Arial"/>
                <w:b/>
                <w:sz w:val="14"/>
                <w:szCs w:val="14"/>
              </w:rPr>
              <w:t xml:space="preserve">(1,548,156)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2C8C30B" w14:textId="77777777">
            <w:pPr>
              <w:pStyle w:val="tablebody"/>
              <w:jc w:val="right"/>
              <w:rPr>
                <w:rFonts w:cs="Arial"/>
                <w:b/>
                <w:sz w:val="14"/>
                <w:szCs w:val="14"/>
              </w:rPr>
            </w:pPr>
            <w:r w:rsidRPr="0088782A">
              <w:rPr>
                <w:rFonts w:cs="Arial"/>
                <w:b/>
                <w:sz w:val="14"/>
                <w:szCs w:val="14"/>
              </w:rPr>
              <w:t xml:space="preserve">(224,595)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AEF545C" w14:textId="77777777">
            <w:pPr>
              <w:pStyle w:val="tablebody"/>
              <w:jc w:val="right"/>
              <w:rPr>
                <w:rFonts w:cs="Arial"/>
                <w:b/>
                <w:sz w:val="14"/>
                <w:szCs w:val="14"/>
              </w:rPr>
            </w:pPr>
            <w:r w:rsidRPr="0088782A">
              <w:rPr>
                <w:rFonts w:cs="Arial"/>
                <w:b/>
                <w:sz w:val="14"/>
                <w:szCs w:val="14"/>
              </w:rPr>
              <w:t xml:space="preserve">(156,340)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A8445AE" w14:textId="77777777">
            <w:pPr>
              <w:pStyle w:val="tablebody"/>
              <w:jc w:val="right"/>
              <w:rPr>
                <w:rFonts w:cs="Arial"/>
                <w:b/>
                <w:sz w:val="14"/>
                <w:szCs w:val="14"/>
              </w:rPr>
            </w:pPr>
            <w:r w:rsidRPr="0088782A">
              <w:rPr>
                <w:rFonts w:cs="Arial"/>
                <w:b/>
                <w:sz w:val="14"/>
                <w:szCs w:val="14"/>
              </w:rPr>
              <w:t xml:space="preserve">(665,809)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F721294" w14:textId="77777777">
            <w:pPr>
              <w:pStyle w:val="tablebody"/>
              <w:jc w:val="right"/>
              <w:rPr>
                <w:rFonts w:cs="Arial"/>
                <w:b/>
                <w:sz w:val="14"/>
                <w:szCs w:val="14"/>
              </w:rPr>
            </w:pPr>
            <w:r w:rsidRPr="0088782A">
              <w:rPr>
                <w:rFonts w:cs="Arial"/>
                <w:b/>
                <w:sz w:val="14"/>
                <w:szCs w:val="14"/>
              </w:rPr>
              <w:t xml:space="preserve">(625,365)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63FA6F5" w14:textId="77777777">
            <w:pPr>
              <w:pStyle w:val="tablebody"/>
              <w:jc w:val="right"/>
              <w:rPr>
                <w:rFonts w:cs="Arial"/>
                <w:b/>
                <w:sz w:val="14"/>
                <w:szCs w:val="14"/>
              </w:rPr>
            </w:pPr>
            <w:r w:rsidRPr="0088782A">
              <w:rPr>
                <w:rFonts w:cs="Arial"/>
                <w:b/>
                <w:sz w:val="14"/>
                <w:szCs w:val="14"/>
              </w:rPr>
              <w:t xml:space="preserve">(122,589)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2F4F420" w14:textId="77777777">
            <w:pPr>
              <w:pStyle w:val="tablebody"/>
              <w:jc w:val="right"/>
              <w:rPr>
                <w:rFonts w:cs="Arial"/>
                <w:b/>
                <w:sz w:val="14"/>
                <w:szCs w:val="14"/>
              </w:rPr>
            </w:pPr>
            <w:r w:rsidRPr="0088782A">
              <w:rPr>
                <w:rFonts w:cs="Arial"/>
                <w:b/>
                <w:sz w:val="14"/>
                <w:szCs w:val="14"/>
              </w:rPr>
              <w:t xml:space="preserve">(106,698)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A463169" w14:textId="77777777">
            <w:pPr>
              <w:pStyle w:val="tablebody"/>
              <w:jc w:val="right"/>
              <w:rPr>
                <w:rFonts w:cs="Arial"/>
                <w:b/>
                <w:sz w:val="14"/>
                <w:szCs w:val="14"/>
              </w:rPr>
            </w:pPr>
            <w:r w:rsidRPr="0088782A">
              <w:rPr>
                <w:rFonts w:cs="Arial"/>
                <w:b/>
                <w:sz w:val="14"/>
                <w:szCs w:val="14"/>
              </w:rPr>
              <w:t xml:space="preserve">(1,294,093)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1E2756A" w14:textId="77777777">
            <w:pPr>
              <w:pStyle w:val="tablebody"/>
              <w:jc w:val="right"/>
              <w:rPr>
                <w:rFonts w:cs="Arial"/>
                <w:b/>
                <w:sz w:val="14"/>
                <w:szCs w:val="14"/>
              </w:rPr>
            </w:pPr>
            <w:r w:rsidRPr="0088782A">
              <w:rPr>
                <w:rFonts w:cs="Arial"/>
                <w:b/>
                <w:sz w:val="14"/>
                <w:szCs w:val="14"/>
              </w:rPr>
              <w:t xml:space="preserve">(1,207,610)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7BF4F7B" w14:textId="77777777">
            <w:pPr>
              <w:pStyle w:val="tablebody"/>
              <w:jc w:val="right"/>
              <w:rPr>
                <w:rFonts w:cs="Arial"/>
                <w:b/>
                <w:sz w:val="14"/>
                <w:szCs w:val="14"/>
              </w:rPr>
            </w:pPr>
            <w:r w:rsidRPr="0088782A">
              <w:rPr>
                <w:rFonts w:cs="Arial"/>
                <w:b/>
                <w:sz w:val="14"/>
                <w:szCs w:val="14"/>
              </w:rPr>
              <w:t xml:space="preserve">(209,604)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158F1C9" w14:textId="77777777">
            <w:pPr>
              <w:pStyle w:val="tablebody"/>
              <w:jc w:val="right"/>
              <w:rPr>
                <w:rFonts w:cs="Arial"/>
                <w:b/>
                <w:sz w:val="14"/>
                <w:szCs w:val="14"/>
              </w:rPr>
            </w:pPr>
            <w:r w:rsidRPr="0088782A">
              <w:rPr>
                <w:rFonts w:cs="Arial"/>
                <w:b/>
                <w:sz w:val="14"/>
                <w:szCs w:val="14"/>
              </w:rPr>
              <w:t xml:space="preserve">(214,008)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C406629" w14:textId="77777777">
            <w:pPr>
              <w:pStyle w:val="tablebody"/>
              <w:jc w:val="right"/>
              <w:rPr>
                <w:rFonts w:cs="Arial"/>
                <w:b/>
                <w:sz w:val="14"/>
                <w:szCs w:val="14"/>
              </w:rPr>
            </w:pPr>
            <w:r w:rsidRPr="0088782A">
              <w:rPr>
                <w:rFonts w:cs="Arial"/>
                <w:b/>
                <w:sz w:val="14"/>
                <w:szCs w:val="14"/>
              </w:rPr>
              <w:t xml:space="preserve">(7,651,800)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D9C314C" w14:textId="77777777">
            <w:pPr>
              <w:pStyle w:val="tablebody"/>
              <w:jc w:val="right"/>
              <w:rPr>
                <w:rFonts w:cs="Arial"/>
                <w:b/>
                <w:sz w:val="14"/>
                <w:szCs w:val="14"/>
              </w:rPr>
            </w:pPr>
            <w:r w:rsidRPr="0088782A">
              <w:rPr>
                <w:rFonts w:cs="Arial"/>
                <w:b/>
                <w:sz w:val="14"/>
                <w:szCs w:val="14"/>
              </w:rPr>
              <w:t xml:space="preserve">(6,937,704) </w:t>
            </w:r>
          </w:p>
        </w:tc>
      </w:tr>
      <w:tr w:rsidRPr="0088782A" w:rsidR="00535DCC" w:rsidTr="00CC210C" w14:paraId="40EC6160" w14:textId="77777777">
        <w:tc>
          <w:tcPr>
            <w:tcW w:w="2566" w:type="dxa"/>
            <w:gridSpan w:val="2"/>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0D421313" w14:textId="0BB24175">
            <w:pPr>
              <w:pStyle w:val="tablebody"/>
              <w:rPr>
                <w:rFonts w:cs="Arial"/>
                <w:b/>
                <w:sz w:val="14"/>
                <w:szCs w:val="14"/>
              </w:rPr>
            </w:pPr>
            <w:r w:rsidRPr="0088782A">
              <w:rPr>
                <w:rFonts w:cs="Arial"/>
                <w:b/>
                <w:sz w:val="14"/>
                <w:szCs w:val="14"/>
              </w:rPr>
              <w:t xml:space="preserve">Net result from transactions </w:t>
            </w:r>
            <w:r w:rsidR="0088782A">
              <w:rPr>
                <w:rFonts w:cs="Arial"/>
                <w:b/>
                <w:sz w:val="14"/>
                <w:szCs w:val="14"/>
              </w:rPr>
              <w:br/>
            </w:r>
            <w:r w:rsidRPr="0088782A">
              <w:rPr>
                <w:rFonts w:cs="Arial"/>
                <w:b/>
                <w:sz w:val="14"/>
                <w:szCs w:val="14"/>
              </w:rPr>
              <w:t>(net operating balance)</w:t>
            </w:r>
          </w:p>
        </w:tc>
        <w:tc>
          <w:tcPr>
            <w:tcW w:w="837"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AE2880F" w14:textId="77777777">
            <w:pPr>
              <w:pStyle w:val="tablebody"/>
              <w:jc w:val="right"/>
              <w:rPr>
                <w:rFonts w:cs="Arial"/>
                <w:b/>
                <w:sz w:val="14"/>
                <w:szCs w:val="14"/>
              </w:rPr>
            </w:pPr>
            <w:r w:rsidRPr="0088782A">
              <w:rPr>
                <w:rFonts w:cs="Arial"/>
                <w:b/>
                <w:sz w:val="14"/>
                <w:szCs w:val="14"/>
              </w:rPr>
              <w:t xml:space="preserve">2,208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F8A7E38" w14:textId="77777777">
            <w:pPr>
              <w:pStyle w:val="tablebody"/>
              <w:jc w:val="right"/>
              <w:rPr>
                <w:rFonts w:cs="Arial"/>
                <w:b/>
                <w:sz w:val="14"/>
                <w:szCs w:val="14"/>
              </w:rPr>
            </w:pPr>
            <w:r w:rsidRPr="0088782A">
              <w:rPr>
                <w:rFonts w:cs="Arial"/>
                <w:b/>
                <w:sz w:val="14"/>
                <w:szCs w:val="14"/>
              </w:rPr>
              <w:t xml:space="preserve">(841)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F18EADC" w14:textId="77777777">
            <w:pPr>
              <w:pStyle w:val="tablebody"/>
              <w:jc w:val="right"/>
              <w:rPr>
                <w:rFonts w:cs="Arial"/>
                <w:b/>
                <w:sz w:val="14"/>
                <w:szCs w:val="14"/>
              </w:rPr>
            </w:pPr>
            <w:r w:rsidRPr="0088782A">
              <w:rPr>
                <w:rFonts w:cs="Arial"/>
                <w:b/>
                <w:sz w:val="14"/>
                <w:szCs w:val="14"/>
              </w:rPr>
              <w:t xml:space="preserve">47,277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9F6BC76" w14:textId="77777777">
            <w:pPr>
              <w:pStyle w:val="tablebody"/>
              <w:jc w:val="right"/>
              <w:rPr>
                <w:rFonts w:cs="Arial"/>
                <w:b/>
                <w:sz w:val="14"/>
                <w:szCs w:val="14"/>
              </w:rPr>
            </w:pPr>
            <w:r w:rsidRPr="0088782A">
              <w:rPr>
                <w:rFonts w:cs="Arial"/>
                <w:b/>
                <w:sz w:val="14"/>
                <w:szCs w:val="14"/>
              </w:rPr>
              <w:t xml:space="preserve">25,749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9A8B9BC" w14:textId="77777777">
            <w:pPr>
              <w:pStyle w:val="tablebody"/>
              <w:jc w:val="right"/>
              <w:rPr>
                <w:rFonts w:cs="Arial"/>
                <w:b/>
                <w:sz w:val="14"/>
                <w:szCs w:val="14"/>
              </w:rPr>
            </w:pPr>
            <w:r w:rsidRPr="0088782A">
              <w:rPr>
                <w:rFonts w:cs="Arial"/>
                <w:b/>
                <w:sz w:val="14"/>
                <w:szCs w:val="14"/>
              </w:rPr>
              <w:t xml:space="preserve">2,111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8EA23FC" w14:textId="77777777">
            <w:pPr>
              <w:pStyle w:val="tablebody"/>
              <w:jc w:val="right"/>
              <w:rPr>
                <w:rFonts w:cs="Arial"/>
                <w:b/>
                <w:sz w:val="14"/>
                <w:szCs w:val="14"/>
              </w:rPr>
            </w:pPr>
            <w:r w:rsidRPr="0088782A">
              <w:rPr>
                <w:rFonts w:cs="Arial"/>
                <w:b/>
                <w:sz w:val="14"/>
                <w:szCs w:val="14"/>
              </w:rPr>
              <w:t xml:space="preserve">(3,614)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9734759" w14:textId="77777777">
            <w:pPr>
              <w:pStyle w:val="tablebody"/>
              <w:jc w:val="right"/>
              <w:rPr>
                <w:rFonts w:cs="Arial"/>
                <w:b/>
                <w:sz w:val="14"/>
                <w:szCs w:val="14"/>
              </w:rPr>
            </w:pPr>
            <w:r w:rsidRPr="0088782A">
              <w:rPr>
                <w:rFonts w:cs="Arial"/>
                <w:b/>
                <w:sz w:val="14"/>
                <w:szCs w:val="14"/>
              </w:rPr>
              <w:t xml:space="preserve">(16,483)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6850224" w14:textId="77777777">
            <w:pPr>
              <w:pStyle w:val="tablebody"/>
              <w:jc w:val="right"/>
              <w:rPr>
                <w:rFonts w:cs="Arial"/>
                <w:b/>
                <w:sz w:val="14"/>
                <w:szCs w:val="14"/>
              </w:rPr>
            </w:pPr>
            <w:r w:rsidRPr="0088782A">
              <w:rPr>
                <w:rFonts w:cs="Arial"/>
                <w:b/>
                <w:sz w:val="14"/>
                <w:szCs w:val="14"/>
              </w:rPr>
              <w:t xml:space="preserve">4,252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7AFECA1" w14:textId="77777777">
            <w:pPr>
              <w:pStyle w:val="tablebody"/>
              <w:jc w:val="right"/>
              <w:rPr>
                <w:rFonts w:cs="Arial"/>
                <w:b/>
                <w:sz w:val="14"/>
                <w:szCs w:val="14"/>
              </w:rPr>
            </w:pPr>
            <w:r w:rsidRPr="0088782A">
              <w:rPr>
                <w:rFonts w:cs="Arial"/>
                <w:b/>
                <w:sz w:val="14"/>
                <w:szCs w:val="14"/>
              </w:rPr>
              <w:t xml:space="preserve">(4,027)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315B641" w14:textId="77777777">
            <w:pPr>
              <w:pStyle w:val="tablebody"/>
              <w:jc w:val="right"/>
              <w:rPr>
                <w:rFonts w:cs="Arial"/>
                <w:b/>
                <w:sz w:val="14"/>
                <w:szCs w:val="14"/>
              </w:rPr>
            </w:pPr>
            <w:r w:rsidRPr="0088782A">
              <w:rPr>
                <w:rFonts w:cs="Arial"/>
                <w:b/>
                <w:sz w:val="14"/>
                <w:szCs w:val="14"/>
              </w:rPr>
              <w:t xml:space="preserve">1,230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2FDA652" w14:textId="77777777">
            <w:pPr>
              <w:pStyle w:val="tablebody"/>
              <w:jc w:val="right"/>
              <w:rPr>
                <w:rFonts w:cs="Arial"/>
                <w:b/>
                <w:sz w:val="14"/>
                <w:szCs w:val="14"/>
              </w:rPr>
            </w:pPr>
            <w:r w:rsidRPr="0088782A">
              <w:rPr>
                <w:rFonts w:cs="Arial"/>
                <w:b/>
                <w:sz w:val="14"/>
                <w:szCs w:val="14"/>
              </w:rPr>
              <w:t xml:space="preserve">46,464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7E24EF0" w14:textId="77777777">
            <w:pPr>
              <w:pStyle w:val="tablebody"/>
              <w:jc w:val="right"/>
              <w:rPr>
                <w:rFonts w:cs="Arial"/>
                <w:b/>
                <w:sz w:val="14"/>
                <w:szCs w:val="14"/>
              </w:rPr>
            </w:pPr>
            <w:r w:rsidRPr="0088782A">
              <w:rPr>
                <w:rFonts w:cs="Arial"/>
                <w:b/>
                <w:sz w:val="14"/>
                <w:szCs w:val="14"/>
              </w:rPr>
              <w:t xml:space="preserve">2,840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FFB1B0A" w14:textId="77777777">
            <w:pPr>
              <w:pStyle w:val="tablebody"/>
              <w:jc w:val="right"/>
              <w:rPr>
                <w:rFonts w:cs="Arial"/>
                <w:b/>
                <w:sz w:val="14"/>
                <w:szCs w:val="14"/>
              </w:rPr>
            </w:pPr>
            <w:r w:rsidRPr="0088782A">
              <w:rPr>
                <w:rFonts w:cs="Arial"/>
                <w:b/>
                <w:sz w:val="14"/>
                <w:szCs w:val="14"/>
              </w:rPr>
              <w:t xml:space="preserve">(10,902)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F491DE8" w14:textId="77777777">
            <w:pPr>
              <w:pStyle w:val="tablebody"/>
              <w:jc w:val="right"/>
              <w:rPr>
                <w:rFonts w:cs="Arial"/>
                <w:b/>
                <w:sz w:val="14"/>
                <w:szCs w:val="14"/>
              </w:rPr>
            </w:pPr>
            <w:r w:rsidRPr="0088782A">
              <w:rPr>
                <w:rFonts w:cs="Arial"/>
                <w:b/>
                <w:sz w:val="14"/>
                <w:szCs w:val="14"/>
              </w:rPr>
              <w:t xml:space="preserve">(10,153)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30D2DDD" w14:textId="77777777">
            <w:pPr>
              <w:pStyle w:val="tablebody"/>
              <w:jc w:val="right"/>
              <w:rPr>
                <w:rFonts w:cs="Arial"/>
                <w:b/>
                <w:sz w:val="14"/>
                <w:szCs w:val="14"/>
              </w:rPr>
            </w:pPr>
            <w:r w:rsidRPr="0088782A">
              <w:rPr>
                <w:rFonts w:cs="Arial"/>
                <w:b/>
                <w:sz w:val="14"/>
                <w:szCs w:val="14"/>
              </w:rPr>
              <w:t xml:space="preserve">66,648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BA5564B" w14:textId="77777777">
            <w:pPr>
              <w:pStyle w:val="tablebody"/>
              <w:jc w:val="right"/>
              <w:rPr>
                <w:rFonts w:cs="Arial"/>
                <w:b/>
                <w:sz w:val="14"/>
                <w:szCs w:val="14"/>
              </w:rPr>
            </w:pPr>
            <w:r w:rsidRPr="0088782A">
              <w:rPr>
                <w:rFonts w:cs="Arial"/>
                <w:b/>
                <w:sz w:val="14"/>
                <w:szCs w:val="14"/>
              </w:rPr>
              <w:t xml:space="preserve">19,463 </w:t>
            </w:r>
          </w:p>
        </w:tc>
      </w:tr>
      <w:tr w:rsidRPr="0088782A" w:rsidR="00535DCC" w:rsidTr="00CC210C" w14:paraId="74DE4E24" w14:textId="77777777">
        <w:tc>
          <w:tcPr>
            <w:tcW w:w="16160" w:type="dxa"/>
            <w:gridSpan w:val="18"/>
            <w:tcBorders>
              <w:top w:val="single" w:color="000000" w:sz="12" w:space="0"/>
              <w:left w:val="nil"/>
              <w:bottom w:val="nil"/>
              <w:right w:val="nil"/>
            </w:tcBorders>
            <w:tcMar>
              <w:top w:w="28" w:type="dxa"/>
              <w:left w:w="0" w:type="dxa"/>
              <w:bottom w:w="28" w:type="dxa"/>
              <w:right w:w="0" w:type="dxa"/>
            </w:tcMar>
            <w:vAlign w:val="bottom"/>
          </w:tcPr>
          <w:p w:rsidRPr="0088782A" w:rsidR="00535DCC" w:rsidP="00535DCC" w:rsidRDefault="00535DCC" w14:paraId="01D21E3A" w14:textId="4715E0F5">
            <w:pPr>
              <w:pStyle w:val="tablebody"/>
              <w:rPr>
                <w:rFonts w:cs="Arial"/>
                <w:b/>
                <w:sz w:val="14"/>
                <w:szCs w:val="14"/>
                <w:lang w:val="en-US"/>
              </w:rPr>
            </w:pPr>
            <w:r w:rsidRPr="0088782A">
              <w:rPr>
                <w:rFonts w:cs="Arial"/>
                <w:b/>
                <w:sz w:val="14"/>
                <w:szCs w:val="14"/>
              </w:rPr>
              <w:t>Other economic flows included in net result</w:t>
            </w:r>
          </w:p>
        </w:tc>
      </w:tr>
      <w:tr w:rsidRPr="00045808" w:rsidR="00535DCC" w:rsidTr="00CC210C" w14:paraId="23C279B8" w14:textId="77777777">
        <w:tc>
          <w:tcPr>
            <w:tcW w:w="142" w:type="dxa"/>
            <w:tcBorders>
              <w:top w:val="nil"/>
              <w:left w:val="nil"/>
              <w:bottom w:val="nil"/>
              <w:right w:val="nil"/>
            </w:tcBorders>
            <w:tcMar>
              <w:top w:w="28" w:type="dxa"/>
              <w:left w:w="0" w:type="dxa"/>
              <w:bottom w:w="28" w:type="dxa"/>
              <w:right w:w="0" w:type="dxa"/>
            </w:tcMar>
            <w:vAlign w:val="bottom"/>
          </w:tcPr>
          <w:p w:rsidRPr="00045808" w:rsidR="00045808" w:rsidP="00045808" w:rsidRDefault="00045808" w14:paraId="0F68A854" w14:textId="77777777">
            <w:pPr>
              <w:pStyle w:val="tablebody"/>
              <w:rPr>
                <w:rFonts w:cs="Arial"/>
                <w:sz w:val="14"/>
                <w:szCs w:val="14"/>
                <w:lang w:val="en-US"/>
              </w:rPr>
            </w:pPr>
          </w:p>
        </w:tc>
        <w:tc>
          <w:tcPr>
            <w:tcW w:w="2424" w:type="dxa"/>
            <w:tcBorders>
              <w:top w:val="nil"/>
              <w:left w:val="nil"/>
              <w:bottom w:val="nil"/>
              <w:right w:val="nil"/>
            </w:tcBorders>
            <w:tcMar>
              <w:top w:w="28" w:type="dxa"/>
              <w:left w:w="0" w:type="dxa"/>
              <w:bottom w:w="28" w:type="dxa"/>
              <w:right w:w="0" w:type="dxa"/>
            </w:tcMar>
            <w:vAlign w:val="bottom"/>
          </w:tcPr>
          <w:p w:rsidRPr="00045808" w:rsidR="00045808" w:rsidP="00045808" w:rsidRDefault="00045808" w14:paraId="3D0E62A0" w14:textId="77777777">
            <w:pPr>
              <w:pStyle w:val="tablebody"/>
              <w:rPr>
                <w:rFonts w:cs="Arial"/>
                <w:sz w:val="14"/>
                <w:szCs w:val="14"/>
              </w:rPr>
            </w:pPr>
            <w:r w:rsidRPr="00045808">
              <w:rPr>
                <w:rFonts w:cs="Arial"/>
                <w:sz w:val="14"/>
                <w:szCs w:val="14"/>
              </w:rPr>
              <w:t>Net gain/(loss) on non-financial assets</w:t>
            </w:r>
          </w:p>
        </w:tc>
        <w:tc>
          <w:tcPr>
            <w:tcW w:w="837"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6BEA723C" w14:textId="77777777">
            <w:pPr>
              <w:pStyle w:val="tablebody"/>
              <w:jc w:val="right"/>
              <w:rPr>
                <w:rFonts w:cs="Arial"/>
                <w:sz w:val="14"/>
                <w:szCs w:val="14"/>
              </w:rPr>
            </w:pPr>
            <w:r w:rsidRPr="00045808">
              <w:rPr>
                <w:rFonts w:cs="Arial"/>
                <w:sz w:val="14"/>
                <w:szCs w:val="14"/>
              </w:rPr>
              <w:t xml:space="preserve">11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1C2D4709" w14:textId="77777777">
            <w:pPr>
              <w:pStyle w:val="tablebody"/>
              <w:jc w:val="right"/>
              <w:rPr>
                <w:rFonts w:cs="Arial"/>
                <w:sz w:val="14"/>
                <w:szCs w:val="14"/>
              </w:rPr>
            </w:pPr>
            <w:r w:rsidRPr="00045808">
              <w:rPr>
                <w:rFonts w:cs="Arial"/>
                <w:sz w:val="14"/>
                <w:szCs w:val="14"/>
              </w:rPr>
              <w:t xml:space="preserve">12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100AD2A7" w14:textId="77777777">
            <w:pPr>
              <w:pStyle w:val="tablebody"/>
              <w:jc w:val="right"/>
              <w:rPr>
                <w:rFonts w:cs="Arial"/>
                <w:sz w:val="14"/>
                <w:szCs w:val="14"/>
              </w:rPr>
            </w:pPr>
            <w:r w:rsidRPr="00045808">
              <w:rPr>
                <w:rFonts w:cs="Arial"/>
                <w:sz w:val="14"/>
                <w:szCs w:val="14"/>
              </w:rPr>
              <w:t xml:space="preserve">826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0A4014DB" w14:textId="77777777">
            <w:pPr>
              <w:pStyle w:val="tablebody"/>
              <w:jc w:val="right"/>
              <w:rPr>
                <w:rFonts w:cs="Arial"/>
                <w:sz w:val="14"/>
                <w:szCs w:val="14"/>
              </w:rPr>
            </w:pPr>
            <w:r w:rsidRPr="00045808">
              <w:rPr>
                <w:rFonts w:cs="Arial"/>
                <w:sz w:val="14"/>
                <w:szCs w:val="14"/>
              </w:rPr>
              <w:t xml:space="preserve">1,069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576CD446" w14:textId="77777777">
            <w:pPr>
              <w:pStyle w:val="tablebody"/>
              <w:jc w:val="right"/>
              <w:rPr>
                <w:rFonts w:cs="Arial"/>
                <w:sz w:val="14"/>
                <w:szCs w:val="14"/>
              </w:rPr>
            </w:pPr>
            <w:r w:rsidRPr="00045808">
              <w:rPr>
                <w:rFonts w:cs="Arial"/>
                <w:sz w:val="14"/>
                <w:szCs w:val="14"/>
              </w:rPr>
              <w:t xml:space="preserve">102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05185C8C"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12A3158B" w14:textId="77777777">
            <w:pPr>
              <w:pStyle w:val="tablebody"/>
              <w:jc w:val="right"/>
              <w:rPr>
                <w:rFonts w:cs="Arial"/>
                <w:sz w:val="14"/>
                <w:szCs w:val="14"/>
              </w:rPr>
            </w:pPr>
            <w:r w:rsidRPr="00045808">
              <w:rPr>
                <w:rFonts w:cs="Arial"/>
                <w:sz w:val="14"/>
                <w:szCs w:val="14"/>
              </w:rPr>
              <w:t xml:space="preserve">(20,640)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157E2F32" w14:textId="77777777">
            <w:pPr>
              <w:pStyle w:val="tablebody"/>
              <w:jc w:val="right"/>
              <w:rPr>
                <w:rFonts w:cs="Arial"/>
                <w:sz w:val="14"/>
                <w:szCs w:val="14"/>
              </w:rPr>
            </w:pPr>
            <w:r w:rsidRPr="00045808">
              <w:rPr>
                <w:rFonts w:cs="Arial"/>
                <w:sz w:val="14"/>
                <w:szCs w:val="14"/>
              </w:rPr>
              <w:t xml:space="preserve">310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24E53F66" w14:textId="77777777">
            <w:pPr>
              <w:pStyle w:val="tablebody"/>
              <w:jc w:val="right"/>
              <w:rPr>
                <w:rFonts w:cs="Arial"/>
                <w:sz w:val="14"/>
                <w:szCs w:val="14"/>
              </w:rPr>
            </w:pPr>
            <w:r w:rsidRPr="00045808">
              <w:rPr>
                <w:rFonts w:cs="Arial"/>
                <w:sz w:val="14"/>
                <w:szCs w:val="14"/>
              </w:rPr>
              <w:t xml:space="preserve">67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09BDE24E" w14:textId="77777777">
            <w:pPr>
              <w:pStyle w:val="tablebody"/>
              <w:jc w:val="right"/>
              <w:rPr>
                <w:rFonts w:cs="Arial"/>
                <w:sz w:val="14"/>
                <w:szCs w:val="14"/>
              </w:rPr>
            </w:pPr>
            <w:r w:rsidRPr="00045808">
              <w:rPr>
                <w:rFonts w:cs="Arial"/>
                <w:sz w:val="14"/>
                <w:szCs w:val="14"/>
              </w:rPr>
              <w:t xml:space="preserve">94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549F914B" w14:textId="77777777">
            <w:pPr>
              <w:pStyle w:val="tablebody"/>
              <w:jc w:val="right"/>
              <w:rPr>
                <w:rFonts w:cs="Arial"/>
                <w:sz w:val="14"/>
                <w:szCs w:val="14"/>
              </w:rPr>
            </w:pPr>
            <w:r w:rsidRPr="00045808">
              <w:rPr>
                <w:rFonts w:cs="Arial"/>
                <w:sz w:val="14"/>
                <w:szCs w:val="14"/>
              </w:rPr>
              <w:t xml:space="preserve">268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0895C49D" w14:textId="77777777">
            <w:pPr>
              <w:pStyle w:val="tablebody"/>
              <w:jc w:val="right"/>
              <w:rPr>
                <w:rFonts w:cs="Arial"/>
                <w:sz w:val="14"/>
                <w:szCs w:val="14"/>
              </w:rPr>
            </w:pPr>
            <w:r w:rsidRPr="00045808">
              <w:rPr>
                <w:rFonts w:cs="Arial"/>
                <w:sz w:val="14"/>
                <w:szCs w:val="14"/>
              </w:rPr>
              <w:t xml:space="preserve">367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74A470C1" w14:textId="77777777">
            <w:pPr>
              <w:pStyle w:val="tablebody"/>
              <w:jc w:val="right"/>
              <w:rPr>
                <w:rFonts w:cs="Arial"/>
                <w:sz w:val="14"/>
                <w:szCs w:val="14"/>
              </w:rPr>
            </w:pPr>
            <w:r w:rsidRPr="00045808">
              <w:rPr>
                <w:rFonts w:cs="Arial"/>
                <w:sz w:val="14"/>
                <w:szCs w:val="14"/>
              </w:rPr>
              <w:t xml:space="preserve">75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6386A561" w14:textId="77777777">
            <w:pPr>
              <w:pStyle w:val="tablebody"/>
              <w:jc w:val="right"/>
              <w:rPr>
                <w:rFonts w:cs="Arial"/>
                <w:sz w:val="14"/>
                <w:szCs w:val="14"/>
              </w:rPr>
            </w:pPr>
            <w:r w:rsidRPr="00045808">
              <w:rPr>
                <w:rFonts w:cs="Arial"/>
                <w:sz w:val="14"/>
                <w:szCs w:val="14"/>
              </w:rPr>
              <w:t xml:space="preserve">104 </w:t>
            </w:r>
          </w:p>
        </w:tc>
        <w:tc>
          <w:tcPr>
            <w:tcW w:w="850"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3F837173" w14:textId="77777777">
            <w:pPr>
              <w:pStyle w:val="tablebody"/>
              <w:jc w:val="right"/>
              <w:rPr>
                <w:rFonts w:cs="Arial"/>
                <w:sz w:val="14"/>
                <w:szCs w:val="14"/>
              </w:rPr>
            </w:pPr>
            <w:r w:rsidRPr="00045808">
              <w:rPr>
                <w:rFonts w:cs="Arial"/>
                <w:sz w:val="14"/>
                <w:szCs w:val="14"/>
              </w:rPr>
              <w:t xml:space="preserve">(19,291) </w:t>
            </w:r>
          </w:p>
        </w:tc>
        <w:tc>
          <w:tcPr>
            <w:tcW w:w="851" w:type="dxa"/>
            <w:tcBorders>
              <w:top w:val="nil"/>
              <w:left w:val="nil"/>
              <w:bottom w:val="nil"/>
              <w:right w:val="nil"/>
            </w:tcBorders>
            <w:tcMar>
              <w:top w:w="28" w:type="dxa"/>
              <w:left w:w="0" w:type="dxa"/>
              <w:bottom w:w="28" w:type="dxa"/>
              <w:right w:w="0" w:type="dxa"/>
            </w:tcMar>
            <w:vAlign w:val="bottom"/>
          </w:tcPr>
          <w:p w:rsidRPr="00045808" w:rsidR="00045808" w:rsidP="00535DCC" w:rsidRDefault="00045808" w14:paraId="30A4223E" w14:textId="77777777">
            <w:pPr>
              <w:pStyle w:val="tablebody"/>
              <w:jc w:val="right"/>
              <w:rPr>
                <w:rFonts w:cs="Arial"/>
                <w:sz w:val="14"/>
                <w:szCs w:val="14"/>
              </w:rPr>
            </w:pPr>
            <w:r w:rsidRPr="00045808">
              <w:rPr>
                <w:rFonts w:cs="Arial"/>
                <w:sz w:val="14"/>
                <w:szCs w:val="14"/>
              </w:rPr>
              <w:t xml:space="preserve">1,956 </w:t>
            </w:r>
          </w:p>
        </w:tc>
      </w:tr>
      <w:tr w:rsidRPr="00045808" w:rsidR="00535DCC" w:rsidTr="00CC210C" w14:paraId="5102B0C3" w14:textId="77777777">
        <w:tc>
          <w:tcPr>
            <w:tcW w:w="142"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76C44F79" w14:textId="77777777">
            <w:pPr>
              <w:pStyle w:val="tablebody"/>
              <w:rPr>
                <w:rFonts w:cs="Arial"/>
                <w:sz w:val="14"/>
                <w:szCs w:val="14"/>
                <w:lang w:val="en-US"/>
              </w:rPr>
            </w:pPr>
          </w:p>
        </w:tc>
        <w:tc>
          <w:tcPr>
            <w:tcW w:w="2424" w:type="dxa"/>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6429C7AC" w14:textId="77777777">
            <w:pPr>
              <w:pStyle w:val="tablebody"/>
              <w:rPr>
                <w:rFonts w:cs="Arial"/>
                <w:sz w:val="14"/>
                <w:szCs w:val="14"/>
              </w:rPr>
            </w:pPr>
            <w:r w:rsidRPr="00045808">
              <w:rPr>
                <w:rFonts w:cs="Arial"/>
                <w:sz w:val="14"/>
                <w:szCs w:val="14"/>
              </w:rPr>
              <w:t>Net gain/(loss) on financial instruments</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1DDEEEC" w14:textId="77777777">
            <w:pPr>
              <w:pStyle w:val="tablebody"/>
              <w:jc w:val="right"/>
              <w:rPr>
                <w:rFonts w:cs="Arial"/>
                <w:sz w:val="14"/>
                <w:szCs w:val="14"/>
              </w:rPr>
            </w:pPr>
            <w:r w:rsidRPr="00045808">
              <w:rPr>
                <w:rFonts w:cs="Arial"/>
                <w:sz w:val="14"/>
                <w:szCs w:val="14"/>
              </w:rPr>
              <w:t xml:space="preserve">(3)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A239A9E" w14:textId="77777777">
            <w:pPr>
              <w:pStyle w:val="tablebody"/>
              <w:jc w:val="right"/>
              <w:rPr>
                <w:rFonts w:cs="Arial"/>
                <w:sz w:val="14"/>
                <w:szCs w:val="14"/>
              </w:rPr>
            </w:pPr>
            <w:r w:rsidRPr="00045808">
              <w:rPr>
                <w:rFonts w:cs="Arial"/>
                <w:sz w:val="14"/>
                <w:szCs w:val="14"/>
              </w:rPr>
              <w:t xml:space="preserve">(9)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2EF72CB" w14:textId="77777777">
            <w:pPr>
              <w:pStyle w:val="tablebody"/>
              <w:jc w:val="right"/>
              <w:rPr>
                <w:rFonts w:cs="Arial"/>
                <w:sz w:val="14"/>
                <w:szCs w:val="14"/>
              </w:rPr>
            </w:pPr>
            <w:r w:rsidRPr="00045808">
              <w:rPr>
                <w:rFonts w:cs="Arial"/>
                <w:sz w:val="14"/>
                <w:szCs w:val="14"/>
              </w:rPr>
              <w:t xml:space="preserve">(59,003)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713B5F5" w14:textId="77777777">
            <w:pPr>
              <w:pStyle w:val="tablebody"/>
              <w:jc w:val="right"/>
              <w:rPr>
                <w:rFonts w:cs="Arial"/>
                <w:sz w:val="14"/>
                <w:szCs w:val="14"/>
              </w:rPr>
            </w:pPr>
            <w:r w:rsidRPr="00045808">
              <w:rPr>
                <w:rFonts w:cs="Arial"/>
                <w:sz w:val="14"/>
                <w:szCs w:val="14"/>
              </w:rPr>
              <w:t xml:space="preserve">507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A38342C" w14:textId="77777777">
            <w:pPr>
              <w:pStyle w:val="tablebody"/>
              <w:jc w:val="right"/>
              <w:rPr>
                <w:rFonts w:cs="Arial"/>
                <w:sz w:val="14"/>
                <w:szCs w:val="14"/>
              </w:rPr>
            </w:pPr>
            <w:r w:rsidRPr="00045808">
              <w:rPr>
                <w:rFonts w:cs="Arial"/>
                <w:sz w:val="14"/>
                <w:szCs w:val="14"/>
              </w:rPr>
              <w:t xml:space="preserve">47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936505B"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3B57AC4" w14:textId="77777777">
            <w:pPr>
              <w:pStyle w:val="tablebody"/>
              <w:jc w:val="right"/>
              <w:rPr>
                <w:rFonts w:cs="Arial"/>
                <w:sz w:val="14"/>
                <w:szCs w:val="14"/>
              </w:rPr>
            </w:pPr>
            <w:r w:rsidRPr="00045808">
              <w:rPr>
                <w:rFonts w:cs="Arial"/>
                <w:sz w:val="14"/>
                <w:szCs w:val="14"/>
              </w:rPr>
              <w:t xml:space="preserve">(24)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4338485"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76FE1EB" w14:textId="77777777">
            <w:pPr>
              <w:pStyle w:val="tablebody"/>
              <w:jc w:val="right"/>
              <w:rPr>
                <w:rFonts w:cs="Arial"/>
                <w:sz w:val="14"/>
                <w:szCs w:val="14"/>
              </w:rPr>
            </w:pPr>
            <w:r w:rsidRPr="00045808">
              <w:rPr>
                <w:rFonts w:cs="Arial"/>
                <w:sz w:val="14"/>
                <w:szCs w:val="14"/>
              </w:rPr>
              <w:t xml:space="preserve">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A3ADB1A"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EF4291E" w14:textId="77777777">
            <w:pPr>
              <w:pStyle w:val="tablebody"/>
              <w:jc w:val="right"/>
              <w:rPr>
                <w:rFonts w:cs="Arial"/>
                <w:sz w:val="14"/>
                <w:szCs w:val="14"/>
              </w:rPr>
            </w:pPr>
            <w:r w:rsidRPr="00045808">
              <w:rPr>
                <w:rFonts w:cs="Arial"/>
                <w:sz w:val="14"/>
                <w:szCs w:val="14"/>
              </w:rPr>
              <w:t xml:space="preserve">619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7DA5856"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E7BBF6B" w14:textId="77777777">
            <w:pPr>
              <w:pStyle w:val="tablebody"/>
              <w:jc w:val="right"/>
              <w:rPr>
                <w:rFonts w:cs="Arial"/>
                <w:sz w:val="14"/>
                <w:szCs w:val="14"/>
              </w:rPr>
            </w:pPr>
            <w:r w:rsidRPr="00045808">
              <w:rPr>
                <w:rFonts w:cs="Arial"/>
                <w:sz w:val="14"/>
                <w:szCs w:val="14"/>
              </w:rPr>
              <w:t xml:space="preserve">(2,451)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C6B6675" w14:textId="77777777">
            <w:pPr>
              <w:pStyle w:val="tablebody"/>
              <w:jc w:val="right"/>
              <w:rPr>
                <w:rFonts w:cs="Arial"/>
                <w:sz w:val="14"/>
                <w:szCs w:val="14"/>
              </w:rPr>
            </w:pPr>
            <w:r w:rsidRPr="00045808">
              <w:rPr>
                <w:rFonts w:cs="Arial"/>
                <w:sz w:val="14"/>
                <w:szCs w:val="14"/>
              </w:rPr>
              <w:t xml:space="preserve">5,508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F465046" w14:textId="77777777">
            <w:pPr>
              <w:pStyle w:val="tablebody"/>
              <w:jc w:val="right"/>
              <w:rPr>
                <w:rFonts w:cs="Arial"/>
                <w:sz w:val="14"/>
                <w:szCs w:val="14"/>
              </w:rPr>
            </w:pPr>
            <w:r w:rsidRPr="00045808">
              <w:rPr>
                <w:rFonts w:cs="Arial"/>
                <w:sz w:val="14"/>
                <w:szCs w:val="14"/>
              </w:rPr>
              <w:t xml:space="preserve">(60,811)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78268FE" w14:textId="77777777">
            <w:pPr>
              <w:pStyle w:val="tablebody"/>
              <w:jc w:val="right"/>
              <w:rPr>
                <w:rFonts w:cs="Arial"/>
                <w:sz w:val="14"/>
                <w:szCs w:val="14"/>
              </w:rPr>
            </w:pPr>
            <w:r w:rsidRPr="00045808">
              <w:rPr>
                <w:rFonts w:cs="Arial"/>
                <w:sz w:val="14"/>
                <w:szCs w:val="14"/>
              </w:rPr>
              <w:t xml:space="preserve">6,006 </w:t>
            </w:r>
          </w:p>
        </w:tc>
      </w:tr>
      <w:tr w:rsidRPr="00045808" w:rsidR="00535DCC" w:rsidTr="00CC210C" w14:paraId="33D1850D" w14:textId="77777777">
        <w:tc>
          <w:tcPr>
            <w:tcW w:w="142"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6F441688" w14:textId="77777777">
            <w:pPr>
              <w:pStyle w:val="tablebody"/>
              <w:rPr>
                <w:rFonts w:cs="Arial"/>
                <w:sz w:val="14"/>
                <w:szCs w:val="14"/>
                <w:lang w:val="en-US"/>
              </w:rPr>
            </w:pPr>
          </w:p>
        </w:tc>
        <w:tc>
          <w:tcPr>
            <w:tcW w:w="2424"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22215C9D" w14:textId="77777777">
            <w:pPr>
              <w:pStyle w:val="tablebody"/>
              <w:rPr>
                <w:rFonts w:cs="Arial"/>
                <w:sz w:val="14"/>
                <w:szCs w:val="14"/>
              </w:rPr>
            </w:pPr>
            <w:r w:rsidRPr="00045808">
              <w:rPr>
                <w:rFonts w:cs="Arial"/>
                <w:sz w:val="14"/>
                <w:szCs w:val="14"/>
              </w:rPr>
              <w:t>Other gains/(losses) from other economic flows</w:t>
            </w:r>
          </w:p>
        </w:tc>
        <w:tc>
          <w:tcPr>
            <w:tcW w:w="837"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4EABA97" w14:textId="77777777">
            <w:pPr>
              <w:pStyle w:val="tablebody"/>
              <w:jc w:val="right"/>
              <w:rPr>
                <w:rFonts w:cs="Arial"/>
                <w:sz w:val="14"/>
                <w:szCs w:val="14"/>
              </w:rPr>
            </w:pPr>
            <w:r w:rsidRPr="00045808">
              <w:rPr>
                <w:rFonts w:cs="Arial"/>
                <w:sz w:val="14"/>
                <w:szCs w:val="14"/>
              </w:rPr>
              <w:t xml:space="preserve">(87)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C051E9A" w14:textId="77777777">
            <w:pPr>
              <w:pStyle w:val="tablebody"/>
              <w:jc w:val="right"/>
              <w:rPr>
                <w:rFonts w:cs="Arial"/>
                <w:sz w:val="14"/>
                <w:szCs w:val="14"/>
              </w:rPr>
            </w:pPr>
            <w:r w:rsidRPr="00045808">
              <w:rPr>
                <w:rFonts w:cs="Arial"/>
                <w:sz w:val="14"/>
                <w:szCs w:val="14"/>
              </w:rPr>
              <w:t xml:space="preserve">19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B73DB94" w14:textId="77777777">
            <w:pPr>
              <w:pStyle w:val="tablebody"/>
              <w:jc w:val="right"/>
              <w:rPr>
                <w:rFonts w:cs="Arial"/>
                <w:sz w:val="14"/>
                <w:szCs w:val="14"/>
              </w:rPr>
            </w:pPr>
            <w:r w:rsidRPr="00045808">
              <w:rPr>
                <w:rFonts w:cs="Arial"/>
                <w:sz w:val="14"/>
                <w:szCs w:val="14"/>
              </w:rPr>
              <w:t xml:space="preserve">(6,459)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6BB8A51" w14:textId="77777777">
            <w:pPr>
              <w:pStyle w:val="tablebody"/>
              <w:jc w:val="right"/>
              <w:rPr>
                <w:rFonts w:cs="Arial"/>
                <w:sz w:val="14"/>
                <w:szCs w:val="14"/>
              </w:rPr>
            </w:pPr>
            <w:r w:rsidRPr="00045808">
              <w:rPr>
                <w:rFonts w:cs="Arial"/>
                <w:sz w:val="14"/>
                <w:szCs w:val="14"/>
              </w:rPr>
              <w:t xml:space="preserve">1,456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3B61F31" w14:textId="77777777">
            <w:pPr>
              <w:pStyle w:val="tablebody"/>
              <w:jc w:val="right"/>
              <w:rPr>
                <w:rFonts w:cs="Arial"/>
                <w:sz w:val="14"/>
                <w:szCs w:val="14"/>
              </w:rPr>
            </w:pPr>
            <w:r w:rsidRPr="00045808">
              <w:rPr>
                <w:rFonts w:cs="Arial"/>
                <w:sz w:val="14"/>
                <w:szCs w:val="14"/>
              </w:rPr>
              <w:t xml:space="preserve">(797)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CD76582" w14:textId="77777777">
            <w:pPr>
              <w:pStyle w:val="tablebody"/>
              <w:jc w:val="right"/>
              <w:rPr>
                <w:rFonts w:cs="Arial"/>
                <w:sz w:val="14"/>
                <w:szCs w:val="14"/>
              </w:rPr>
            </w:pPr>
            <w:r w:rsidRPr="00045808">
              <w:rPr>
                <w:rFonts w:cs="Arial"/>
                <w:sz w:val="14"/>
                <w:szCs w:val="14"/>
              </w:rPr>
              <w:t xml:space="preserve">191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E5DE361" w14:textId="77777777">
            <w:pPr>
              <w:pStyle w:val="tablebody"/>
              <w:jc w:val="right"/>
              <w:rPr>
                <w:rFonts w:cs="Arial"/>
                <w:sz w:val="14"/>
                <w:szCs w:val="14"/>
              </w:rPr>
            </w:pPr>
            <w:r w:rsidRPr="00045808">
              <w:rPr>
                <w:rFonts w:cs="Arial"/>
                <w:sz w:val="14"/>
                <w:szCs w:val="14"/>
              </w:rPr>
              <w:t xml:space="preserve">(1,805)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2E8A7BA" w14:textId="77777777">
            <w:pPr>
              <w:pStyle w:val="tablebody"/>
              <w:jc w:val="right"/>
              <w:rPr>
                <w:rFonts w:cs="Arial"/>
                <w:sz w:val="14"/>
                <w:szCs w:val="14"/>
              </w:rPr>
            </w:pPr>
            <w:r w:rsidRPr="00045808">
              <w:rPr>
                <w:rFonts w:cs="Arial"/>
                <w:sz w:val="14"/>
                <w:szCs w:val="14"/>
              </w:rPr>
              <w:t xml:space="preserve">271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27759D7" w14:textId="77777777">
            <w:pPr>
              <w:pStyle w:val="tablebody"/>
              <w:jc w:val="right"/>
              <w:rPr>
                <w:rFonts w:cs="Arial"/>
                <w:sz w:val="14"/>
                <w:szCs w:val="14"/>
              </w:rPr>
            </w:pPr>
            <w:r w:rsidRPr="00045808">
              <w:rPr>
                <w:rFonts w:cs="Arial"/>
                <w:sz w:val="14"/>
                <w:szCs w:val="14"/>
              </w:rPr>
              <w:t xml:space="preserve">(529)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7BE940D" w14:textId="77777777">
            <w:pPr>
              <w:pStyle w:val="tablebody"/>
              <w:jc w:val="right"/>
              <w:rPr>
                <w:rFonts w:cs="Arial"/>
                <w:sz w:val="14"/>
                <w:szCs w:val="14"/>
              </w:rPr>
            </w:pPr>
            <w:r w:rsidRPr="00045808">
              <w:rPr>
                <w:rFonts w:cs="Arial"/>
                <w:sz w:val="14"/>
                <w:szCs w:val="14"/>
              </w:rPr>
              <w:t xml:space="preserve">168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54295CF" w14:textId="77777777">
            <w:pPr>
              <w:pStyle w:val="tablebody"/>
              <w:jc w:val="right"/>
              <w:rPr>
                <w:rFonts w:cs="Arial"/>
                <w:sz w:val="14"/>
                <w:szCs w:val="14"/>
              </w:rPr>
            </w:pPr>
            <w:r w:rsidRPr="00045808">
              <w:rPr>
                <w:rFonts w:cs="Arial"/>
                <w:sz w:val="14"/>
                <w:szCs w:val="14"/>
              </w:rPr>
              <w:t xml:space="preserve">(2,094)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679ECEF" w14:textId="77777777">
            <w:pPr>
              <w:pStyle w:val="tablebody"/>
              <w:jc w:val="right"/>
              <w:rPr>
                <w:rFonts w:cs="Arial"/>
                <w:sz w:val="14"/>
                <w:szCs w:val="14"/>
              </w:rPr>
            </w:pPr>
            <w:r w:rsidRPr="00045808">
              <w:rPr>
                <w:rFonts w:cs="Arial"/>
                <w:sz w:val="14"/>
                <w:szCs w:val="14"/>
              </w:rPr>
              <w:t xml:space="preserve">120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E835247" w14:textId="77777777">
            <w:pPr>
              <w:pStyle w:val="tablebody"/>
              <w:jc w:val="right"/>
              <w:rPr>
                <w:rFonts w:cs="Arial"/>
                <w:sz w:val="14"/>
                <w:szCs w:val="14"/>
              </w:rPr>
            </w:pPr>
            <w:r w:rsidRPr="00045808">
              <w:rPr>
                <w:rFonts w:cs="Arial"/>
                <w:sz w:val="14"/>
                <w:szCs w:val="14"/>
              </w:rPr>
              <w:t xml:space="preserve">(669)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EF87C9C" w14:textId="77777777">
            <w:pPr>
              <w:pStyle w:val="tablebody"/>
              <w:jc w:val="right"/>
              <w:rPr>
                <w:rFonts w:cs="Arial"/>
                <w:sz w:val="14"/>
                <w:szCs w:val="14"/>
              </w:rPr>
            </w:pPr>
            <w:r w:rsidRPr="00045808">
              <w:rPr>
                <w:rFonts w:cs="Arial"/>
                <w:sz w:val="14"/>
                <w:szCs w:val="14"/>
              </w:rPr>
              <w:t xml:space="preserve">174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DD1283D" w14:textId="77777777">
            <w:pPr>
              <w:pStyle w:val="tablebody"/>
              <w:jc w:val="right"/>
              <w:rPr>
                <w:rFonts w:cs="Arial"/>
                <w:sz w:val="14"/>
                <w:szCs w:val="14"/>
              </w:rPr>
            </w:pPr>
            <w:r w:rsidRPr="00045808">
              <w:rPr>
                <w:rFonts w:cs="Arial"/>
                <w:sz w:val="14"/>
                <w:szCs w:val="14"/>
              </w:rPr>
              <w:t xml:space="preserve">(12,440)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C019583" w14:textId="77777777">
            <w:pPr>
              <w:pStyle w:val="tablebody"/>
              <w:jc w:val="right"/>
              <w:rPr>
                <w:rFonts w:cs="Arial"/>
                <w:sz w:val="14"/>
                <w:szCs w:val="14"/>
              </w:rPr>
            </w:pPr>
            <w:r w:rsidRPr="00045808">
              <w:rPr>
                <w:rFonts w:cs="Arial"/>
                <w:sz w:val="14"/>
                <w:szCs w:val="14"/>
              </w:rPr>
              <w:t xml:space="preserve">2,399 </w:t>
            </w:r>
          </w:p>
        </w:tc>
      </w:tr>
      <w:tr w:rsidRPr="0088782A" w:rsidR="00535DCC" w:rsidTr="00CC210C" w14:paraId="06BE9FF2" w14:textId="77777777">
        <w:tc>
          <w:tcPr>
            <w:tcW w:w="2566" w:type="dxa"/>
            <w:gridSpan w:val="2"/>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07EA21FC" w14:textId="77777777">
            <w:pPr>
              <w:pStyle w:val="tablebody"/>
              <w:rPr>
                <w:rFonts w:cs="Arial"/>
                <w:b/>
                <w:sz w:val="14"/>
                <w:szCs w:val="14"/>
              </w:rPr>
            </w:pPr>
            <w:r w:rsidRPr="0088782A">
              <w:rPr>
                <w:rFonts w:cs="Arial"/>
                <w:b/>
                <w:sz w:val="14"/>
                <w:szCs w:val="14"/>
              </w:rPr>
              <w:t>Total other economic flows included in net result</w:t>
            </w:r>
          </w:p>
        </w:tc>
        <w:tc>
          <w:tcPr>
            <w:tcW w:w="837"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C26875B" w14:textId="77777777">
            <w:pPr>
              <w:pStyle w:val="tablebody"/>
              <w:jc w:val="right"/>
              <w:rPr>
                <w:rFonts w:cs="Arial"/>
                <w:b/>
                <w:sz w:val="14"/>
                <w:szCs w:val="14"/>
              </w:rPr>
            </w:pPr>
            <w:r w:rsidRPr="0088782A">
              <w:rPr>
                <w:rFonts w:cs="Arial"/>
                <w:b/>
                <w:sz w:val="14"/>
                <w:szCs w:val="14"/>
              </w:rPr>
              <w:t xml:space="preserve">(79)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D237A7D" w14:textId="77777777">
            <w:pPr>
              <w:pStyle w:val="tablebody"/>
              <w:jc w:val="right"/>
              <w:rPr>
                <w:rFonts w:cs="Arial"/>
                <w:b/>
                <w:sz w:val="14"/>
                <w:szCs w:val="14"/>
              </w:rPr>
            </w:pPr>
            <w:r w:rsidRPr="0088782A">
              <w:rPr>
                <w:rFonts w:cs="Arial"/>
                <w:b/>
                <w:sz w:val="14"/>
                <w:szCs w:val="14"/>
              </w:rPr>
              <w:t xml:space="preserve">22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51ECB60" w14:textId="77777777">
            <w:pPr>
              <w:pStyle w:val="tablebody"/>
              <w:jc w:val="right"/>
              <w:rPr>
                <w:rFonts w:cs="Arial"/>
                <w:b/>
                <w:sz w:val="14"/>
                <w:szCs w:val="14"/>
              </w:rPr>
            </w:pPr>
            <w:r w:rsidRPr="0088782A">
              <w:rPr>
                <w:rFonts w:cs="Arial"/>
                <w:b/>
                <w:sz w:val="14"/>
                <w:szCs w:val="14"/>
              </w:rPr>
              <w:t xml:space="preserve">(64,636)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96D0408" w14:textId="77777777">
            <w:pPr>
              <w:pStyle w:val="tablebody"/>
              <w:jc w:val="right"/>
              <w:rPr>
                <w:rFonts w:cs="Arial"/>
                <w:b/>
                <w:sz w:val="14"/>
                <w:szCs w:val="14"/>
              </w:rPr>
            </w:pPr>
            <w:r w:rsidRPr="0088782A">
              <w:rPr>
                <w:rFonts w:cs="Arial"/>
                <w:b/>
                <w:sz w:val="14"/>
                <w:szCs w:val="14"/>
              </w:rPr>
              <w:t xml:space="preserve">3,032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6407ECB" w14:textId="77777777">
            <w:pPr>
              <w:pStyle w:val="tablebody"/>
              <w:jc w:val="right"/>
              <w:rPr>
                <w:rFonts w:cs="Arial"/>
                <w:b/>
                <w:sz w:val="14"/>
                <w:szCs w:val="14"/>
              </w:rPr>
            </w:pPr>
            <w:r w:rsidRPr="0088782A">
              <w:rPr>
                <w:rFonts w:cs="Arial"/>
                <w:b/>
                <w:sz w:val="14"/>
                <w:szCs w:val="14"/>
              </w:rPr>
              <w:t xml:space="preserve">(648)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34D346C" w14:textId="77777777">
            <w:pPr>
              <w:pStyle w:val="tablebody"/>
              <w:jc w:val="right"/>
              <w:rPr>
                <w:rFonts w:cs="Arial"/>
                <w:b/>
                <w:sz w:val="14"/>
                <w:szCs w:val="14"/>
              </w:rPr>
            </w:pPr>
            <w:r w:rsidRPr="0088782A">
              <w:rPr>
                <w:rFonts w:cs="Arial"/>
                <w:b/>
                <w:sz w:val="14"/>
                <w:szCs w:val="14"/>
              </w:rPr>
              <w:t xml:space="preserve">191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3E0E4AE" w14:textId="77777777">
            <w:pPr>
              <w:pStyle w:val="tablebody"/>
              <w:jc w:val="right"/>
              <w:rPr>
                <w:rFonts w:cs="Arial"/>
                <w:b/>
                <w:sz w:val="14"/>
                <w:szCs w:val="14"/>
              </w:rPr>
            </w:pPr>
            <w:r w:rsidRPr="0088782A">
              <w:rPr>
                <w:rFonts w:cs="Arial"/>
                <w:b/>
                <w:sz w:val="14"/>
                <w:szCs w:val="14"/>
              </w:rPr>
              <w:t xml:space="preserve">(22,469)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5B1D20F" w14:textId="77777777">
            <w:pPr>
              <w:pStyle w:val="tablebody"/>
              <w:jc w:val="right"/>
              <w:rPr>
                <w:rFonts w:cs="Arial"/>
                <w:b/>
                <w:sz w:val="14"/>
                <w:szCs w:val="14"/>
              </w:rPr>
            </w:pPr>
            <w:r w:rsidRPr="0088782A">
              <w:rPr>
                <w:rFonts w:cs="Arial"/>
                <w:b/>
                <w:sz w:val="14"/>
                <w:szCs w:val="14"/>
              </w:rPr>
              <w:t xml:space="preserve">581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1D46409" w14:textId="77777777">
            <w:pPr>
              <w:pStyle w:val="tablebody"/>
              <w:jc w:val="right"/>
              <w:rPr>
                <w:rFonts w:cs="Arial"/>
                <w:b/>
                <w:sz w:val="14"/>
                <w:szCs w:val="14"/>
              </w:rPr>
            </w:pPr>
            <w:r w:rsidRPr="0088782A">
              <w:rPr>
                <w:rFonts w:cs="Arial"/>
                <w:b/>
                <w:sz w:val="14"/>
                <w:szCs w:val="14"/>
              </w:rPr>
              <w:t xml:space="preserve">(458)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C0E9E43" w14:textId="77777777">
            <w:pPr>
              <w:pStyle w:val="tablebody"/>
              <w:jc w:val="right"/>
              <w:rPr>
                <w:rFonts w:cs="Arial"/>
                <w:b/>
                <w:sz w:val="14"/>
                <w:szCs w:val="14"/>
              </w:rPr>
            </w:pPr>
            <w:r w:rsidRPr="0088782A">
              <w:rPr>
                <w:rFonts w:cs="Arial"/>
                <w:b/>
                <w:sz w:val="14"/>
                <w:szCs w:val="14"/>
              </w:rPr>
              <w:t xml:space="preserve">262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7DA46E2" w14:textId="77777777">
            <w:pPr>
              <w:pStyle w:val="tablebody"/>
              <w:jc w:val="right"/>
              <w:rPr>
                <w:rFonts w:cs="Arial"/>
                <w:b/>
                <w:sz w:val="14"/>
                <w:szCs w:val="14"/>
              </w:rPr>
            </w:pPr>
            <w:r w:rsidRPr="0088782A">
              <w:rPr>
                <w:rFonts w:cs="Arial"/>
                <w:b/>
                <w:sz w:val="14"/>
                <w:szCs w:val="14"/>
              </w:rPr>
              <w:t xml:space="preserve">(1,207)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BDE1E13" w14:textId="77777777">
            <w:pPr>
              <w:pStyle w:val="tablebody"/>
              <w:jc w:val="right"/>
              <w:rPr>
                <w:rFonts w:cs="Arial"/>
                <w:b/>
                <w:sz w:val="14"/>
                <w:szCs w:val="14"/>
              </w:rPr>
            </w:pPr>
            <w:r w:rsidRPr="0088782A">
              <w:rPr>
                <w:rFonts w:cs="Arial"/>
                <w:b/>
                <w:sz w:val="14"/>
                <w:szCs w:val="14"/>
              </w:rPr>
              <w:t xml:space="preserve">487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3348DCE" w14:textId="77777777">
            <w:pPr>
              <w:pStyle w:val="tablebody"/>
              <w:jc w:val="right"/>
              <w:rPr>
                <w:rFonts w:cs="Arial"/>
                <w:b/>
                <w:sz w:val="14"/>
                <w:szCs w:val="14"/>
              </w:rPr>
            </w:pPr>
            <w:r w:rsidRPr="0088782A">
              <w:rPr>
                <w:rFonts w:cs="Arial"/>
                <w:b/>
                <w:sz w:val="14"/>
                <w:szCs w:val="14"/>
              </w:rPr>
              <w:t xml:space="preserve">(3,045)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230D594" w14:textId="77777777">
            <w:pPr>
              <w:pStyle w:val="tablebody"/>
              <w:jc w:val="right"/>
              <w:rPr>
                <w:rFonts w:cs="Arial"/>
                <w:b/>
                <w:sz w:val="14"/>
                <w:szCs w:val="14"/>
              </w:rPr>
            </w:pPr>
            <w:r w:rsidRPr="0088782A">
              <w:rPr>
                <w:rFonts w:cs="Arial"/>
                <w:b/>
                <w:sz w:val="14"/>
                <w:szCs w:val="14"/>
              </w:rPr>
              <w:t xml:space="preserve">5,786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67E5C05" w14:textId="77777777">
            <w:pPr>
              <w:pStyle w:val="tablebody"/>
              <w:jc w:val="right"/>
              <w:rPr>
                <w:rFonts w:cs="Arial"/>
                <w:b/>
                <w:sz w:val="14"/>
                <w:szCs w:val="14"/>
              </w:rPr>
            </w:pPr>
            <w:r w:rsidRPr="0088782A">
              <w:rPr>
                <w:rFonts w:cs="Arial"/>
                <w:b/>
                <w:sz w:val="14"/>
                <w:szCs w:val="14"/>
              </w:rPr>
              <w:t xml:space="preserve">(92,542)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89CE9B6" w14:textId="77777777">
            <w:pPr>
              <w:pStyle w:val="tablebody"/>
              <w:jc w:val="right"/>
              <w:rPr>
                <w:rFonts w:cs="Arial"/>
                <w:b/>
                <w:sz w:val="14"/>
                <w:szCs w:val="14"/>
              </w:rPr>
            </w:pPr>
            <w:r w:rsidRPr="0088782A">
              <w:rPr>
                <w:rFonts w:cs="Arial"/>
                <w:b/>
                <w:sz w:val="14"/>
                <w:szCs w:val="14"/>
              </w:rPr>
              <w:t xml:space="preserve">10,361 </w:t>
            </w:r>
          </w:p>
        </w:tc>
      </w:tr>
      <w:tr w:rsidRPr="0088782A" w:rsidR="00535DCC" w:rsidTr="00CC210C" w14:paraId="497DE4D4" w14:textId="77777777">
        <w:tc>
          <w:tcPr>
            <w:tcW w:w="2566" w:type="dxa"/>
            <w:gridSpan w:val="2"/>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5A0ABC90" w14:textId="77777777">
            <w:pPr>
              <w:pStyle w:val="tablebody"/>
              <w:rPr>
                <w:rFonts w:cs="Arial"/>
                <w:b/>
                <w:sz w:val="14"/>
                <w:szCs w:val="14"/>
              </w:rPr>
            </w:pPr>
            <w:r w:rsidRPr="0088782A">
              <w:rPr>
                <w:rFonts w:cs="Arial"/>
                <w:b/>
                <w:sz w:val="14"/>
                <w:szCs w:val="14"/>
              </w:rPr>
              <w:t>Net result</w:t>
            </w:r>
          </w:p>
        </w:tc>
        <w:tc>
          <w:tcPr>
            <w:tcW w:w="837"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8F0BC3F" w14:textId="77777777">
            <w:pPr>
              <w:pStyle w:val="tablebody"/>
              <w:jc w:val="right"/>
              <w:rPr>
                <w:rFonts w:cs="Arial"/>
                <w:b/>
                <w:sz w:val="14"/>
                <w:szCs w:val="14"/>
              </w:rPr>
            </w:pPr>
            <w:r w:rsidRPr="0088782A">
              <w:rPr>
                <w:rFonts w:cs="Arial"/>
                <w:b/>
                <w:sz w:val="14"/>
                <w:szCs w:val="14"/>
              </w:rPr>
              <w:t xml:space="preserve">2,129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672B837" w14:textId="77777777">
            <w:pPr>
              <w:pStyle w:val="tablebody"/>
              <w:jc w:val="right"/>
              <w:rPr>
                <w:rFonts w:cs="Arial"/>
                <w:b/>
                <w:sz w:val="14"/>
                <w:szCs w:val="14"/>
              </w:rPr>
            </w:pPr>
            <w:r w:rsidRPr="0088782A">
              <w:rPr>
                <w:rFonts w:cs="Arial"/>
                <w:b/>
                <w:sz w:val="14"/>
                <w:szCs w:val="14"/>
              </w:rPr>
              <w:t xml:space="preserve">(819)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A12156F" w14:textId="77777777">
            <w:pPr>
              <w:pStyle w:val="tablebody"/>
              <w:jc w:val="right"/>
              <w:rPr>
                <w:rFonts w:cs="Arial"/>
                <w:b/>
                <w:sz w:val="14"/>
                <w:szCs w:val="14"/>
              </w:rPr>
            </w:pPr>
            <w:r w:rsidRPr="0088782A">
              <w:rPr>
                <w:rFonts w:cs="Arial"/>
                <w:b/>
                <w:sz w:val="14"/>
                <w:szCs w:val="14"/>
              </w:rPr>
              <w:t xml:space="preserve">(17,359)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2CD1C1E" w14:textId="77777777">
            <w:pPr>
              <w:pStyle w:val="tablebody"/>
              <w:jc w:val="right"/>
              <w:rPr>
                <w:rFonts w:cs="Arial"/>
                <w:b/>
                <w:sz w:val="14"/>
                <w:szCs w:val="14"/>
              </w:rPr>
            </w:pPr>
            <w:r w:rsidRPr="0088782A">
              <w:rPr>
                <w:rFonts w:cs="Arial"/>
                <w:b/>
                <w:sz w:val="14"/>
                <w:szCs w:val="14"/>
              </w:rPr>
              <w:t xml:space="preserve">28,781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1BC67BD" w14:textId="77777777">
            <w:pPr>
              <w:pStyle w:val="tablebody"/>
              <w:jc w:val="right"/>
              <w:rPr>
                <w:rFonts w:cs="Arial"/>
                <w:b/>
                <w:sz w:val="14"/>
                <w:szCs w:val="14"/>
              </w:rPr>
            </w:pPr>
            <w:r w:rsidRPr="0088782A">
              <w:rPr>
                <w:rFonts w:cs="Arial"/>
                <w:b/>
                <w:sz w:val="14"/>
                <w:szCs w:val="14"/>
              </w:rPr>
              <w:t xml:space="preserve">1,463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3E4AA62" w14:textId="77777777">
            <w:pPr>
              <w:pStyle w:val="tablebody"/>
              <w:jc w:val="right"/>
              <w:rPr>
                <w:rFonts w:cs="Arial"/>
                <w:b/>
                <w:sz w:val="14"/>
                <w:szCs w:val="14"/>
              </w:rPr>
            </w:pPr>
            <w:r w:rsidRPr="0088782A">
              <w:rPr>
                <w:rFonts w:cs="Arial"/>
                <w:b/>
                <w:sz w:val="14"/>
                <w:szCs w:val="14"/>
              </w:rPr>
              <w:t xml:space="preserve">(3,423)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6693A95" w14:textId="77777777">
            <w:pPr>
              <w:pStyle w:val="tablebody"/>
              <w:jc w:val="right"/>
              <w:rPr>
                <w:rFonts w:cs="Arial"/>
                <w:b/>
                <w:sz w:val="14"/>
                <w:szCs w:val="14"/>
              </w:rPr>
            </w:pPr>
            <w:r w:rsidRPr="0088782A">
              <w:rPr>
                <w:rFonts w:cs="Arial"/>
                <w:b/>
                <w:sz w:val="14"/>
                <w:szCs w:val="14"/>
              </w:rPr>
              <w:t xml:space="preserve">(38,952)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DF93CD2" w14:textId="77777777">
            <w:pPr>
              <w:pStyle w:val="tablebody"/>
              <w:jc w:val="right"/>
              <w:rPr>
                <w:rFonts w:cs="Arial"/>
                <w:b/>
                <w:sz w:val="14"/>
                <w:szCs w:val="14"/>
              </w:rPr>
            </w:pPr>
            <w:r w:rsidRPr="0088782A">
              <w:rPr>
                <w:rFonts w:cs="Arial"/>
                <w:b/>
                <w:sz w:val="14"/>
                <w:szCs w:val="14"/>
              </w:rPr>
              <w:t xml:space="preserve">4,833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D9F2432" w14:textId="77777777">
            <w:pPr>
              <w:pStyle w:val="tablebody"/>
              <w:jc w:val="right"/>
              <w:rPr>
                <w:rFonts w:cs="Arial"/>
                <w:b/>
                <w:sz w:val="14"/>
                <w:szCs w:val="14"/>
              </w:rPr>
            </w:pPr>
            <w:r w:rsidRPr="0088782A">
              <w:rPr>
                <w:rFonts w:cs="Arial"/>
                <w:b/>
                <w:sz w:val="14"/>
                <w:szCs w:val="14"/>
              </w:rPr>
              <w:t xml:space="preserve">(4,485)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D3C7F30" w14:textId="77777777">
            <w:pPr>
              <w:pStyle w:val="tablebody"/>
              <w:jc w:val="right"/>
              <w:rPr>
                <w:rFonts w:cs="Arial"/>
                <w:b/>
                <w:sz w:val="14"/>
                <w:szCs w:val="14"/>
              </w:rPr>
            </w:pPr>
            <w:r w:rsidRPr="0088782A">
              <w:rPr>
                <w:rFonts w:cs="Arial"/>
                <w:b/>
                <w:sz w:val="14"/>
                <w:szCs w:val="14"/>
              </w:rPr>
              <w:t xml:space="preserve">1,492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4E81300" w14:textId="77777777">
            <w:pPr>
              <w:pStyle w:val="tablebody"/>
              <w:jc w:val="right"/>
              <w:rPr>
                <w:rFonts w:cs="Arial"/>
                <w:b/>
                <w:sz w:val="14"/>
                <w:szCs w:val="14"/>
              </w:rPr>
            </w:pPr>
            <w:r w:rsidRPr="0088782A">
              <w:rPr>
                <w:rFonts w:cs="Arial"/>
                <w:b/>
                <w:sz w:val="14"/>
                <w:szCs w:val="14"/>
              </w:rPr>
              <w:t xml:space="preserve">45,257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62DDA8A" w14:textId="77777777">
            <w:pPr>
              <w:pStyle w:val="tablebody"/>
              <w:jc w:val="right"/>
              <w:rPr>
                <w:rFonts w:cs="Arial"/>
                <w:b/>
                <w:sz w:val="14"/>
                <w:szCs w:val="14"/>
              </w:rPr>
            </w:pPr>
            <w:r w:rsidRPr="0088782A">
              <w:rPr>
                <w:rFonts w:cs="Arial"/>
                <w:b/>
                <w:sz w:val="14"/>
                <w:szCs w:val="14"/>
              </w:rPr>
              <w:t xml:space="preserve">3,327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825BD6C" w14:textId="77777777">
            <w:pPr>
              <w:pStyle w:val="tablebody"/>
              <w:jc w:val="right"/>
              <w:rPr>
                <w:rFonts w:cs="Arial"/>
                <w:b/>
                <w:sz w:val="14"/>
                <w:szCs w:val="14"/>
              </w:rPr>
            </w:pPr>
            <w:r w:rsidRPr="0088782A">
              <w:rPr>
                <w:rFonts w:cs="Arial"/>
                <w:b/>
                <w:sz w:val="14"/>
                <w:szCs w:val="14"/>
              </w:rPr>
              <w:t xml:space="preserve">(13,947)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AE0912D" w14:textId="77777777">
            <w:pPr>
              <w:pStyle w:val="tablebody"/>
              <w:jc w:val="right"/>
              <w:rPr>
                <w:rFonts w:cs="Arial"/>
                <w:b/>
                <w:sz w:val="14"/>
                <w:szCs w:val="14"/>
              </w:rPr>
            </w:pPr>
            <w:r w:rsidRPr="0088782A">
              <w:rPr>
                <w:rFonts w:cs="Arial"/>
                <w:b/>
                <w:sz w:val="14"/>
                <w:szCs w:val="14"/>
              </w:rPr>
              <w:t xml:space="preserve">(4,367)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42E6D5A" w14:textId="77777777">
            <w:pPr>
              <w:pStyle w:val="tablebody"/>
              <w:jc w:val="right"/>
              <w:rPr>
                <w:rFonts w:cs="Arial"/>
                <w:b/>
                <w:sz w:val="14"/>
                <w:szCs w:val="14"/>
              </w:rPr>
            </w:pPr>
            <w:r w:rsidRPr="0088782A">
              <w:rPr>
                <w:rFonts w:cs="Arial"/>
                <w:b/>
                <w:sz w:val="14"/>
                <w:szCs w:val="14"/>
              </w:rPr>
              <w:t xml:space="preserve">(25,894)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425CEDD" w14:textId="77777777">
            <w:pPr>
              <w:pStyle w:val="tablebody"/>
              <w:jc w:val="right"/>
              <w:rPr>
                <w:rFonts w:cs="Arial"/>
                <w:b/>
                <w:sz w:val="14"/>
                <w:szCs w:val="14"/>
              </w:rPr>
            </w:pPr>
            <w:r w:rsidRPr="0088782A">
              <w:rPr>
                <w:rFonts w:cs="Arial"/>
                <w:b/>
                <w:sz w:val="14"/>
                <w:szCs w:val="14"/>
              </w:rPr>
              <w:t xml:space="preserve">29,824 </w:t>
            </w:r>
          </w:p>
        </w:tc>
      </w:tr>
      <w:tr w:rsidRPr="0088782A" w:rsidR="00045808" w:rsidTr="00CC210C" w14:paraId="5A0058DE" w14:textId="77777777">
        <w:tc>
          <w:tcPr>
            <w:tcW w:w="16160" w:type="dxa"/>
            <w:gridSpan w:val="18"/>
            <w:tcBorders>
              <w:top w:val="single" w:color="000000" w:sz="12" w:space="0"/>
              <w:left w:val="nil"/>
              <w:bottom w:val="nil"/>
              <w:right w:val="nil"/>
            </w:tcBorders>
            <w:tcMar>
              <w:top w:w="28" w:type="dxa"/>
              <w:left w:w="0" w:type="dxa"/>
              <w:bottom w:w="28" w:type="dxa"/>
              <w:right w:w="0" w:type="dxa"/>
            </w:tcMar>
            <w:vAlign w:val="bottom"/>
          </w:tcPr>
          <w:p w:rsidRPr="0088782A" w:rsidR="00045808" w:rsidP="00535DCC" w:rsidRDefault="00045808" w14:paraId="7DC06C1C" w14:textId="77777777">
            <w:pPr>
              <w:pStyle w:val="tablebody"/>
              <w:rPr>
                <w:rFonts w:cs="Arial"/>
                <w:b/>
                <w:sz w:val="14"/>
                <w:szCs w:val="14"/>
              </w:rPr>
            </w:pPr>
            <w:r w:rsidRPr="0088782A">
              <w:rPr>
                <w:rFonts w:cs="Arial"/>
                <w:b/>
                <w:sz w:val="14"/>
                <w:szCs w:val="14"/>
              </w:rPr>
              <w:t>Other economic flows - other comprehensive income</w:t>
            </w:r>
          </w:p>
        </w:tc>
      </w:tr>
      <w:tr w:rsidRPr="0088782A" w:rsidR="00535DCC" w:rsidTr="00CC210C" w14:paraId="5904475E" w14:textId="77777777">
        <w:tc>
          <w:tcPr>
            <w:tcW w:w="142" w:type="dxa"/>
            <w:tcBorders>
              <w:top w:val="nil"/>
              <w:left w:val="nil"/>
              <w:bottom w:val="nil"/>
              <w:right w:val="nil"/>
            </w:tcBorders>
            <w:tcMar>
              <w:top w:w="0" w:type="dxa"/>
              <w:left w:w="0" w:type="dxa"/>
              <w:bottom w:w="28" w:type="dxa"/>
              <w:right w:w="0" w:type="dxa"/>
            </w:tcMar>
            <w:vAlign w:val="bottom"/>
          </w:tcPr>
          <w:p w:rsidRPr="0088782A" w:rsidR="00535DCC" w:rsidP="00045808" w:rsidRDefault="00535DCC" w14:paraId="5A5E2FA9" w14:textId="77777777">
            <w:pPr>
              <w:pStyle w:val="tablebody"/>
              <w:rPr>
                <w:rFonts w:cs="Arial"/>
                <w:b/>
                <w:sz w:val="14"/>
                <w:szCs w:val="14"/>
                <w:lang w:val="en-US"/>
              </w:rPr>
            </w:pPr>
          </w:p>
        </w:tc>
        <w:tc>
          <w:tcPr>
            <w:tcW w:w="16018" w:type="dxa"/>
            <w:gridSpan w:val="17"/>
            <w:tcBorders>
              <w:top w:val="nil"/>
              <w:left w:val="nil"/>
              <w:bottom w:val="nil"/>
              <w:right w:val="nil"/>
            </w:tcBorders>
            <w:tcMar>
              <w:top w:w="0" w:type="dxa"/>
              <w:left w:w="0" w:type="dxa"/>
              <w:bottom w:w="28" w:type="dxa"/>
              <w:right w:w="0" w:type="dxa"/>
            </w:tcMar>
            <w:vAlign w:val="bottom"/>
          </w:tcPr>
          <w:p w:rsidRPr="0088782A" w:rsidR="00535DCC" w:rsidP="00535DCC" w:rsidRDefault="00535DCC" w14:paraId="212D117A" w14:textId="342D4929">
            <w:pPr>
              <w:pStyle w:val="tablebody"/>
              <w:rPr>
                <w:rFonts w:cs="Arial"/>
                <w:b/>
                <w:sz w:val="14"/>
                <w:szCs w:val="14"/>
                <w:lang w:val="en-US"/>
              </w:rPr>
            </w:pPr>
            <w:r w:rsidRPr="0088782A">
              <w:rPr>
                <w:rFonts w:cs="Arial"/>
                <w:b/>
                <w:sz w:val="14"/>
                <w:szCs w:val="14"/>
              </w:rPr>
              <w:t>Items that will not be reclassified to net result</w:t>
            </w:r>
          </w:p>
        </w:tc>
      </w:tr>
      <w:tr w:rsidRPr="00045808" w:rsidR="00535DCC" w:rsidTr="00CC210C" w14:paraId="0FA2A367" w14:textId="77777777">
        <w:tc>
          <w:tcPr>
            <w:tcW w:w="142"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1432B705" w14:textId="77777777">
            <w:pPr>
              <w:pStyle w:val="tablebody"/>
              <w:rPr>
                <w:rFonts w:cs="Arial"/>
                <w:sz w:val="14"/>
                <w:szCs w:val="14"/>
                <w:lang w:val="en-US"/>
              </w:rPr>
            </w:pPr>
          </w:p>
        </w:tc>
        <w:tc>
          <w:tcPr>
            <w:tcW w:w="2424"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78A3F46F" w14:textId="77777777">
            <w:pPr>
              <w:pStyle w:val="tablebody"/>
              <w:rPr>
                <w:rFonts w:cs="Arial"/>
                <w:sz w:val="14"/>
                <w:szCs w:val="14"/>
              </w:rPr>
            </w:pPr>
            <w:r w:rsidRPr="00045808">
              <w:rPr>
                <w:rFonts w:cs="Arial"/>
                <w:sz w:val="14"/>
                <w:szCs w:val="14"/>
              </w:rPr>
              <w:t>Changes in physical asset revaluation surplus</w:t>
            </w:r>
          </w:p>
        </w:tc>
        <w:tc>
          <w:tcPr>
            <w:tcW w:w="837"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4E53A50" w14:textId="77777777">
            <w:pPr>
              <w:pStyle w:val="tablebody"/>
              <w:jc w:val="right"/>
              <w:rPr>
                <w:rFonts w:cs="Arial"/>
                <w:sz w:val="14"/>
                <w:szCs w:val="14"/>
              </w:rPr>
            </w:pPr>
            <w:r w:rsidRPr="00045808">
              <w:rPr>
                <w:rFonts w:cs="Arial"/>
                <w:sz w:val="14"/>
                <w:szCs w:val="14"/>
              </w:rPr>
              <w:t xml:space="preserve">1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8FAEFCC" w14:textId="77777777">
            <w:pPr>
              <w:pStyle w:val="tablebody"/>
              <w:jc w:val="right"/>
              <w:rPr>
                <w:rFonts w:cs="Arial"/>
                <w:sz w:val="14"/>
                <w:szCs w:val="14"/>
              </w:rPr>
            </w:pPr>
            <w:r w:rsidRPr="00045808">
              <w:rPr>
                <w:rFonts w:cs="Arial"/>
                <w:sz w:val="14"/>
                <w:szCs w:val="14"/>
              </w:rPr>
              <w:t xml:space="preserve">1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DCE2BB1" w14:textId="77777777">
            <w:pPr>
              <w:pStyle w:val="tablebody"/>
              <w:jc w:val="right"/>
              <w:rPr>
                <w:rFonts w:cs="Arial"/>
                <w:sz w:val="14"/>
                <w:szCs w:val="14"/>
              </w:rPr>
            </w:pPr>
            <w:r w:rsidRPr="00045808">
              <w:rPr>
                <w:rFonts w:cs="Arial"/>
                <w:sz w:val="14"/>
                <w:szCs w:val="14"/>
              </w:rPr>
              <w:t xml:space="preserve">93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96F0330" w14:textId="77777777">
            <w:pPr>
              <w:pStyle w:val="tablebody"/>
              <w:jc w:val="right"/>
              <w:rPr>
                <w:rFonts w:cs="Arial"/>
                <w:sz w:val="14"/>
                <w:szCs w:val="14"/>
              </w:rPr>
            </w:pPr>
            <w:r w:rsidRPr="00045808">
              <w:rPr>
                <w:rFonts w:cs="Arial"/>
                <w:sz w:val="14"/>
                <w:szCs w:val="14"/>
              </w:rPr>
              <w:t xml:space="preserve">(49,306)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2DA12C5" w14:textId="77777777">
            <w:pPr>
              <w:pStyle w:val="tablebody"/>
              <w:jc w:val="right"/>
              <w:rPr>
                <w:rFonts w:cs="Arial"/>
                <w:sz w:val="14"/>
                <w:szCs w:val="14"/>
              </w:rPr>
            </w:pPr>
            <w:r w:rsidRPr="00045808">
              <w:rPr>
                <w:rFonts w:cs="Arial"/>
                <w:sz w:val="14"/>
                <w:szCs w:val="14"/>
              </w:rPr>
              <w:t xml:space="preserve">(61)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30ECA3D"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9714242" w14:textId="77777777">
            <w:pPr>
              <w:pStyle w:val="tablebody"/>
              <w:jc w:val="right"/>
              <w:rPr>
                <w:rFonts w:cs="Arial"/>
                <w:sz w:val="14"/>
                <w:szCs w:val="14"/>
              </w:rPr>
            </w:pPr>
            <w:r w:rsidRPr="00045808">
              <w:rPr>
                <w:rFonts w:cs="Arial"/>
                <w:sz w:val="14"/>
                <w:szCs w:val="14"/>
              </w:rPr>
              <w:t xml:space="preserve">(9)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59078503" w14:textId="77777777">
            <w:pPr>
              <w:pStyle w:val="tablebody"/>
              <w:jc w:val="right"/>
              <w:rPr>
                <w:rFonts w:cs="Arial"/>
                <w:sz w:val="14"/>
                <w:szCs w:val="14"/>
              </w:rPr>
            </w:pPr>
            <w:r w:rsidRPr="00045808">
              <w:rPr>
                <w:rFonts w:cs="Arial"/>
                <w:sz w:val="14"/>
                <w:szCs w:val="14"/>
              </w:rPr>
              <w:t xml:space="preserve">(14)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086B649" w14:textId="77777777">
            <w:pPr>
              <w:pStyle w:val="tablebody"/>
              <w:jc w:val="right"/>
              <w:rPr>
                <w:rFonts w:cs="Arial"/>
                <w:sz w:val="14"/>
                <w:szCs w:val="14"/>
              </w:rPr>
            </w:pPr>
            <w:r w:rsidRPr="00045808">
              <w:rPr>
                <w:rFonts w:cs="Arial"/>
                <w:sz w:val="14"/>
                <w:szCs w:val="14"/>
              </w:rPr>
              <w:t xml:space="preserve">(5)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B0BBB1B" w14:textId="77777777">
            <w:pPr>
              <w:pStyle w:val="tablebody"/>
              <w:jc w:val="right"/>
              <w:rPr>
                <w:rFonts w:cs="Arial"/>
                <w:sz w:val="14"/>
                <w:szCs w:val="14"/>
              </w:rPr>
            </w:pPr>
            <w:r w:rsidRPr="00045808">
              <w:rPr>
                <w:rFonts w:cs="Arial"/>
                <w:sz w:val="14"/>
                <w:szCs w:val="14"/>
              </w:rPr>
              <w:t xml:space="preserve">(5)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C15B135" w14:textId="77777777">
            <w:pPr>
              <w:pStyle w:val="tablebody"/>
              <w:jc w:val="right"/>
              <w:rPr>
                <w:rFonts w:cs="Arial"/>
                <w:sz w:val="14"/>
                <w:szCs w:val="14"/>
              </w:rPr>
            </w:pPr>
            <w:r w:rsidRPr="00045808">
              <w:rPr>
                <w:rFonts w:cs="Arial"/>
                <w:sz w:val="14"/>
                <w:szCs w:val="14"/>
              </w:rPr>
              <w:t xml:space="preserve">(15)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573C1326" w14:textId="77777777">
            <w:pPr>
              <w:pStyle w:val="tablebody"/>
              <w:jc w:val="right"/>
              <w:rPr>
                <w:rFonts w:cs="Arial"/>
                <w:sz w:val="14"/>
                <w:szCs w:val="14"/>
              </w:rPr>
            </w:pPr>
            <w:r w:rsidRPr="00045808">
              <w:rPr>
                <w:rFonts w:cs="Arial"/>
                <w:sz w:val="14"/>
                <w:szCs w:val="14"/>
              </w:rPr>
              <w:t xml:space="preserve">342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6B76AED" w14:textId="77777777">
            <w:pPr>
              <w:pStyle w:val="tablebody"/>
              <w:jc w:val="right"/>
              <w:rPr>
                <w:rFonts w:cs="Arial"/>
                <w:sz w:val="14"/>
                <w:szCs w:val="14"/>
              </w:rPr>
            </w:pPr>
            <w:r w:rsidRPr="00045808">
              <w:rPr>
                <w:rFonts w:cs="Arial"/>
                <w:sz w:val="14"/>
                <w:szCs w:val="14"/>
              </w:rPr>
              <w:t xml:space="preserve">(4)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58DE2EF" w14:textId="77777777">
            <w:pPr>
              <w:pStyle w:val="tablebody"/>
              <w:jc w:val="right"/>
              <w:rPr>
                <w:rFonts w:cs="Arial"/>
                <w:sz w:val="14"/>
                <w:szCs w:val="14"/>
              </w:rPr>
            </w:pPr>
            <w:r w:rsidRPr="00045808">
              <w:rPr>
                <w:rFonts w:cs="Arial"/>
                <w:sz w:val="14"/>
                <w:szCs w:val="14"/>
              </w:rPr>
              <w:t xml:space="preserve">(2)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F47C6B0" w14:textId="77777777">
            <w:pPr>
              <w:pStyle w:val="tablebody"/>
              <w:jc w:val="right"/>
              <w:rPr>
                <w:rFonts w:cs="Arial"/>
                <w:sz w:val="14"/>
                <w:szCs w:val="14"/>
              </w:rPr>
            </w:pPr>
            <w:r w:rsidRPr="00045808">
              <w:rPr>
                <w:rFonts w:cs="Arial"/>
                <w:sz w:val="14"/>
                <w:szCs w:val="14"/>
              </w:rPr>
              <w:t xml:space="preserve">0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F9E1BF1" w14:textId="77777777">
            <w:pPr>
              <w:pStyle w:val="tablebody"/>
              <w:jc w:val="right"/>
              <w:rPr>
                <w:rFonts w:cs="Arial"/>
                <w:sz w:val="14"/>
                <w:szCs w:val="14"/>
              </w:rPr>
            </w:pPr>
            <w:r w:rsidRPr="00045808">
              <w:rPr>
                <w:rFonts w:cs="Arial"/>
                <w:sz w:val="14"/>
                <w:szCs w:val="14"/>
              </w:rPr>
              <w:t xml:space="preserve">(48,984) </w:t>
            </w:r>
          </w:p>
        </w:tc>
      </w:tr>
      <w:tr w:rsidRPr="0088782A" w:rsidR="00535DCC" w:rsidTr="00CC210C" w14:paraId="58583043" w14:textId="77777777">
        <w:tc>
          <w:tcPr>
            <w:tcW w:w="2566" w:type="dxa"/>
            <w:gridSpan w:val="2"/>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6D635865" w14:textId="77777777">
            <w:pPr>
              <w:pStyle w:val="tablebody"/>
              <w:rPr>
                <w:rFonts w:cs="Arial"/>
                <w:b/>
                <w:sz w:val="14"/>
                <w:szCs w:val="14"/>
              </w:rPr>
            </w:pPr>
            <w:r w:rsidRPr="0088782A">
              <w:rPr>
                <w:rFonts w:cs="Arial"/>
                <w:b/>
                <w:sz w:val="14"/>
                <w:szCs w:val="14"/>
              </w:rPr>
              <w:t>Total other economic flows - other comprehensive income</w:t>
            </w:r>
          </w:p>
        </w:tc>
        <w:tc>
          <w:tcPr>
            <w:tcW w:w="837"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742FA74" w14:textId="77777777">
            <w:pPr>
              <w:pStyle w:val="tablebody"/>
              <w:jc w:val="right"/>
              <w:rPr>
                <w:rFonts w:cs="Arial"/>
                <w:b/>
                <w:sz w:val="14"/>
                <w:szCs w:val="14"/>
              </w:rPr>
            </w:pPr>
            <w:r w:rsidRPr="0088782A">
              <w:rPr>
                <w:rFonts w:cs="Arial"/>
                <w:b/>
                <w:sz w:val="14"/>
                <w:szCs w:val="14"/>
              </w:rPr>
              <w:t xml:space="preserve">1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F8EED02" w14:textId="77777777">
            <w:pPr>
              <w:pStyle w:val="tablebody"/>
              <w:jc w:val="right"/>
              <w:rPr>
                <w:rFonts w:cs="Arial"/>
                <w:b/>
                <w:sz w:val="14"/>
                <w:szCs w:val="14"/>
              </w:rPr>
            </w:pPr>
            <w:r w:rsidRPr="0088782A">
              <w:rPr>
                <w:rFonts w:cs="Arial"/>
                <w:b/>
                <w:sz w:val="14"/>
                <w:szCs w:val="14"/>
              </w:rPr>
              <w:t xml:space="preserve">1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92760C3" w14:textId="77777777">
            <w:pPr>
              <w:pStyle w:val="tablebody"/>
              <w:jc w:val="right"/>
              <w:rPr>
                <w:rFonts w:cs="Arial"/>
                <w:b/>
                <w:sz w:val="14"/>
                <w:szCs w:val="14"/>
              </w:rPr>
            </w:pPr>
            <w:r w:rsidRPr="0088782A">
              <w:rPr>
                <w:rFonts w:cs="Arial"/>
                <w:b/>
                <w:sz w:val="14"/>
                <w:szCs w:val="14"/>
              </w:rPr>
              <w:t xml:space="preserve">93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6B7D634" w14:textId="77777777">
            <w:pPr>
              <w:pStyle w:val="tablebody"/>
              <w:jc w:val="right"/>
              <w:rPr>
                <w:rFonts w:cs="Arial"/>
                <w:b/>
                <w:sz w:val="14"/>
                <w:szCs w:val="14"/>
              </w:rPr>
            </w:pPr>
            <w:r w:rsidRPr="0088782A">
              <w:rPr>
                <w:rFonts w:cs="Arial"/>
                <w:b/>
                <w:sz w:val="14"/>
                <w:szCs w:val="14"/>
              </w:rPr>
              <w:t xml:space="preserve">(49,306)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5A18007" w14:textId="77777777">
            <w:pPr>
              <w:pStyle w:val="tablebody"/>
              <w:jc w:val="right"/>
              <w:rPr>
                <w:rFonts w:cs="Arial"/>
                <w:b/>
                <w:sz w:val="14"/>
                <w:szCs w:val="14"/>
              </w:rPr>
            </w:pPr>
            <w:r w:rsidRPr="0088782A">
              <w:rPr>
                <w:rFonts w:cs="Arial"/>
                <w:b/>
                <w:sz w:val="14"/>
                <w:szCs w:val="14"/>
              </w:rPr>
              <w:t xml:space="preserve">(61)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FB95F0B" w14:textId="77777777">
            <w:pPr>
              <w:pStyle w:val="tablebody"/>
              <w:jc w:val="right"/>
              <w:rPr>
                <w:rFonts w:cs="Arial"/>
                <w:b/>
                <w:sz w:val="14"/>
                <w:szCs w:val="14"/>
              </w:rPr>
            </w:pPr>
            <w:r w:rsidRPr="0088782A">
              <w:rPr>
                <w:rFonts w:cs="Arial"/>
                <w:b/>
                <w:sz w:val="14"/>
                <w:szCs w:val="14"/>
              </w:rPr>
              <w:t xml:space="preserve">0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57FDBF2" w14:textId="77777777">
            <w:pPr>
              <w:pStyle w:val="tablebody"/>
              <w:jc w:val="right"/>
              <w:rPr>
                <w:rFonts w:cs="Arial"/>
                <w:b/>
                <w:sz w:val="14"/>
                <w:szCs w:val="14"/>
              </w:rPr>
            </w:pPr>
            <w:r w:rsidRPr="0088782A">
              <w:rPr>
                <w:rFonts w:cs="Arial"/>
                <w:b/>
                <w:sz w:val="14"/>
                <w:szCs w:val="14"/>
              </w:rPr>
              <w:t xml:space="preserve">(9)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525C089" w14:textId="77777777">
            <w:pPr>
              <w:pStyle w:val="tablebody"/>
              <w:jc w:val="right"/>
              <w:rPr>
                <w:rFonts w:cs="Arial"/>
                <w:b/>
                <w:sz w:val="14"/>
                <w:szCs w:val="14"/>
              </w:rPr>
            </w:pPr>
            <w:r w:rsidRPr="0088782A">
              <w:rPr>
                <w:rFonts w:cs="Arial"/>
                <w:b/>
                <w:sz w:val="14"/>
                <w:szCs w:val="14"/>
              </w:rPr>
              <w:t xml:space="preserve">(14)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45817A5" w14:textId="77777777">
            <w:pPr>
              <w:pStyle w:val="tablebody"/>
              <w:jc w:val="right"/>
              <w:rPr>
                <w:rFonts w:cs="Arial"/>
                <w:b/>
                <w:sz w:val="14"/>
                <w:szCs w:val="14"/>
              </w:rPr>
            </w:pPr>
            <w:r w:rsidRPr="0088782A">
              <w:rPr>
                <w:rFonts w:cs="Arial"/>
                <w:b/>
                <w:sz w:val="14"/>
                <w:szCs w:val="14"/>
              </w:rPr>
              <w:t xml:space="preserve">(5)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28FE08C" w14:textId="77777777">
            <w:pPr>
              <w:pStyle w:val="tablebody"/>
              <w:jc w:val="right"/>
              <w:rPr>
                <w:rFonts w:cs="Arial"/>
                <w:b/>
                <w:sz w:val="14"/>
                <w:szCs w:val="14"/>
              </w:rPr>
            </w:pPr>
            <w:r w:rsidRPr="0088782A">
              <w:rPr>
                <w:rFonts w:cs="Arial"/>
                <w:b/>
                <w:sz w:val="14"/>
                <w:szCs w:val="14"/>
              </w:rPr>
              <w:t xml:space="preserve">(5)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4A618E6" w14:textId="77777777">
            <w:pPr>
              <w:pStyle w:val="tablebody"/>
              <w:jc w:val="right"/>
              <w:rPr>
                <w:rFonts w:cs="Arial"/>
                <w:b/>
                <w:sz w:val="14"/>
                <w:szCs w:val="14"/>
              </w:rPr>
            </w:pPr>
            <w:r w:rsidRPr="0088782A">
              <w:rPr>
                <w:rFonts w:cs="Arial"/>
                <w:b/>
                <w:sz w:val="14"/>
                <w:szCs w:val="14"/>
              </w:rPr>
              <w:t xml:space="preserve">(15)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31618AF" w14:textId="77777777">
            <w:pPr>
              <w:pStyle w:val="tablebody"/>
              <w:jc w:val="right"/>
              <w:rPr>
                <w:rFonts w:cs="Arial"/>
                <w:b/>
                <w:sz w:val="14"/>
                <w:szCs w:val="14"/>
              </w:rPr>
            </w:pPr>
            <w:r w:rsidRPr="0088782A">
              <w:rPr>
                <w:rFonts w:cs="Arial"/>
                <w:b/>
                <w:sz w:val="14"/>
                <w:szCs w:val="14"/>
              </w:rPr>
              <w:t xml:space="preserve">342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1BD9EFC" w14:textId="77777777">
            <w:pPr>
              <w:pStyle w:val="tablebody"/>
              <w:jc w:val="right"/>
              <w:rPr>
                <w:rFonts w:cs="Arial"/>
                <w:b/>
                <w:sz w:val="14"/>
                <w:szCs w:val="14"/>
              </w:rPr>
            </w:pPr>
            <w:r w:rsidRPr="0088782A">
              <w:rPr>
                <w:rFonts w:cs="Arial"/>
                <w:b/>
                <w:sz w:val="14"/>
                <w:szCs w:val="14"/>
              </w:rPr>
              <w:t xml:space="preserve">(4)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288DFDF" w14:textId="77777777">
            <w:pPr>
              <w:pStyle w:val="tablebody"/>
              <w:jc w:val="right"/>
              <w:rPr>
                <w:rFonts w:cs="Arial"/>
                <w:b/>
                <w:sz w:val="14"/>
                <w:szCs w:val="14"/>
              </w:rPr>
            </w:pPr>
            <w:r w:rsidRPr="0088782A">
              <w:rPr>
                <w:rFonts w:cs="Arial"/>
                <w:b/>
                <w:sz w:val="14"/>
                <w:szCs w:val="14"/>
              </w:rPr>
              <w:t xml:space="preserve">(2)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80152F0" w14:textId="77777777">
            <w:pPr>
              <w:pStyle w:val="tablebody"/>
              <w:jc w:val="right"/>
              <w:rPr>
                <w:rFonts w:cs="Arial"/>
                <w:b/>
                <w:sz w:val="14"/>
                <w:szCs w:val="14"/>
              </w:rPr>
            </w:pPr>
            <w:r w:rsidRPr="0088782A">
              <w:rPr>
                <w:rFonts w:cs="Arial"/>
                <w:b/>
                <w:sz w:val="14"/>
                <w:szCs w:val="14"/>
              </w:rPr>
              <w:t xml:space="preserve">0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5D786B9" w14:textId="77777777">
            <w:pPr>
              <w:pStyle w:val="tablebody"/>
              <w:jc w:val="right"/>
              <w:rPr>
                <w:rFonts w:cs="Arial"/>
                <w:b/>
                <w:sz w:val="14"/>
                <w:szCs w:val="14"/>
              </w:rPr>
            </w:pPr>
            <w:r w:rsidRPr="0088782A">
              <w:rPr>
                <w:rFonts w:cs="Arial"/>
                <w:b/>
                <w:sz w:val="14"/>
                <w:szCs w:val="14"/>
              </w:rPr>
              <w:t xml:space="preserve">(48,984) </w:t>
            </w:r>
          </w:p>
        </w:tc>
      </w:tr>
      <w:tr w:rsidRPr="0088782A" w:rsidR="00535DCC" w:rsidTr="00CC210C" w14:paraId="4D8DD823" w14:textId="77777777">
        <w:tc>
          <w:tcPr>
            <w:tcW w:w="2566" w:type="dxa"/>
            <w:gridSpan w:val="2"/>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4A405800" w14:textId="77777777">
            <w:pPr>
              <w:pStyle w:val="tablebody"/>
              <w:rPr>
                <w:rFonts w:cs="Arial"/>
                <w:b/>
                <w:sz w:val="14"/>
                <w:szCs w:val="14"/>
              </w:rPr>
            </w:pPr>
            <w:r w:rsidRPr="0088782A">
              <w:rPr>
                <w:rFonts w:cs="Arial"/>
                <w:b/>
                <w:sz w:val="14"/>
                <w:szCs w:val="14"/>
              </w:rPr>
              <w:t>Comprehensive result</w:t>
            </w:r>
          </w:p>
        </w:tc>
        <w:tc>
          <w:tcPr>
            <w:tcW w:w="837"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17CD3CA" w14:textId="77777777">
            <w:pPr>
              <w:pStyle w:val="tablebody"/>
              <w:jc w:val="right"/>
              <w:rPr>
                <w:rFonts w:cs="Arial"/>
                <w:b/>
                <w:sz w:val="14"/>
                <w:szCs w:val="14"/>
              </w:rPr>
            </w:pPr>
            <w:r w:rsidRPr="0088782A">
              <w:rPr>
                <w:rFonts w:cs="Arial"/>
                <w:b/>
                <w:sz w:val="14"/>
                <w:szCs w:val="14"/>
              </w:rPr>
              <w:t xml:space="preserve">2,130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CD5B36A" w14:textId="77777777">
            <w:pPr>
              <w:pStyle w:val="tablebody"/>
              <w:jc w:val="right"/>
              <w:rPr>
                <w:rFonts w:cs="Arial"/>
                <w:b/>
                <w:sz w:val="14"/>
                <w:szCs w:val="14"/>
              </w:rPr>
            </w:pPr>
            <w:r w:rsidRPr="0088782A">
              <w:rPr>
                <w:rFonts w:cs="Arial"/>
                <w:b/>
                <w:sz w:val="14"/>
                <w:szCs w:val="14"/>
              </w:rPr>
              <w:t xml:space="preserve">(818)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D50CAD7" w14:textId="77777777">
            <w:pPr>
              <w:pStyle w:val="tablebody"/>
              <w:jc w:val="right"/>
              <w:rPr>
                <w:rFonts w:cs="Arial"/>
                <w:b/>
                <w:sz w:val="14"/>
                <w:szCs w:val="14"/>
              </w:rPr>
            </w:pPr>
            <w:r w:rsidRPr="0088782A">
              <w:rPr>
                <w:rFonts w:cs="Arial"/>
                <w:b/>
                <w:sz w:val="14"/>
                <w:szCs w:val="14"/>
              </w:rPr>
              <w:t xml:space="preserve">(17,266)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F827212" w14:textId="77777777">
            <w:pPr>
              <w:pStyle w:val="tablebody"/>
              <w:jc w:val="right"/>
              <w:rPr>
                <w:rFonts w:cs="Arial"/>
                <w:b/>
                <w:sz w:val="14"/>
                <w:szCs w:val="14"/>
              </w:rPr>
            </w:pPr>
            <w:r w:rsidRPr="0088782A">
              <w:rPr>
                <w:rFonts w:cs="Arial"/>
                <w:b/>
                <w:sz w:val="14"/>
                <w:szCs w:val="14"/>
              </w:rPr>
              <w:t xml:space="preserve">(20,525)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A5EFFD2" w14:textId="77777777">
            <w:pPr>
              <w:pStyle w:val="tablebody"/>
              <w:jc w:val="right"/>
              <w:rPr>
                <w:rFonts w:cs="Arial"/>
                <w:b/>
                <w:sz w:val="14"/>
                <w:szCs w:val="14"/>
              </w:rPr>
            </w:pPr>
            <w:r w:rsidRPr="0088782A">
              <w:rPr>
                <w:rFonts w:cs="Arial"/>
                <w:b/>
                <w:sz w:val="14"/>
                <w:szCs w:val="14"/>
              </w:rPr>
              <w:t xml:space="preserve">1,402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988E89E" w14:textId="77777777">
            <w:pPr>
              <w:pStyle w:val="tablebody"/>
              <w:jc w:val="right"/>
              <w:rPr>
                <w:rFonts w:cs="Arial"/>
                <w:b/>
                <w:sz w:val="14"/>
                <w:szCs w:val="14"/>
              </w:rPr>
            </w:pPr>
            <w:r w:rsidRPr="0088782A">
              <w:rPr>
                <w:rFonts w:cs="Arial"/>
                <w:b/>
                <w:sz w:val="14"/>
                <w:szCs w:val="14"/>
              </w:rPr>
              <w:t xml:space="preserve">(3,423)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450BA42" w14:textId="77777777">
            <w:pPr>
              <w:pStyle w:val="tablebody"/>
              <w:jc w:val="right"/>
              <w:rPr>
                <w:rFonts w:cs="Arial"/>
                <w:b/>
                <w:sz w:val="14"/>
                <w:szCs w:val="14"/>
              </w:rPr>
            </w:pPr>
            <w:r w:rsidRPr="0088782A">
              <w:rPr>
                <w:rFonts w:cs="Arial"/>
                <w:b/>
                <w:sz w:val="14"/>
                <w:szCs w:val="14"/>
              </w:rPr>
              <w:t xml:space="preserve">(38,961)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8064D0C" w14:textId="77777777">
            <w:pPr>
              <w:pStyle w:val="tablebody"/>
              <w:jc w:val="right"/>
              <w:rPr>
                <w:rFonts w:cs="Arial"/>
                <w:b/>
                <w:sz w:val="14"/>
                <w:szCs w:val="14"/>
              </w:rPr>
            </w:pPr>
            <w:r w:rsidRPr="0088782A">
              <w:rPr>
                <w:rFonts w:cs="Arial"/>
                <w:b/>
                <w:sz w:val="14"/>
                <w:szCs w:val="14"/>
              </w:rPr>
              <w:t xml:space="preserve">4,819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4C67B62" w14:textId="77777777">
            <w:pPr>
              <w:pStyle w:val="tablebody"/>
              <w:jc w:val="right"/>
              <w:rPr>
                <w:rFonts w:cs="Arial"/>
                <w:b/>
                <w:sz w:val="14"/>
                <w:szCs w:val="14"/>
              </w:rPr>
            </w:pPr>
            <w:r w:rsidRPr="0088782A">
              <w:rPr>
                <w:rFonts w:cs="Arial"/>
                <w:b/>
                <w:sz w:val="14"/>
                <w:szCs w:val="14"/>
              </w:rPr>
              <w:t xml:space="preserve">(4,490)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D783705" w14:textId="77777777">
            <w:pPr>
              <w:pStyle w:val="tablebody"/>
              <w:jc w:val="right"/>
              <w:rPr>
                <w:rFonts w:cs="Arial"/>
                <w:b/>
                <w:sz w:val="14"/>
                <w:szCs w:val="14"/>
              </w:rPr>
            </w:pPr>
            <w:r w:rsidRPr="0088782A">
              <w:rPr>
                <w:rFonts w:cs="Arial"/>
                <w:b/>
                <w:sz w:val="14"/>
                <w:szCs w:val="14"/>
              </w:rPr>
              <w:t xml:space="preserve">1,487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7E37B2E" w14:textId="77777777">
            <w:pPr>
              <w:pStyle w:val="tablebody"/>
              <w:jc w:val="right"/>
              <w:rPr>
                <w:rFonts w:cs="Arial"/>
                <w:b/>
                <w:sz w:val="14"/>
                <w:szCs w:val="14"/>
              </w:rPr>
            </w:pPr>
            <w:r w:rsidRPr="0088782A">
              <w:rPr>
                <w:rFonts w:cs="Arial"/>
                <w:b/>
                <w:sz w:val="14"/>
                <w:szCs w:val="14"/>
              </w:rPr>
              <w:t xml:space="preserve">45,242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CF96EAC" w14:textId="77777777">
            <w:pPr>
              <w:pStyle w:val="tablebody"/>
              <w:jc w:val="right"/>
              <w:rPr>
                <w:rFonts w:cs="Arial"/>
                <w:b/>
                <w:sz w:val="14"/>
                <w:szCs w:val="14"/>
              </w:rPr>
            </w:pPr>
            <w:r w:rsidRPr="0088782A">
              <w:rPr>
                <w:rFonts w:cs="Arial"/>
                <w:b/>
                <w:sz w:val="14"/>
                <w:szCs w:val="14"/>
              </w:rPr>
              <w:t xml:space="preserve">3,669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817A9F5" w14:textId="77777777">
            <w:pPr>
              <w:pStyle w:val="tablebody"/>
              <w:jc w:val="right"/>
              <w:rPr>
                <w:rFonts w:cs="Arial"/>
                <w:b/>
                <w:sz w:val="14"/>
                <w:szCs w:val="14"/>
              </w:rPr>
            </w:pPr>
            <w:r w:rsidRPr="0088782A">
              <w:rPr>
                <w:rFonts w:cs="Arial"/>
                <w:b/>
                <w:sz w:val="14"/>
                <w:szCs w:val="14"/>
              </w:rPr>
              <w:t xml:space="preserve">(13,951)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5EDFDDF0" w14:textId="77777777">
            <w:pPr>
              <w:pStyle w:val="tablebody"/>
              <w:jc w:val="right"/>
              <w:rPr>
                <w:rFonts w:cs="Arial"/>
                <w:b/>
                <w:sz w:val="14"/>
                <w:szCs w:val="14"/>
              </w:rPr>
            </w:pPr>
            <w:r w:rsidRPr="0088782A">
              <w:rPr>
                <w:rFonts w:cs="Arial"/>
                <w:b/>
                <w:sz w:val="14"/>
                <w:szCs w:val="14"/>
              </w:rPr>
              <w:t xml:space="preserve">(4,369) </w:t>
            </w:r>
          </w:p>
        </w:tc>
        <w:tc>
          <w:tcPr>
            <w:tcW w:w="850"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D523A65" w14:textId="77777777">
            <w:pPr>
              <w:pStyle w:val="tablebody"/>
              <w:jc w:val="right"/>
              <w:rPr>
                <w:rFonts w:cs="Arial"/>
                <w:b/>
                <w:sz w:val="14"/>
                <w:szCs w:val="14"/>
              </w:rPr>
            </w:pPr>
            <w:r w:rsidRPr="0088782A">
              <w:rPr>
                <w:rFonts w:cs="Arial"/>
                <w:b/>
                <w:sz w:val="14"/>
                <w:szCs w:val="14"/>
              </w:rPr>
              <w:t xml:space="preserve">(25,894) </w:t>
            </w:r>
          </w:p>
        </w:tc>
        <w:tc>
          <w:tcPr>
            <w:tcW w:w="851" w:type="dxa"/>
            <w:tcBorders>
              <w:top w:val="single" w:color="000000" w:sz="12"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6971858" w14:textId="77777777">
            <w:pPr>
              <w:pStyle w:val="tablebody"/>
              <w:jc w:val="right"/>
              <w:rPr>
                <w:rFonts w:cs="Arial"/>
                <w:b/>
                <w:sz w:val="14"/>
                <w:szCs w:val="14"/>
              </w:rPr>
            </w:pPr>
            <w:r w:rsidRPr="0088782A">
              <w:rPr>
                <w:rFonts w:cs="Arial"/>
                <w:b/>
                <w:sz w:val="14"/>
                <w:szCs w:val="14"/>
              </w:rPr>
              <w:t xml:space="preserve">(19,160) </w:t>
            </w:r>
          </w:p>
        </w:tc>
      </w:tr>
      <w:tr w:rsidRPr="0088782A" w:rsidR="00045808" w:rsidTr="00CC210C" w14:paraId="6AF20F21" w14:textId="77777777">
        <w:tc>
          <w:tcPr>
            <w:tcW w:w="16160" w:type="dxa"/>
            <w:gridSpan w:val="18"/>
            <w:tcBorders>
              <w:top w:val="nil"/>
              <w:left w:val="nil"/>
              <w:bottom w:val="nil"/>
              <w:right w:val="nil"/>
            </w:tcBorders>
            <w:tcMar>
              <w:top w:w="28" w:type="dxa"/>
              <w:left w:w="0" w:type="dxa"/>
              <w:bottom w:w="28" w:type="dxa"/>
              <w:right w:w="0" w:type="dxa"/>
            </w:tcMar>
            <w:vAlign w:val="bottom"/>
          </w:tcPr>
          <w:p w:rsidRPr="0088782A" w:rsidR="00045808" w:rsidP="00535DCC" w:rsidRDefault="00045808" w14:paraId="0F73DD00" w14:textId="77777777">
            <w:pPr>
              <w:pStyle w:val="tablebody"/>
              <w:rPr>
                <w:rFonts w:cs="Arial"/>
                <w:b/>
                <w:sz w:val="14"/>
                <w:szCs w:val="14"/>
              </w:rPr>
            </w:pPr>
            <w:r w:rsidRPr="0088782A">
              <w:rPr>
                <w:rFonts w:cs="Arial"/>
                <w:b/>
                <w:sz w:val="14"/>
                <w:szCs w:val="14"/>
              </w:rPr>
              <w:t>Controlled assets and liabilities at 30 June 2019</w:t>
            </w:r>
          </w:p>
        </w:tc>
      </w:tr>
      <w:tr w:rsidRPr="0088782A" w:rsidR="00535DCC" w:rsidTr="00CC210C" w14:paraId="00B326A2" w14:textId="77777777">
        <w:tc>
          <w:tcPr>
            <w:tcW w:w="2566" w:type="dxa"/>
            <w:gridSpan w:val="2"/>
            <w:tcBorders>
              <w:top w:val="nil"/>
              <w:left w:val="nil"/>
              <w:bottom w:val="nil"/>
              <w:right w:val="nil"/>
            </w:tcBorders>
            <w:tcMar>
              <w:top w:w="0" w:type="dxa"/>
              <w:left w:w="0" w:type="dxa"/>
              <w:bottom w:w="28" w:type="dxa"/>
              <w:right w:w="0" w:type="dxa"/>
            </w:tcMar>
            <w:vAlign w:val="bottom"/>
          </w:tcPr>
          <w:p w:rsidRPr="0088782A" w:rsidR="00045808" w:rsidP="00045808" w:rsidRDefault="00045808" w14:paraId="633B65CA" w14:textId="77777777">
            <w:pPr>
              <w:pStyle w:val="tablebody"/>
              <w:rPr>
                <w:rFonts w:cs="Arial"/>
                <w:b/>
                <w:sz w:val="14"/>
                <w:szCs w:val="14"/>
              </w:rPr>
            </w:pPr>
            <w:r w:rsidRPr="0088782A">
              <w:rPr>
                <w:rFonts w:cs="Arial"/>
                <w:b/>
                <w:sz w:val="14"/>
                <w:szCs w:val="14"/>
              </w:rPr>
              <w:t>Assets</w:t>
            </w:r>
          </w:p>
        </w:tc>
        <w:tc>
          <w:tcPr>
            <w:tcW w:w="837"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78BCD983"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7FF15C57"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69706938"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18816DAD"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85941A4"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53380878"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27A9BFE8"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633F8BB"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02D9E26C"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7BCFFD75"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753B627F"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023E8FC3"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351DD56D"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5491892C" w14:textId="77777777">
            <w:pPr>
              <w:pStyle w:val="tablebody"/>
              <w:jc w:val="right"/>
              <w:rPr>
                <w:rFonts w:cs="Arial"/>
                <w:b/>
                <w:sz w:val="14"/>
                <w:szCs w:val="14"/>
                <w:lang w:val="en-US"/>
              </w:rPr>
            </w:pPr>
          </w:p>
        </w:tc>
        <w:tc>
          <w:tcPr>
            <w:tcW w:w="850"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6E482DE8" w14:textId="77777777">
            <w:pPr>
              <w:pStyle w:val="tablebody"/>
              <w:jc w:val="right"/>
              <w:rPr>
                <w:rFonts w:cs="Arial"/>
                <w:b/>
                <w:sz w:val="14"/>
                <w:szCs w:val="14"/>
                <w:lang w:val="en-US"/>
              </w:rPr>
            </w:pPr>
          </w:p>
        </w:tc>
        <w:tc>
          <w:tcPr>
            <w:tcW w:w="851" w:type="dxa"/>
            <w:tcBorders>
              <w:top w:val="nil"/>
              <w:left w:val="nil"/>
              <w:bottom w:val="nil"/>
              <w:right w:val="nil"/>
            </w:tcBorders>
            <w:tcMar>
              <w:top w:w="0" w:type="dxa"/>
              <w:left w:w="0" w:type="dxa"/>
              <w:bottom w:w="28" w:type="dxa"/>
              <w:right w:w="0" w:type="dxa"/>
            </w:tcMar>
            <w:vAlign w:val="bottom"/>
          </w:tcPr>
          <w:p w:rsidRPr="0088782A" w:rsidR="00045808" w:rsidP="00535DCC" w:rsidRDefault="00045808" w14:paraId="6215FDB6" w14:textId="77777777">
            <w:pPr>
              <w:pStyle w:val="tablebody"/>
              <w:jc w:val="right"/>
              <w:rPr>
                <w:rFonts w:cs="Arial"/>
                <w:b/>
                <w:sz w:val="14"/>
                <w:szCs w:val="14"/>
                <w:lang w:val="en-US"/>
              </w:rPr>
            </w:pPr>
          </w:p>
        </w:tc>
      </w:tr>
      <w:tr w:rsidRPr="00045808" w:rsidR="00535DCC" w:rsidTr="00CC210C" w14:paraId="5B7AE1F6" w14:textId="77777777">
        <w:tc>
          <w:tcPr>
            <w:tcW w:w="2566" w:type="dxa"/>
            <w:gridSpan w:val="2"/>
            <w:tcBorders>
              <w:top w:val="nil"/>
              <w:left w:val="nil"/>
              <w:bottom w:val="nil"/>
              <w:right w:val="nil"/>
            </w:tcBorders>
            <w:tcMar>
              <w:top w:w="0" w:type="dxa"/>
              <w:left w:w="0" w:type="dxa"/>
              <w:bottom w:w="28" w:type="dxa"/>
              <w:right w:w="0" w:type="dxa"/>
            </w:tcMar>
            <w:vAlign w:val="bottom"/>
          </w:tcPr>
          <w:p w:rsidRPr="00045808" w:rsidR="00045808" w:rsidP="00045808" w:rsidRDefault="00045808" w14:paraId="73DDBD76" w14:textId="77777777">
            <w:pPr>
              <w:pStyle w:val="tablebody"/>
              <w:rPr>
                <w:rFonts w:cs="Arial"/>
                <w:sz w:val="14"/>
                <w:szCs w:val="14"/>
              </w:rPr>
            </w:pPr>
            <w:r w:rsidRPr="00045808">
              <w:rPr>
                <w:rFonts w:cs="Arial"/>
                <w:sz w:val="14"/>
                <w:szCs w:val="14"/>
              </w:rPr>
              <w:t>Financial assets</w:t>
            </w:r>
          </w:p>
        </w:tc>
        <w:tc>
          <w:tcPr>
            <w:tcW w:w="837"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CBA42F2" w14:textId="77777777">
            <w:pPr>
              <w:pStyle w:val="tablebody"/>
              <w:jc w:val="right"/>
              <w:rPr>
                <w:rFonts w:cs="Arial"/>
                <w:sz w:val="14"/>
                <w:szCs w:val="14"/>
              </w:rPr>
            </w:pPr>
            <w:r w:rsidRPr="00045808">
              <w:rPr>
                <w:rFonts w:cs="Arial"/>
                <w:sz w:val="14"/>
                <w:szCs w:val="14"/>
              </w:rPr>
              <w:t xml:space="preserve">465,316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0A6EC4C" w14:textId="77777777">
            <w:pPr>
              <w:pStyle w:val="tablebody"/>
              <w:jc w:val="right"/>
              <w:rPr>
                <w:rFonts w:cs="Arial"/>
                <w:sz w:val="14"/>
                <w:szCs w:val="14"/>
              </w:rPr>
            </w:pPr>
            <w:r w:rsidRPr="00045808">
              <w:rPr>
                <w:rFonts w:cs="Arial"/>
                <w:sz w:val="14"/>
                <w:szCs w:val="14"/>
              </w:rPr>
              <w:t xml:space="preserve">479,704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EC3E3CC" w14:textId="77777777">
            <w:pPr>
              <w:pStyle w:val="tablebody"/>
              <w:jc w:val="right"/>
              <w:rPr>
                <w:rFonts w:cs="Arial"/>
                <w:sz w:val="14"/>
                <w:szCs w:val="14"/>
              </w:rPr>
            </w:pPr>
            <w:r w:rsidRPr="00045808">
              <w:rPr>
                <w:rFonts w:cs="Arial"/>
                <w:sz w:val="14"/>
                <w:szCs w:val="14"/>
              </w:rPr>
              <w:t xml:space="preserve">289,327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0C06C7D4" w14:textId="77777777">
            <w:pPr>
              <w:pStyle w:val="tablebody"/>
              <w:jc w:val="right"/>
              <w:rPr>
                <w:rFonts w:cs="Arial"/>
                <w:sz w:val="14"/>
                <w:szCs w:val="14"/>
              </w:rPr>
            </w:pPr>
            <w:r w:rsidRPr="00045808">
              <w:rPr>
                <w:rFonts w:cs="Arial"/>
                <w:sz w:val="14"/>
                <w:szCs w:val="14"/>
              </w:rPr>
              <w:t xml:space="preserve">263,083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B2CC4C3" w14:textId="77777777">
            <w:pPr>
              <w:pStyle w:val="tablebody"/>
              <w:jc w:val="right"/>
              <w:rPr>
                <w:rFonts w:cs="Arial"/>
                <w:sz w:val="14"/>
                <w:szCs w:val="14"/>
              </w:rPr>
            </w:pPr>
            <w:r w:rsidRPr="00045808">
              <w:rPr>
                <w:rFonts w:cs="Arial"/>
                <w:sz w:val="14"/>
                <w:szCs w:val="14"/>
              </w:rPr>
              <w:t xml:space="preserve">14,495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F85683E" w14:textId="77777777">
            <w:pPr>
              <w:pStyle w:val="tablebody"/>
              <w:jc w:val="right"/>
              <w:rPr>
                <w:rFonts w:cs="Arial"/>
                <w:sz w:val="14"/>
                <w:szCs w:val="14"/>
              </w:rPr>
            </w:pPr>
            <w:r w:rsidRPr="00045808">
              <w:rPr>
                <w:rFonts w:cs="Arial"/>
                <w:sz w:val="14"/>
                <w:szCs w:val="14"/>
              </w:rPr>
              <w:t xml:space="preserve">1,218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3BFD1905" w14:textId="77777777">
            <w:pPr>
              <w:pStyle w:val="tablebody"/>
              <w:jc w:val="right"/>
              <w:rPr>
                <w:rFonts w:cs="Arial"/>
                <w:sz w:val="14"/>
                <w:szCs w:val="14"/>
              </w:rPr>
            </w:pPr>
            <w:r w:rsidRPr="00045808">
              <w:rPr>
                <w:rFonts w:cs="Arial"/>
                <w:sz w:val="14"/>
                <w:szCs w:val="14"/>
              </w:rPr>
              <w:t xml:space="preserve">148,526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77B5B073" w14:textId="77777777">
            <w:pPr>
              <w:pStyle w:val="tablebody"/>
              <w:jc w:val="right"/>
              <w:rPr>
                <w:rFonts w:cs="Arial"/>
                <w:sz w:val="14"/>
                <w:szCs w:val="14"/>
              </w:rPr>
            </w:pPr>
            <w:r w:rsidRPr="00045808">
              <w:rPr>
                <w:rFonts w:cs="Arial"/>
                <w:sz w:val="14"/>
                <w:szCs w:val="14"/>
              </w:rPr>
              <w:t xml:space="preserve">135,610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03F319A" w14:textId="77777777">
            <w:pPr>
              <w:pStyle w:val="tablebody"/>
              <w:jc w:val="right"/>
              <w:rPr>
                <w:rFonts w:cs="Arial"/>
                <w:sz w:val="14"/>
                <w:szCs w:val="14"/>
              </w:rPr>
            </w:pPr>
            <w:r w:rsidRPr="00045808">
              <w:rPr>
                <w:rFonts w:cs="Arial"/>
                <w:sz w:val="14"/>
                <w:szCs w:val="14"/>
              </w:rPr>
              <w:t xml:space="preserve">34,584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635EA44E" w14:textId="77777777">
            <w:pPr>
              <w:pStyle w:val="tablebody"/>
              <w:jc w:val="right"/>
              <w:rPr>
                <w:rFonts w:cs="Arial"/>
                <w:sz w:val="14"/>
                <w:szCs w:val="14"/>
              </w:rPr>
            </w:pPr>
            <w:r w:rsidRPr="00045808">
              <w:rPr>
                <w:rFonts w:cs="Arial"/>
                <w:sz w:val="14"/>
                <w:szCs w:val="14"/>
              </w:rPr>
              <w:t xml:space="preserve">33,962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0D2297D" w14:textId="77777777">
            <w:pPr>
              <w:pStyle w:val="tablebody"/>
              <w:jc w:val="right"/>
              <w:rPr>
                <w:rFonts w:cs="Arial"/>
                <w:sz w:val="14"/>
                <w:szCs w:val="14"/>
              </w:rPr>
            </w:pPr>
            <w:r w:rsidRPr="00045808">
              <w:rPr>
                <w:rFonts w:cs="Arial"/>
                <w:sz w:val="14"/>
                <w:szCs w:val="14"/>
              </w:rPr>
              <w:t xml:space="preserve">227,882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98E827D" w14:textId="77777777">
            <w:pPr>
              <w:pStyle w:val="tablebody"/>
              <w:jc w:val="right"/>
              <w:rPr>
                <w:rFonts w:cs="Arial"/>
                <w:sz w:val="14"/>
                <w:szCs w:val="14"/>
              </w:rPr>
            </w:pPr>
            <w:r w:rsidRPr="00045808">
              <w:rPr>
                <w:rFonts w:cs="Arial"/>
                <w:sz w:val="14"/>
                <w:szCs w:val="14"/>
              </w:rPr>
              <w:t xml:space="preserve">160,643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4B30ECB2" w14:textId="77777777">
            <w:pPr>
              <w:pStyle w:val="tablebody"/>
              <w:jc w:val="right"/>
              <w:rPr>
                <w:rFonts w:cs="Arial"/>
                <w:sz w:val="14"/>
                <w:szCs w:val="14"/>
              </w:rPr>
            </w:pPr>
            <w:r w:rsidRPr="00045808">
              <w:rPr>
                <w:rFonts w:cs="Arial"/>
                <w:sz w:val="14"/>
                <w:szCs w:val="14"/>
              </w:rPr>
              <w:t xml:space="preserve">307,267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2EF54919" w14:textId="77777777">
            <w:pPr>
              <w:pStyle w:val="tablebody"/>
              <w:jc w:val="right"/>
              <w:rPr>
                <w:rFonts w:cs="Arial"/>
                <w:sz w:val="14"/>
                <w:szCs w:val="14"/>
              </w:rPr>
            </w:pPr>
            <w:r w:rsidRPr="00045808">
              <w:rPr>
                <w:rFonts w:cs="Arial"/>
                <w:sz w:val="14"/>
                <w:szCs w:val="14"/>
              </w:rPr>
              <w:t xml:space="preserve">324,895 </w:t>
            </w:r>
          </w:p>
        </w:tc>
        <w:tc>
          <w:tcPr>
            <w:tcW w:w="850"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13021528" w14:textId="77777777">
            <w:pPr>
              <w:pStyle w:val="tablebody"/>
              <w:jc w:val="right"/>
              <w:rPr>
                <w:rFonts w:cs="Arial"/>
                <w:sz w:val="14"/>
                <w:szCs w:val="14"/>
              </w:rPr>
            </w:pPr>
            <w:r w:rsidRPr="00045808">
              <w:rPr>
                <w:rFonts w:cs="Arial"/>
                <w:sz w:val="14"/>
                <w:szCs w:val="14"/>
              </w:rPr>
              <w:t xml:space="preserve">1,487,397 </w:t>
            </w:r>
          </w:p>
        </w:tc>
        <w:tc>
          <w:tcPr>
            <w:tcW w:w="851" w:type="dxa"/>
            <w:tcBorders>
              <w:top w:val="nil"/>
              <w:left w:val="nil"/>
              <w:bottom w:val="nil"/>
              <w:right w:val="nil"/>
            </w:tcBorders>
            <w:tcMar>
              <w:top w:w="0" w:type="dxa"/>
              <w:left w:w="0" w:type="dxa"/>
              <w:bottom w:w="28" w:type="dxa"/>
              <w:right w:w="0" w:type="dxa"/>
            </w:tcMar>
            <w:vAlign w:val="bottom"/>
          </w:tcPr>
          <w:p w:rsidRPr="00045808" w:rsidR="00045808" w:rsidP="00535DCC" w:rsidRDefault="00045808" w14:paraId="51F26789" w14:textId="77777777">
            <w:pPr>
              <w:pStyle w:val="tablebody"/>
              <w:jc w:val="right"/>
              <w:rPr>
                <w:rFonts w:cs="Arial"/>
                <w:sz w:val="14"/>
                <w:szCs w:val="14"/>
              </w:rPr>
            </w:pPr>
            <w:r w:rsidRPr="00045808">
              <w:rPr>
                <w:rFonts w:cs="Arial"/>
                <w:sz w:val="14"/>
                <w:szCs w:val="14"/>
              </w:rPr>
              <w:t xml:space="preserve">1,399,115 </w:t>
            </w:r>
          </w:p>
        </w:tc>
      </w:tr>
      <w:tr w:rsidRPr="00045808" w:rsidR="00535DCC" w:rsidTr="00CC210C" w14:paraId="37831879" w14:textId="77777777">
        <w:tc>
          <w:tcPr>
            <w:tcW w:w="2566" w:type="dxa"/>
            <w:gridSpan w:val="2"/>
            <w:tcBorders>
              <w:top w:val="nil"/>
              <w:left w:val="nil"/>
              <w:bottom w:val="single" w:color="000000" w:sz="6" w:space="0"/>
              <w:right w:val="nil"/>
            </w:tcBorders>
            <w:tcMar>
              <w:top w:w="0" w:type="dxa"/>
              <w:left w:w="0" w:type="dxa"/>
              <w:bottom w:w="28" w:type="dxa"/>
              <w:right w:w="0" w:type="dxa"/>
            </w:tcMar>
            <w:vAlign w:val="bottom"/>
          </w:tcPr>
          <w:p w:rsidRPr="00045808" w:rsidR="00045808" w:rsidP="00045808" w:rsidRDefault="00045808" w14:paraId="143B897D" w14:textId="77777777">
            <w:pPr>
              <w:pStyle w:val="tablebody"/>
              <w:rPr>
                <w:rFonts w:cs="Arial"/>
                <w:sz w:val="14"/>
                <w:szCs w:val="14"/>
              </w:rPr>
            </w:pPr>
            <w:r w:rsidRPr="00045808">
              <w:rPr>
                <w:rFonts w:cs="Arial"/>
                <w:sz w:val="14"/>
                <w:szCs w:val="14"/>
              </w:rPr>
              <w:t>Non-financial assets</w:t>
            </w:r>
          </w:p>
        </w:tc>
        <w:tc>
          <w:tcPr>
            <w:tcW w:w="837"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B164232" w14:textId="77777777">
            <w:pPr>
              <w:pStyle w:val="tablebody"/>
              <w:jc w:val="right"/>
              <w:rPr>
                <w:rFonts w:cs="Arial"/>
                <w:sz w:val="14"/>
                <w:szCs w:val="14"/>
              </w:rPr>
            </w:pPr>
            <w:r w:rsidRPr="00045808">
              <w:rPr>
                <w:rFonts w:cs="Arial"/>
                <w:sz w:val="14"/>
                <w:szCs w:val="14"/>
              </w:rPr>
              <w:t xml:space="preserve">1,305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FF66470" w14:textId="77777777">
            <w:pPr>
              <w:pStyle w:val="tablebody"/>
              <w:jc w:val="right"/>
              <w:rPr>
                <w:rFonts w:cs="Arial"/>
                <w:sz w:val="14"/>
                <w:szCs w:val="14"/>
              </w:rPr>
            </w:pPr>
            <w:r w:rsidRPr="00045808">
              <w:rPr>
                <w:rFonts w:cs="Arial"/>
                <w:sz w:val="14"/>
                <w:szCs w:val="14"/>
              </w:rPr>
              <w:t xml:space="preserve">479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A77E239" w14:textId="77777777">
            <w:pPr>
              <w:pStyle w:val="tablebody"/>
              <w:jc w:val="right"/>
              <w:rPr>
                <w:rFonts w:cs="Arial"/>
                <w:sz w:val="14"/>
                <w:szCs w:val="14"/>
              </w:rPr>
            </w:pPr>
            <w:r w:rsidRPr="00045808">
              <w:rPr>
                <w:rFonts w:cs="Arial"/>
                <w:sz w:val="14"/>
                <w:szCs w:val="14"/>
              </w:rPr>
              <w:t xml:space="preserve">3,038,484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42E6DC4" w14:textId="77777777">
            <w:pPr>
              <w:pStyle w:val="tablebody"/>
              <w:jc w:val="right"/>
              <w:rPr>
                <w:rFonts w:cs="Arial"/>
                <w:sz w:val="14"/>
                <w:szCs w:val="14"/>
              </w:rPr>
            </w:pPr>
            <w:r w:rsidRPr="00045808">
              <w:rPr>
                <w:rFonts w:cs="Arial"/>
                <w:sz w:val="14"/>
                <w:szCs w:val="14"/>
              </w:rPr>
              <w:t xml:space="preserve">2,958,219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435AF81" w14:textId="77777777">
            <w:pPr>
              <w:pStyle w:val="tablebody"/>
              <w:jc w:val="right"/>
              <w:rPr>
                <w:rFonts w:cs="Arial"/>
                <w:sz w:val="14"/>
                <w:szCs w:val="14"/>
              </w:rPr>
            </w:pPr>
            <w:r w:rsidRPr="00045808">
              <w:rPr>
                <w:rFonts w:cs="Arial"/>
                <w:sz w:val="14"/>
                <w:szCs w:val="14"/>
              </w:rPr>
              <w:t xml:space="preserve">407,788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A9A9D4A" w14:textId="77777777">
            <w:pPr>
              <w:pStyle w:val="tablebody"/>
              <w:jc w:val="right"/>
              <w:rPr>
                <w:rFonts w:cs="Arial"/>
                <w:sz w:val="14"/>
                <w:szCs w:val="14"/>
              </w:rPr>
            </w:pPr>
            <w:r w:rsidRPr="00045808">
              <w:rPr>
                <w:rFonts w:cs="Arial"/>
                <w:sz w:val="14"/>
                <w:szCs w:val="14"/>
              </w:rPr>
              <w:t xml:space="preserve">289,851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3890E6EA" w14:textId="77777777">
            <w:pPr>
              <w:pStyle w:val="tablebody"/>
              <w:jc w:val="right"/>
              <w:rPr>
                <w:rFonts w:cs="Arial"/>
                <w:sz w:val="14"/>
                <w:szCs w:val="14"/>
              </w:rPr>
            </w:pPr>
            <w:r w:rsidRPr="00045808">
              <w:rPr>
                <w:rFonts w:cs="Arial"/>
                <w:sz w:val="14"/>
                <w:szCs w:val="14"/>
              </w:rPr>
              <w:t xml:space="preserve">71,381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9F78057" w14:textId="77777777">
            <w:pPr>
              <w:pStyle w:val="tablebody"/>
              <w:jc w:val="right"/>
              <w:rPr>
                <w:rFonts w:cs="Arial"/>
                <w:sz w:val="14"/>
                <w:szCs w:val="14"/>
              </w:rPr>
            </w:pPr>
            <w:r w:rsidRPr="00045808">
              <w:rPr>
                <w:rFonts w:cs="Arial"/>
                <w:sz w:val="14"/>
                <w:szCs w:val="14"/>
              </w:rPr>
              <w:t xml:space="preserve">92,443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17036193" w14:textId="77777777">
            <w:pPr>
              <w:pStyle w:val="tablebody"/>
              <w:jc w:val="right"/>
              <w:rPr>
                <w:rFonts w:cs="Arial"/>
                <w:sz w:val="14"/>
                <w:szCs w:val="14"/>
              </w:rPr>
            </w:pPr>
            <w:r w:rsidRPr="00045808">
              <w:rPr>
                <w:rFonts w:cs="Arial"/>
                <w:sz w:val="14"/>
                <w:szCs w:val="14"/>
              </w:rPr>
              <w:t xml:space="preserve">30,243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7C30151" w14:textId="77777777">
            <w:pPr>
              <w:pStyle w:val="tablebody"/>
              <w:jc w:val="right"/>
              <w:rPr>
                <w:rFonts w:cs="Arial"/>
                <w:sz w:val="14"/>
                <w:szCs w:val="14"/>
              </w:rPr>
            </w:pPr>
            <w:r w:rsidRPr="00045808">
              <w:rPr>
                <w:rFonts w:cs="Arial"/>
                <w:sz w:val="14"/>
                <w:szCs w:val="14"/>
              </w:rPr>
              <w:t xml:space="preserve">4,389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0F16741E" w14:textId="77777777">
            <w:pPr>
              <w:pStyle w:val="tablebody"/>
              <w:jc w:val="right"/>
              <w:rPr>
                <w:rFonts w:cs="Arial"/>
                <w:sz w:val="14"/>
                <w:szCs w:val="14"/>
              </w:rPr>
            </w:pPr>
            <w:r w:rsidRPr="00045808">
              <w:rPr>
                <w:rFonts w:cs="Arial"/>
                <w:sz w:val="14"/>
                <w:szCs w:val="14"/>
              </w:rPr>
              <w:t xml:space="preserve">87,270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6B7167C1" w14:textId="77777777">
            <w:pPr>
              <w:pStyle w:val="tablebody"/>
              <w:jc w:val="right"/>
              <w:rPr>
                <w:rFonts w:cs="Arial"/>
                <w:sz w:val="14"/>
                <w:szCs w:val="14"/>
              </w:rPr>
            </w:pPr>
            <w:r w:rsidRPr="00045808">
              <w:rPr>
                <w:rFonts w:cs="Arial"/>
                <w:sz w:val="14"/>
                <w:szCs w:val="14"/>
              </w:rPr>
              <w:t xml:space="preserve">60,698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78A6548A" w14:textId="77777777">
            <w:pPr>
              <w:pStyle w:val="tablebody"/>
              <w:jc w:val="right"/>
              <w:rPr>
                <w:rFonts w:cs="Arial"/>
                <w:sz w:val="14"/>
                <w:szCs w:val="14"/>
              </w:rPr>
            </w:pPr>
            <w:r w:rsidRPr="00045808">
              <w:rPr>
                <w:rFonts w:cs="Arial"/>
                <w:sz w:val="14"/>
                <w:szCs w:val="14"/>
              </w:rPr>
              <w:t xml:space="preserve">4,642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0063509" w14:textId="77777777">
            <w:pPr>
              <w:pStyle w:val="tablebody"/>
              <w:jc w:val="right"/>
              <w:rPr>
                <w:rFonts w:cs="Arial"/>
                <w:sz w:val="14"/>
                <w:szCs w:val="14"/>
              </w:rPr>
            </w:pPr>
            <w:r w:rsidRPr="00045808">
              <w:rPr>
                <w:rFonts w:cs="Arial"/>
                <w:sz w:val="14"/>
                <w:szCs w:val="14"/>
              </w:rPr>
              <w:t xml:space="preserve">4,236 </w:t>
            </w:r>
          </w:p>
        </w:tc>
        <w:tc>
          <w:tcPr>
            <w:tcW w:w="850"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292D5A56" w14:textId="77777777">
            <w:pPr>
              <w:pStyle w:val="tablebody"/>
              <w:jc w:val="right"/>
              <w:rPr>
                <w:rFonts w:cs="Arial"/>
                <w:sz w:val="14"/>
                <w:szCs w:val="14"/>
              </w:rPr>
            </w:pPr>
            <w:r w:rsidRPr="00045808">
              <w:rPr>
                <w:rFonts w:cs="Arial"/>
                <w:sz w:val="14"/>
                <w:szCs w:val="14"/>
              </w:rPr>
              <w:t xml:space="preserve">3,641,113 </w:t>
            </w:r>
          </w:p>
        </w:tc>
        <w:tc>
          <w:tcPr>
            <w:tcW w:w="851" w:type="dxa"/>
            <w:tcBorders>
              <w:top w:val="nil"/>
              <w:left w:val="nil"/>
              <w:bottom w:val="single" w:color="000000" w:sz="6" w:space="0"/>
              <w:right w:val="nil"/>
            </w:tcBorders>
            <w:tcMar>
              <w:top w:w="0" w:type="dxa"/>
              <w:left w:w="0" w:type="dxa"/>
              <w:bottom w:w="28" w:type="dxa"/>
              <w:right w:w="0" w:type="dxa"/>
            </w:tcMar>
            <w:vAlign w:val="bottom"/>
          </w:tcPr>
          <w:p w:rsidRPr="00045808" w:rsidR="00045808" w:rsidP="00535DCC" w:rsidRDefault="00045808" w14:paraId="4BEF5455" w14:textId="77777777">
            <w:pPr>
              <w:pStyle w:val="tablebody"/>
              <w:jc w:val="right"/>
              <w:rPr>
                <w:rFonts w:cs="Arial"/>
                <w:sz w:val="14"/>
                <w:szCs w:val="14"/>
              </w:rPr>
            </w:pPr>
            <w:r w:rsidRPr="00045808">
              <w:rPr>
                <w:rFonts w:cs="Arial"/>
                <w:sz w:val="14"/>
                <w:szCs w:val="14"/>
              </w:rPr>
              <w:t xml:space="preserve">3,410,315 </w:t>
            </w:r>
          </w:p>
        </w:tc>
      </w:tr>
      <w:tr w:rsidRPr="0088782A" w:rsidR="00535DCC" w:rsidTr="00CC210C" w14:paraId="13C6D78D" w14:textId="77777777">
        <w:tc>
          <w:tcPr>
            <w:tcW w:w="2566"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3B4E9A65" w14:textId="77777777">
            <w:pPr>
              <w:pStyle w:val="tablebody"/>
              <w:rPr>
                <w:rFonts w:cs="Arial"/>
                <w:b/>
                <w:sz w:val="14"/>
                <w:szCs w:val="14"/>
              </w:rPr>
            </w:pPr>
            <w:r w:rsidRPr="0088782A">
              <w:rPr>
                <w:rFonts w:cs="Arial"/>
                <w:b/>
                <w:sz w:val="14"/>
                <w:szCs w:val="14"/>
              </w:rPr>
              <w:t>Total assets</w:t>
            </w: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185F69F" w14:textId="77777777">
            <w:pPr>
              <w:pStyle w:val="tablebody"/>
              <w:jc w:val="right"/>
              <w:rPr>
                <w:rFonts w:cs="Arial"/>
                <w:b/>
                <w:sz w:val="14"/>
                <w:szCs w:val="14"/>
              </w:rPr>
            </w:pPr>
            <w:r w:rsidRPr="0088782A">
              <w:rPr>
                <w:rFonts w:cs="Arial"/>
                <w:b/>
                <w:sz w:val="14"/>
                <w:szCs w:val="14"/>
              </w:rPr>
              <w:t xml:space="preserve">466,621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B531B1D" w14:textId="77777777">
            <w:pPr>
              <w:pStyle w:val="tablebody"/>
              <w:jc w:val="right"/>
              <w:rPr>
                <w:rFonts w:cs="Arial"/>
                <w:b/>
                <w:sz w:val="14"/>
                <w:szCs w:val="14"/>
              </w:rPr>
            </w:pPr>
            <w:r w:rsidRPr="0088782A">
              <w:rPr>
                <w:rFonts w:cs="Arial"/>
                <w:b/>
                <w:sz w:val="14"/>
                <w:szCs w:val="14"/>
              </w:rPr>
              <w:t xml:space="preserve">480,183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E43E9D8" w14:textId="77777777">
            <w:pPr>
              <w:pStyle w:val="tablebody"/>
              <w:jc w:val="right"/>
              <w:rPr>
                <w:rFonts w:cs="Arial"/>
                <w:b/>
                <w:sz w:val="14"/>
                <w:szCs w:val="14"/>
              </w:rPr>
            </w:pPr>
            <w:r w:rsidRPr="0088782A">
              <w:rPr>
                <w:rFonts w:cs="Arial"/>
                <w:b/>
                <w:sz w:val="14"/>
                <w:szCs w:val="14"/>
              </w:rPr>
              <w:t xml:space="preserve">3,327,811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E6EFA27" w14:textId="77777777">
            <w:pPr>
              <w:pStyle w:val="tablebody"/>
              <w:jc w:val="right"/>
              <w:rPr>
                <w:rFonts w:cs="Arial"/>
                <w:b/>
                <w:sz w:val="14"/>
                <w:szCs w:val="14"/>
              </w:rPr>
            </w:pPr>
            <w:r w:rsidRPr="0088782A">
              <w:rPr>
                <w:rFonts w:cs="Arial"/>
                <w:b/>
                <w:sz w:val="14"/>
                <w:szCs w:val="14"/>
              </w:rPr>
              <w:t xml:space="preserve">3,221,302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27F9F95" w14:textId="77777777">
            <w:pPr>
              <w:pStyle w:val="tablebody"/>
              <w:jc w:val="right"/>
              <w:rPr>
                <w:rFonts w:cs="Arial"/>
                <w:b/>
                <w:sz w:val="14"/>
                <w:szCs w:val="14"/>
              </w:rPr>
            </w:pPr>
            <w:r w:rsidRPr="0088782A">
              <w:rPr>
                <w:rFonts w:cs="Arial"/>
                <w:b/>
                <w:sz w:val="14"/>
                <w:szCs w:val="14"/>
              </w:rPr>
              <w:t xml:space="preserve">422,283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519E2E1" w14:textId="77777777">
            <w:pPr>
              <w:pStyle w:val="tablebody"/>
              <w:jc w:val="right"/>
              <w:rPr>
                <w:rFonts w:cs="Arial"/>
                <w:b/>
                <w:sz w:val="14"/>
                <w:szCs w:val="14"/>
              </w:rPr>
            </w:pPr>
            <w:r w:rsidRPr="0088782A">
              <w:rPr>
                <w:rFonts w:cs="Arial"/>
                <w:b/>
                <w:sz w:val="14"/>
                <w:szCs w:val="14"/>
              </w:rPr>
              <w:t xml:space="preserve">291,069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D21C415" w14:textId="77777777">
            <w:pPr>
              <w:pStyle w:val="tablebody"/>
              <w:jc w:val="right"/>
              <w:rPr>
                <w:rFonts w:cs="Arial"/>
                <w:b/>
                <w:sz w:val="14"/>
                <w:szCs w:val="14"/>
              </w:rPr>
            </w:pPr>
            <w:r w:rsidRPr="0088782A">
              <w:rPr>
                <w:rFonts w:cs="Arial"/>
                <w:b/>
                <w:sz w:val="14"/>
                <w:szCs w:val="14"/>
              </w:rPr>
              <w:t xml:space="preserve">219,907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36C1427" w14:textId="77777777">
            <w:pPr>
              <w:pStyle w:val="tablebody"/>
              <w:jc w:val="right"/>
              <w:rPr>
                <w:rFonts w:cs="Arial"/>
                <w:b/>
                <w:sz w:val="14"/>
                <w:szCs w:val="14"/>
              </w:rPr>
            </w:pPr>
            <w:r w:rsidRPr="0088782A">
              <w:rPr>
                <w:rFonts w:cs="Arial"/>
                <w:b/>
                <w:sz w:val="14"/>
                <w:szCs w:val="14"/>
              </w:rPr>
              <w:t xml:space="preserve">228,053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44DCA52" w14:textId="77777777">
            <w:pPr>
              <w:pStyle w:val="tablebody"/>
              <w:jc w:val="right"/>
              <w:rPr>
                <w:rFonts w:cs="Arial"/>
                <w:b/>
                <w:sz w:val="14"/>
                <w:szCs w:val="14"/>
              </w:rPr>
            </w:pPr>
            <w:r w:rsidRPr="0088782A">
              <w:rPr>
                <w:rFonts w:cs="Arial"/>
                <w:b/>
                <w:sz w:val="14"/>
                <w:szCs w:val="14"/>
              </w:rPr>
              <w:t xml:space="preserve">64,827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757A7CC" w14:textId="77777777">
            <w:pPr>
              <w:pStyle w:val="tablebody"/>
              <w:jc w:val="right"/>
              <w:rPr>
                <w:rFonts w:cs="Arial"/>
                <w:b/>
                <w:sz w:val="14"/>
                <w:szCs w:val="14"/>
              </w:rPr>
            </w:pPr>
            <w:r w:rsidRPr="0088782A">
              <w:rPr>
                <w:rFonts w:cs="Arial"/>
                <w:b/>
                <w:sz w:val="14"/>
                <w:szCs w:val="14"/>
              </w:rPr>
              <w:t xml:space="preserve">38,351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8CD0831" w14:textId="77777777">
            <w:pPr>
              <w:pStyle w:val="tablebody"/>
              <w:jc w:val="right"/>
              <w:rPr>
                <w:rFonts w:cs="Arial"/>
                <w:b/>
                <w:sz w:val="14"/>
                <w:szCs w:val="14"/>
              </w:rPr>
            </w:pPr>
            <w:r w:rsidRPr="0088782A">
              <w:rPr>
                <w:rFonts w:cs="Arial"/>
                <w:b/>
                <w:sz w:val="14"/>
                <w:szCs w:val="14"/>
              </w:rPr>
              <w:t xml:space="preserve">315,152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CBFF36E" w14:textId="77777777">
            <w:pPr>
              <w:pStyle w:val="tablebody"/>
              <w:jc w:val="right"/>
              <w:rPr>
                <w:rFonts w:cs="Arial"/>
                <w:b/>
                <w:sz w:val="14"/>
                <w:szCs w:val="14"/>
              </w:rPr>
            </w:pPr>
            <w:r w:rsidRPr="0088782A">
              <w:rPr>
                <w:rFonts w:cs="Arial"/>
                <w:b/>
                <w:sz w:val="14"/>
                <w:szCs w:val="14"/>
              </w:rPr>
              <w:t xml:space="preserve">221,341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AEA7C35" w14:textId="77777777">
            <w:pPr>
              <w:pStyle w:val="tablebody"/>
              <w:jc w:val="right"/>
              <w:rPr>
                <w:rFonts w:cs="Arial"/>
                <w:b/>
                <w:sz w:val="14"/>
                <w:szCs w:val="14"/>
              </w:rPr>
            </w:pPr>
            <w:r w:rsidRPr="0088782A">
              <w:rPr>
                <w:rFonts w:cs="Arial"/>
                <w:b/>
                <w:sz w:val="14"/>
                <w:szCs w:val="14"/>
              </w:rPr>
              <w:t xml:space="preserve">311,909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0ABCE67" w14:textId="77777777">
            <w:pPr>
              <w:pStyle w:val="tablebody"/>
              <w:jc w:val="right"/>
              <w:rPr>
                <w:rFonts w:cs="Arial"/>
                <w:b/>
                <w:sz w:val="14"/>
                <w:szCs w:val="14"/>
              </w:rPr>
            </w:pPr>
            <w:r w:rsidRPr="0088782A">
              <w:rPr>
                <w:rFonts w:cs="Arial"/>
                <w:b/>
                <w:sz w:val="14"/>
                <w:szCs w:val="14"/>
              </w:rPr>
              <w:t xml:space="preserve">329,131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A1A1464" w14:textId="77777777">
            <w:pPr>
              <w:pStyle w:val="tablebody"/>
              <w:jc w:val="right"/>
              <w:rPr>
                <w:rFonts w:cs="Arial"/>
                <w:b/>
                <w:sz w:val="14"/>
                <w:szCs w:val="14"/>
              </w:rPr>
            </w:pPr>
            <w:r w:rsidRPr="0088782A">
              <w:rPr>
                <w:rFonts w:cs="Arial"/>
                <w:b/>
                <w:sz w:val="14"/>
                <w:szCs w:val="14"/>
              </w:rPr>
              <w:t xml:space="preserve">5,128,510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58D2B68" w14:textId="77777777">
            <w:pPr>
              <w:pStyle w:val="tablebody"/>
              <w:jc w:val="right"/>
              <w:rPr>
                <w:rFonts w:cs="Arial"/>
                <w:b/>
                <w:sz w:val="14"/>
                <w:szCs w:val="14"/>
              </w:rPr>
            </w:pPr>
            <w:r w:rsidRPr="0088782A">
              <w:rPr>
                <w:rFonts w:cs="Arial"/>
                <w:b/>
                <w:sz w:val="14"/>
                <w:szCs w:val="14"/>
              </w:rPr>
              <w:t xml:space="preserve">4,809,430 </w:t>
            </w:r>
          </w:p>
        </w:tc>
      </w:tr>
      <w:tr w:rsidRPr="0088782A" w:rsidR="00535DCC" w:rsidTr="00CC210C" w14:paraId="12EAF336" w14:textId="77777777">
        <w:tc>
          <w:tcPr>
            <w:tcW w:w="2566"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4E47FA7D" w14:textId="77777777">
            <w:pPr>
              <w:pStyle w:val="tablebody"/>
              <w:rPr>
                <w:rFonts w:cs="Arial"/>
                <w:b/>
                <w:sz w:val="14"/>
                <w:szCs w:val="14"/>
              </w:rPr>
            </w:pPr>
            <w:r w:rsidRPr="0088782A">
              <w:rPr>
                <w:rFonts w:cs="Arial"/>
                <w:b/>
                <w:sz w:val="14"/>
                <w:szCs w:val="14"/>
              </w:rPr>
              <w:t>Liabilities</w:t>
            </w: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A616514" w14:textId="77777777">
            <w:pPr>
              <w:pStyle w:val="tablebody"/>
              <w:jc w:val="right"/>
              <w:rPr>
                <w:rFonts w:cs="Arial"/>
                <w:b/>
                <w:sz w:val="14"/>
                <w:szCs w:val="14"/>
              </w:rPr>
            </w:pPr>
            <w:r w:rsidRPr="0088782A">
              <w:rPr>
                <w:rFonts w:cs="Arial"/>
                <w:b/>
                <w:sz w:val="14"/>
                <w:szCs w:val="14"/>
              </w:rPr>
              <w:t xml:space="preserve">471,517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56F77AC" w14:textId="77777777">
            <w:pPr>
              <w:pStyle w:val="tablebody"/>
              <w:jc w:val="right"/>
              <w:rPr>
                <w:rFonts w:cs="Arial"/>
                <w:b/>
                <w:sz w:val="14"/>
                <w:szCs w:val="14"/>
              </w:rPr>
            </w:pPr>
            <w:r w:rsidRPr="0088782A">
              <w:rPr>
                <w:rFonts w:cs="Arial"/>
                <w:b/>
                <w:sz w:val="14"/>
                <w:szCs w:val="14"/>
              </w:rPr>
              <w:t xml:space="preserve">478,056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04EDF4B" w14:textId="77777777">
            <w:pPr>
              <w:pStyle w:val="tablebody"/>
              <w:jc w:val="right"/>
              <w:rPr>
                <w:rFonts w:cs="Arial"/>
                <w:b/>
                <w:sz w:val="14"/>
                <w:szCs w:val="14"/>
              </w:rPr>
            </w:pPr>
            <w:r w:rsidRPr="0088782A">
              <w:rPr>
                <w:rFonts w:cs="Arial"/>
                <w:b/>
                <w:sz w:val="14"/>
                <w:szCs w:val="14"/>
              </w:rPr>
              <w:t xml:space="preserve">1,058,534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CD929F8" w14:textId="77777777">
            <w:pPr>
              <w:pStyle w:val="tablebody"/>
              <w:jc w:val="right"/>
              <w:rPr>
                <w:rFonts w:cs="Arial"/>
                <w:b/>
                <w:sz w:val="14"/>
                <w:szCs w:val="14"/>
              </w:rPr>
            </w:pPr>
            <w:r w:rsidRPr="0088782A">
              <w:rPr>
                <w:rFonts w:cs="Arial"/>
                <w:b/>
                <w:sz w:val="14"/>
                <w:szCs w:val="14"/>
              </w:rPr>
              <w:t xml:space="preserve">968,186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22BF43F" w14:textId="77777777">
            <w:pPr>
              <w:pStyle w:val="tablebody"/>
              <w:jc w:val="right"/>
              <w:rPr>
                <w:rFonts w:cs="Arial"/>
                <w:b/>
                <w:sz w:val="14"/>
                <w:szCs w:val="14"/>
              </w:rPr>
            </w:pPr>
            <w:r w:rsidRPr="0088782A">
              <w:rPr>
                <w:rFonts w:cs="Arial"/>
                <w:b/>
                <w:sz w:val="14"/>
                <w:szCs w:val="14"/>
              </w:rPr>
              <w:t xml:space="preserve">51,770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B45F6F8" w14:textId="77777777">
            <w:pPr>
              <w:pStyle w:val="tablebody"/>
              <w:jc w:val="right"/>
              <w:rPr>
                <w:rFonts w:cs="Arial"/>
                <w:b/>
                <w:sz w:val="14"/>
                <w:szCs w:val="14"/>
              </w:rPr>
            </w:pPr>
            <w:r w:rsidRPr="0088782A">
              <w:rPr>
                <w:rFonts w:cs="Arial"/>
                <w:b/>
                <w:sz w:val="14"/>
                <w:szCs w:val="14"/>
              </w:rPr>
              <w:t xml:space="preserve">32,542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6205904" w14:textId="77777777">
            <w:pPr>
              <w:pStyle w:val="tablebody"/>
              <w:jc w:val="right"/>
              <w:rPr>
                <w:rFonts w:cs="Arial"/>
                <w:b/>
                <w:sz w:val="14"/>
                <w:szCs w:val="14"/>
              </w:rPr>
            </w:pPr>
            <w:r w:rsidRPr="0088782A">
              <w:rPr>
                <w:rFonts w:cs="Arial"/>
                <w:b/>
                <w:sz w:val="14"/>
                <w:szCs w:val="14"/>
              </w:rPr>
              <w:t xml:space="preserve">112,064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203CEE4" w14:textId="77777777">
            <w:pPr>
              <w:pStyle w:val="tablebody"/>
              <w:jc w:val="right"/>
              <w:rPr>
                <w:rFonts w:cs="Arial"/>
                <w:b/>
                <w:sz w:val="14"/>
                <w:szCs w:val="14"/>
              </w:rPr>
            </w:pPr>
            <w:r w:rsidRPr="0088782A">
              <w:rPr>
                <w:rFonts w:cs="Arial"/>
                <w:b/>
                <w:sz w:val="14"/>
                <w:szCs w:val="14"/>
              </w:rPr>
              <w:t xml:space="preserve">118,115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3724AB8A" w14:textId="77777777">
            <w:pPr>
              <w:pStyle w:val="tablebody"/>
              <w:jc w:val="right"/>
              <w:rPr>
                <w:rFonts w:cs="Arial"/>
                <w:b/>
                <w:sz w:val="14"/>
                <w:szCs w:val="14"/>
              </w:rPr>
            </w:pPr>
            <w:r w:rsidRPr="0088782A">
              <w:rPr>
                <w:rFonts w:cs="Arial"/>
                <w:b/>
                <w:sz w:val="14"/>
                <w:szCs w:val="14"/>
              </w:rPr>
              <w:t xml:space="preserve">28,196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4D59524" w14:textId="77777777">
            <w:pPr>
              <w:pStyle w:val="tablebody"/>
              <w:jc w:val="right"/>
              <w:rPr>
                <w:rFonts w:cs="Arial"/>
                <w:b/>
                <w:sz w:val="14"/>
                <w:szCs w:val="14"/>
              </w:rPr>
            </w:pPr>
            <w:r w:rsidRPr="0088782A">
              <w:rPr>
                <w:rFonts w:cs="Arial"/>
                <w:b/>
                <w:sz w:val="14"/>
                <w:szCs w:val="14"/>
              </w:rPr>
              <w:t xml:space="preserve">22,511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0C74EE8" w14:textId="77777777">
            <w:pPr>
              <w:pStyle w:val="tablebody"/>
              <w:jc w:val="right"/>
              <w:rPr>
                <w:rFonts w:cs="Arial"/>
                <w:b/>
                <w:sz w:val="14"/>
                <w:szCs w:val="14"/>
              </w:rPr>
            </w:pPr>
            <w:r w:rsidRPr="0088782A">
              <w:rPr>
                <w:rFonts w:cs="Arial"/>
                <w:b/>
                <w:sz w:val="14"/>
                <w:szCs w:val="14"/>
              </w:rPr>
              <w:t xml:space="preserve">87,818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592B0966" w14:textId="77777777">
            <w:pPr>
              <w:pStyle w:val="tablebody"/>
              <w:jc w:val="right"/>
              <w:rPr>
                <w:rFonts w:cs="Arial"/>
                <w:b/>
                <w:sz w:val="14"/>
                <w:szCs w:val="14"/>
              </w:rPr>
            </w:pPr>
            <w:r w:rsidRPr="0088782A">
              <w:rPr>
                <w:rFonts w:cs="Arial"/>
                <w:b/>
                <w:sz w:val="14"/>
                <w:szCs w:val="14"/>
              </w:rPr>
              <w:t xml:space="preserve">79,126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3147634" w14:textId="77777777">
            <w:pPr>
              <w:pStyle w:val="tablebody"/>
              <w:jc w:val="right"/>
              <w:rPr>
                <w:rFonts w:cs="Arial"/>
                <w:b/>
                <w:sz w:val="14"/>
                <w:szCs w:val="14"/>
              </w:rPr>
            </w:pPr>
            <w:r w:rsidRPr="0088782A">
              <w:rPr>
                <w:rFonts w:cs="Arial"/>
                <w:b/>
                <w:sz w:val="14"/>
                <w:szCs w:val="14"/>
              </w:rPr>
              <w:t xml:space="preserve">43,925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307952A" w14:textId="77777777">
            <w:pPr>
              <w:pStyle w:val="tablebody"/>
              <w:jc w:val="right"/>
              <w:rPr>
                <w:rFonts w:cs="Arial"/>
                <w:b/>
                <w:sz w:val="14"/>
                <w:szCs w:val="14"/>
              </w:rPr>
            </w:pPr>
            <w:r w:rsidRPr="0088782A">
              <w:rPr>
                <w:rFonts w:cs="Arial"/>
                <w:b/>
                <w:sz w:val="14"/>
                <w:szCs w:val="14"/>
              </w:rPr>
              <w:t xml:space="preserve">55,394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4F231CA" w14:textId="77777777">
            <w:pPr>
              <w:pStyle w:val="tablebody"/>
              <w:jc w:val="right"/>
              <w:rPr>
                <w:rFonts w:cs="Arial"/>
                <w:b/>
                <w:sz w:val="14"/>
                <w:szCs w:val="14"/>
              </w:rPr>
            </w:pPr>
            <w:r w:rsidRPr="0088782A">
              <w:rPr>
                <w:rFonts w:cs="Arial"/>
                <w:b/>
                <w:sz w:val="14"/>
                <w:szCs w:val="14"/>
              </w:rPr>
              <w:t xml:space="preserve">1,853,824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A6D01CE" w14:textId="77777777">
            <w:pPr>
              <w:pStyle w:val="tablebody"/>
              <w:jc w:val="right"/>
              <w:rPr>
                <w:rFonts w:cs="Arial"/>
                <w:b/>
                <w:sz w:val="14"/>
                <w:szCs w:val="14"/>
              </w:rPr>
            </w:pPr>
            <w:r w:rsidRPr="0088782A">
              <w:rPr>
                <w:rFonts w:cs="Arial"/>
                <w:b/>
                <w:sz w:val="14"/>
                <w:szCs w:val="14"/>
              </w:rPr>
              <w:t xml:space="preserve">1,753,930 </w:t>
            </w:r>
          </w:p>
        </w:tc>
      </w:tr>
      <w:tr w:rsidRPr="0088782A" w:rsidR="00535DCC" w:rsidTr="00CC210C" w14:paraId="28C5A53D" w14:textId="77777777">
        <w:tc>
          <w:tcPr>
            <w:tcW w:w="2566" w:type="dxa"/>
            <w:gridSpan w:val="2"/>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045808" w:rsidRDefault="00045808" w14:paraId="5A811B02" w14:textId="77777777">
            <w:pPr>
              <w:pStyle w:val="tablebody"/>
              <w:rPr>
                <w:rFonts w:cs="Arial"/>
                <w:b/>
                <w:sz w:val="14"/>
                <w:szCs w:val="14"/>
              </w:rPr>
            </w:pPr>
            <w:r w:rsidRPr="0088782A">
              <w:rPr>
                <w:rFonts w:cs="Arial"/>
                <w:b/>
                <w:sz w:val="14"/>
                <w:szCs w:val="14"/>
              </w:rPr>
              <w:t>Total liabilities</w:t>
            </w:r>
          </w:p>
        </w:tc>
        <w:tc>
          <w:tcPr>
            <w:tcW w:w="83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5F60501" w14:textId="77777777">
            <w:pPr>
              <w:pStyle w:val="tablebody"/>
              <w:jc w:val="right"/>
              <w:rPr>
                <w:rFonts w:cs="Arial"/>
                <w:b/>
                <w:sz w:val="14"/>
                <w:szCs w:val="14"/>
              </w:rPr>
            </w:pPr>
            <w:r w:rsidRPr="0088782A">
              <w:rPr>
                <w:rFonts w:cs="Arial"/>
                <w:b/>
                <w:sz w:val="14"/>
                <w:szCs w:val="14"/>
              </w:rPr>
              <w:t xml:space="preserve">471,517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A2AB2B4" w14:textId="77777777">
            <w:pPr>
              <w:pStyle w:val="tablebody"/>
              <w:jc w:val="right"/>
              <w:rPr>
                <w:rFonts w:cs="Arial"/>
                <w:b/>
                <w:sz w:val="14"/>
                <w:szCs w:val="14"/>
              </w:rPr>
            </w:pPr>
            <w:r w:rsidRPr="0088782A">
              <w:rPr>
                <w:rFonts w:cs="Arial"/>
                <w:b/>
                <w:sz w:val="14"/>
                <w:szCs w:val="14"/>
              </w:rPr>
              <w:t xml:space="preserve">478,056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3169E34" w14:textId="77777777">
            <w:pPr>
              <w:pStyle w:val="tablebody"/>
              <w:jc w:val="right"/>
              <w:rPr>
                <w:rFonts w:cs="Arial"/>
                <w:b/>
                <w:sz w:val="14"/>
                <w:szCs w:val="14"/>
              </w:rPr>
            </w:pPr>
            <w:r w:rsidRPr="0088782A">
              <w:rPr>
                <w:rFonts w:cs="Arial"/>
                <w:b/>
                <w:sz w:val="14"/>
                <w:szCs w:val="14"/>
              </w:rPr>
              <w:t xml:space="preserve">1,058,534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5BFD934" w14:textId="77777777">
            <w:pPr>
              <w:pStyle w:val="tablebody"/>
              <w:jc w:val="right"/>
              <w:rPr>
                <w:rFonts w:cs="Arial"/>
                <w:b/>
                <w:sz w:val="14"/>
                <w:szCs w:val="14"/>
              </w:rPr>
            </w:pPr>
            <w:r w:rsidRPr="0088782A">
              <w:rPr>
                <w:rFonts w:cs="Arial"/>
                <w:b/>
                <w:sz w:val="14"/>
                <w:szCs w:val="14"/>
              </w:rPr>
              <w:t xml:space="preserve">968,186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BFC6F17" w14:textId="77777777">
            <w:pPr>
              <w:pStyle w:val="tablebody"/>
              <w:jc w:val="right"/>
              <w:rPr>
                <w:rFonts w:cs="Arial"/>
                <w:b/>
                <w:sz w:val="14"/>
                <w:szCs w:val="14"/>
              </w:rPr>
            </w:pPr>
            <w:r w:rsidRPr="0088782A">
              <w:rPr>
                <w:rFonts w:cs="Arial"/>
                <w:b/>
                <w:sz w:val="14"/>
                <w:szCs w:val="14"/>
              </w:rPr>
              <w:t xml:space="preserve">51,770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E3EB5FA" w14:textId="77777777">
            <w:pPr>
              <w:pStyle w:val="tablebody"/>
              <w:jc w:val="right"/>
              <w:rPr>
                <w:rFonts w:cs="Arial"/>
                <w:b/>
                <w:sz w:val="14"/>
                <w:szCs w:val="14"/>
              </w:rPr>
            </w:pPr>
            <w:r w:rsidRPr="0088782A">
              <w:rPr>
                <w:rFonts w:cs="Arial"/>
                <w:b/>
                <w:sz w:val="14"/>
                <w:szCs w:val="14"/>
              </w:rPr>
              <w:t xml:space="preserve">32,542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6D7EB98" w14:textId="77777777">
            <w:pPr>
              <w:pStyle w:val="tablebody"/>
              <w:jc w:val="right"/>
              <w:rPr>
                <w:rFonts w:cs="Arial"/>
                <w:b/>
                <w:sz w:val="14"/>
                <w:szCs w:val="14"/>
              </w:rPr>
            </w:pPr>
            <w:r w:rsidRPr="0088782A">
              <w:rPr>
                <w:rFonts w:cs="Arial"/>
                <w:b/>
                <w:sz w:val="14"/>
                <w:szCs w:val="14"/>
              </w:rPr>
              <w:t xml:space="preserve">112,064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047613C5" w14:textId="77777777">
            <w:pPr>
              <w:pStyle w:val="tablebody"/>
              <w:jc w:val="right"/>
              <w:rPr>
                <w:rFonts w:cs="Arial"/>
                <w:b/>
                <w:sz w:val="14"/>
                <w:szCs w:val="14"/>
              </w:rPr>
            </w:pPr>
            <w:r w:rsidRPr="0088782A">
              <w:rPr>
                <w:rFonts w:cs="Arial"/>
                <w:b/>
                <w:sz w:val="14"/>
                <w:szCs w:val="14"/>
              </w:rPr>
              <w:t xml:space="preserve">118,115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0E10F1C" w14:textId="77777777">
            <w:pPr>
              <w:pStyle w:val="tablebody"/>
              <w:jc w:val="right"/>
              <w:rPr>
                <w:rFonts w:cs="Arial"/>
                <w:b/>
                <w:sz w:val="14"/>
                <w:szCs w:val="14"/>
              </w:rPr>
            </w:pPr>
            <w:r w:rsidRPr="0088782A">
              <w:rPr>
                <w:rFonts w:cs="Arial"/>
                <w:b/>
                <w:sz w:val="14"/>
                <w:szCs w:val="14"/>
              </w:rPr>
              <w:t xml:space="preserve">28,196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50D74E6" w14:textId="77777777">
            <w:pPr>
              <w:pStyle w:val="tablebody"/>
              <w:jc w:val="right"/>
              <w:rPr>
                <w:rFonts w:cs="Arial"/>
                <w:b/>
                <w:sz w:val="14"/>
                <w:szCs w:val="14"/>
              </w:rPr>
            </w:pPr>
            <w:r w:rsidRPr="0088782A">
              <w:rPr>
                <w:rFonts w:cs="Arial"/>
                <w:b/>
                <w:sz w:val="14"/>
                <w:szCs w:val="14"/>
              </w:rPr>
              <w:t xml:space="preserve">22,511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404A5939" w14:textId="77777777">
            <w:pPr>
              <w:pStyle w:val="tablebody"/>
              <w:jc w:val="right"/>
              <w:rPr>
                <w:rFonts w:cs="Arial"/>
                <w:b/>
                <w:sz w:val="14"/>
                <w:szCs w:val="14"/>
              </w:rPr>
            </w:pPr>
            <w:r w:rsidRPr="0088782A">
              <w:rPr>
                <w:rFonts w:cs="Arial"/>
                <w:b/>
                <w:sz w:val="14"/>
                <w:szCs w:val="14"/>
              </w:rPr>
              <w:t xml:space="preserve">87,818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7F4DA5FC" w14:textId="77777777">
            <w:pPr>
              <w:pStyle w:val="tablebody"/>
              <w:jc w:val="right"/>
              <w:rPr>
                <w:rFonts w:cs="Arial"/>
                <w:b/>
                <w:sz w:val="14"/>
                <w:szCs w:val="14"/>
              </w:rPr>
            </w:pPr>
            <w:r w:rsidRPr="0088782A">
              <w:rPr>
                <w:rFonts w:cs="Arial"/>
                <w:b/>
                <w:sz w:val="14"/>
                <w:szCs w:val="14"/>
              </w:rPr>
              <w:t xml:space="preserve">79,126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0E5C349" w14:textId="77777777">
            <w:pPr>
              <w:pStyle w:val="tablebody"/>
              <w:jc w:val="right"/>
              <w:rPr>
                <w:rFonts w:cs="Arial"/>
                <w:b/>
                <w:sz w:val="14"/>
                <w:szCs w:val="14"/>
              </w:rPr>
            </w:pPr>
            <w:r w:rsidRPr="0088782A">
              <w:rPr>
                <w:rFonts w:cs="Arial"/>
                <w:b/>
                <w:sz w:val="14"/>
                <w:szCs w:val="14"/>
              </w:rPr>
              <w:t xml:space="preserve">43,925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6981A268" w14:textId="77777777">
            <w:pPr>
              <w:pStyle w:val="tablebody"/>
              <w:jc w:val="right"/>
              <w:rPr>
                <w:rFonts w:cs="Arial"/>
                <w:b/>
                <w:sz w:val="14"/>
                <w:szCs w:val="14"/>
              </w:rPr>
            </w:pPr>
            <w:r w:rsidRPr="0088782A">
              <w:rPr>
                <w:rFonts w:cs="Arial"/>
                <w:b/>
                <w:sz w:val="14"/>
                <w:szCs w:val="14"/>
              </w:rPr>
              <w:t xml:space="preserve">55,394 </w:t>
            </w:r>
          </w:p>
        </w:tc>
        <w:tc>
          <w:tcPr>
            <w:tcW w:w="85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2D405649" w14:textId="77777777">
            <w:pPr>
              <w:pStyle w:val="tablebody"/>
              <w:jc w:val="right"/>
              <w:rPr>
                <w:rFonts w:cs="Arial"/>
                <w:b/>
                <w:sz w:val="14"/>
                <w:szCs w:val="14"/>
              </w:rPr>
            </w:pPr>
            <w:r w:rsidRPr="0088782A">
              <w:rPr>
                <w:rFonts w:cs="Arial"/>
                <w:b/>
                <w:sz w:val="14"/>
                <w:szCs w:val="14"/>
              </w:rPr>
              <w:t xml:space="preserve">1,853,824 </w:t>
            </w:r>
          </w:p>
        </w:tc>
        <w:tc>
          <w:tcPr>
            <w:tcW w:w="851"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88782A" w:rsidR="00045808" w:rsidP="00535DCC" w:rsidRDefault="00045808" w14:paraId="183AF495" w14:textId="77777777">
            <w:pPr>
              <w:pStyle w:val="tablebody"/>
              <w:jc w:val="right"/>
              <w:rPr>
                <w:rFonts w:cs="Arial"/>
                <w:b/>
                <w:sz w:val="14"/>
                <w:szCs w:val="14"/>
              </w:rPr>
            </w:pPr>
            <w:r w:rsidRPr="0088782A">
              <w:rPr>
                <w:rFonts w:cs="Arial"/>
                <w:b/>
                <w:sz w:val="14"/>
                <w:szCs w:val="14"/>
              </w:rPr>
              <w:t xml:space="preserve">1,753,930 </w:t>
            </w:r>
          </w:p>
        </w:tc>
      </w:tr>
      <w:tr w:rsidRPr="0088782A" w:rsidR="00535DCC" w:rsidTr="00CC210C" w14:paraId="4598E1A0" w14:textId="77777777">
        <w:tc>
          <w:tcPr>
            <w:tcW w:w="2566" w:type="dxa"/>
            <w:gridSpan w:val="2"/>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045808" w:rsidRDefault="00045808" w14:paraId="4160D5F9" w14:textId="77777777">
            <w:pPr>
              <w:pStyle w:val="tablebody"/>
              <w:rPr>
                <w:rFonts w:cs="Arial"/>
                <w:b/>
                <w:sz w:val="14"/>
                <w:szCs w:val="14"/>
              </w:rPr>
            </w:pPr>
            <w:r w:rsidRPr="0088782A">
              <w:rPr>
                <w:rFonts w:cs="Arial"/>
                <w:b/>
                <w:sz w:val="14"/>
                <w:szCs w:val="14"/>
              </w:rPr>
              <w:t>Net assets</w:t>
            </w:r>
          </w:p>
        </w:tc>
        <w:tc>
          <w:tcPr>
            <w:tcW w:w="837"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AFD8FDE" w14:textId="77777777">
            <w:pPr>
              <w:pStyle w:val="tablebody"/>
              <w:jc w:val="right"/>
              <w:rPr>
                <w:rFonts w:cs="Arial"/>
                <w:b/>
                <w:sz w:val="14"/>
                <w:szCs w:val="14"/>
              </w:rPr>
            </w:pPr>
            <w:r w:rsidRPr="0088782A">
              <w:rPr>
                <w:rFonts w:cs="Arial"/>
                <w:b/>
                <w:sz w:val="14"/>
                <w:szCs w:val="14"/>
              </w:rPr>
              <w:t xml:space="preserve">(4,896)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C850C65" w14:textId="77777777">
            <w:pPr>
              <w:pStyle w:val="tablebody"/>
              <w:jc w:val="right"/>
              <w:rPr>
                <w:rFonts w:cs="Arial"/>
                <w:b/>
                <w:sz w:val="14"/>
                <w:szCs w:val="14"/>
              </w:rPr>
            </w:pPr>
            <w:r w:rsidRPr="0088782A">
              <w:rPr>
                <w:rFonts w:cs="Arial"/>
                <w:b/>
                <w:sz w:val="14"/>
                <w:szCs w:val="14"/>
              </w:rPr>
              <w:t xml:space="preserve">2,127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73942E1" w14:textId="77777777">
            <w:pPr>
              <w:pStyle w:val="tablebody"/>
              <w:jc w:val="right"/>
              <w:rPr>
                <w:rFonts w:cs="Arial"/>
                <w:b/>
                <w:sz w:val="14"/>
                <w:szCs w:val="14"/>
              </w:rPr>
            </w:pPr>
            <w:r w:rsidRPr="0088782A">
              <w:rPr>
                <w:rFonts w:cs="Arial"/>
                <w:b/>
                <w:sz w:val="14"/>
                <w:szCs w:val="14"/>
              </w:rPr>
              <w:t xml:space="preserve">2,269,277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AC77074" w14:textId="77777777">
            <w:pPr>
              <w:pStyle w:val="tablebody"/>
              <w:jc w:val="right"/>
              <w:rPr>
                <w:rFonts w:cs="Arial"/>
                <w:b/>
                <w:sz w:val="14"/>
                <w:szCs w:val="14"/>
              </w:rPr>
            </w:pPr>
            <w:r w:rsidRPr="0088782A">
              <w:rPr>
                <w:rFonts w:cs="Arial"/>
                <w:b/>
                <w:sz w:val="14"/>
                <w:szCs w:val="14"/>
              </w:rPr>
              <w:t xml:space="preserve">2,253,116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031ED42" w14:textId="77777777">
            <w:pPr>
              <w:pStyle w:val="tablebody"/>
              <w:jc w:val="right"/>
              <w:rPr>
                <w:rFonts w:cs="Arial"/>
                <w:b/>
                <w:sz w:val="14"/>
                <w:szCs w:val="14"/>
              </w:rPr>
            </w:pPr>
            <w:r w:rsidRPr="0088782A">
              <w:rPr>
                <w:rFonts w:cs="Arial"/>
                <w:b/>
                <w:sz w:val="14"/>
                <w:szCs w:val="14"/>
              </w:rPr>
              <w:t xml:space="preserve">370,513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667ABA8" w14:textId="77777777">
            <w:pPr>
              <w:pStyle w:val="tablebody"/>
              <w:jc w:val="right"/>
              <w:rPr>
                <w:rFonts w:cs="Arial"/>
                <w:b/>
                <w:sz w:val="14"/>
                <w:szCs w:val="14"/>
              </w:rPr>
            </w:pPr>
            <w:r w:rsidRPr="0088782A">
              <w:rPr>
                <w:rFonts w:cs="Arial"/>
                <w:b/>
                <w:sz w:val="14"/>
                <w:szCs w:val="14"/>
              </w:rPr>
              <w:t xml:space="preserve">258,527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2312C17" w14:textId="77777777">
            <w:pPr>
              <w:pStyle w:val="tablebody"/>
              <w:jc w:val="right"/>
              <w:rPr>
                <w:rFonts w:cs="Arial"/>
                <w:b/>
                <w:sz w:val="14"/>
                <w:szCs w:val="14"/>
              </w:rPr>
            </w:pPr>
            <w:r w:rsidRPr="0088782A">
              <w:rPr>
                <w:rFonts w:cs="Arial"/>
                <w:b/>
                <w:sz w:val="14"/>
                <w:szCs w:val="14"/>
              </w:rPr>
              <w:t xml:space="preserve">107,843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237542F4" w14:textId="77777777">
            <w:pPr>
              <w:pStyle w:val="tablebody"/>
              <w:jc w:val="right"/>
              <w:rPr>
                <w:rFonts w:cs="Arial"/>
                <w:b/>
                <w:sz w:val="14"/>
                <w:szCs w:val="14"/>
              </w:rPr>
            </w:pPr>
            <w:r w:rsidRPr="0088782A">
              <w:rPr>
                <w:rFonts w:cs="Arial"/>
                <w:b/>
                <w:sz w:val="14"/>
                <w:szCs w:val="14"/>
              </w:rPr>
              <w:t xml:space="preserve">109,938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649640E3" w14:textId="77777777">
            <w:pPr>
              <w:pStyle w:val="tablebody"/>
              <w:jc w:val="right"/>
              <w:rPr>
                <w:rFonts w:cs="Arial"/>
                <w:b/>
                <w:sz w:val="14"/>
                <w:szCs w:val="14"/>
              </w:rPr>
            </w:pPr>
            <w:r w:rsidRPr="0088782A">
              <w:rPr>
                <w:rFonts w:cs="Arial"/>
                <w:b/>
                <w:sz w:val="14"/>
                <w:szCs w:val="14"/>
              </w:rPr>
              <w:t xml:space="preserve">36,631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34431C8" w14:textId="77777777">
            <w:pPr>
              <w:pStyle w:val="tablebody"/>
              <w:jc w:val="right"/>
              <w:rPr>
                <w:rFonts w:cs="Arial"/>
                <w:b/>
                <w:sz w:val="14"/>
                <w:szCs w:val="14"/>
              </w:rPr>
            </w:pPr>
            <w:r w:rsidRPr="0088782A">
              <w:rPr>
                <w:rFonts w:cs="Arial"/>
                <w:b/>
                <w:sz w:val="14"/>
                <w:szCs w:val="14"/>
              </w:rPr>
              <w:t xml:space="preserve">15,840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1A36C663" w14:textId="77777777">
            <w:pPr>
              <w:pStyle w:val="tablebody"/>
              <w:jc w:val="right"/>
              <w:rPr>
                <w:rFonts w:cs="Arial"/>
                <w:b/>
                <w:sz w:val="14"/>
                <w:szCs w:val="14"/>
              </w:rPr>
            </w:pPr>
            <w:r w:rsidRPr="0088782A">
              <w:rPr>
                <w:rFonts w:cs="Arial"/>
                <w:b/>
                <w:sz w:val="14"/>
                <w:szCs w:val="14"/>
              </w:rPr>
              <w:t xml:space="preserve">227,334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26579D7" w14:textId="77777777">
            <w:pPr>
              <w:pStyle w:val="tablebody"/>
              <w:jc w:val="right"/>
              <w:rPr>
                <w:rFonts w:cs="Arial"/>
                <w:b/>
                <w:sz w:val="14"/>
                <w:szCs w:val="14"/>
              </w:rPr>
            </w:pPr>
            <w:r w:rsidRPr="0088782A">
              <w:rPr>
                <w:rFonts w:cs="Arial"/>
                <w:b/>
                <w:sz w:val="14"/>
                <w:szCs w:val="14"/>
              </w:rPr>
              <w:t xml:space="preserve">142,215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49FFF795" w14:textId="77777777">
            <w:pPr>
              <w:pStyle w:val="tablebody"/>
              <w:jc w:val="right"/>
              <w:rPr>
                <w:rFonts w:cs="Arial"/>
                <w:b/>
                <w:sz w:val="14"/>
                <w:szCs w:val="14"/>
              </w:rPr>
            </w:pPr>
            <w:r w:rsidRPr="0088782A">
              <w:rPr>
                <w:rFonts w:cs="Arial"/>
                <w:b/>
                <w:sz w:val="14"/>
                <w:szCs w:val="14"/>
              </w:rPr>
              <w:t xml:space="preserve">267,984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7BC9FE18" w14:textId="77777777">
            <w:pPr>
              <w:pStyle w:val="tablebody"/>
              <w:jc w:val="right"/>
              <w:rPr>
                <w:rFonts w:cs="Arial"/>
                <w:b/>
                <w:sz w:val="14"/>
                <w:szCs w:val="14"/>
              </w:rPr>
            </w:pPr>
            <w:r w:rsidRPr="0088782A">
              <w:rPr>
                <w:rFonts w:cs="Arial"/>
                <w:b/>
                <w:sz w:val="14"/>
                <w:szCs w:val="14"/>
              </w:rPr>
              <w:t xml:space="preserve">273,737 </w:t>
            </w:r>
          </w:p>
        </w:tc>
        <w:tc>
          <w:tcPr>
            <w:tcW w:w="850"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0F25DF4D" w14:textId="77777777">
            <w:pPr>
              <w:pStyle w:val="tablebody"/>
              <w:jc w:val="right"/>
              <w:rPr>
                <w:rFonts w:cs="Arial"/>
                <w:b/>
                <w:sz w:val="14"/>
                <w:szCs w:val="14"/>
              </w:rPr>
            </w:pPr>
            <w:r w:rsidRPr="0088782A">
              <w:rPr>
                <w:rFonts w:cs="Arial"/>
                <w:b/>
                <w:sz w:val="14"/>
                <w:szCs w:val="14"/>
              </w:rPr>
              <w:t xml:space="preserve">3,274,686 </w:t>
            </w:r>
          </w:p>
        </w:tc>
        <w:tc>
          <w:tcPr>
            <w:tcW w:w="851" w:type="dxa"/>
            <w:tcBorders>
              <w:top w:val="single" w:color="000000" w:sz="6" w:space="0"/>
              <w:left w:val="nil"/>
              <w:bottom w:val="single" w:color="000000" w:sz="12" w:space="0"/>
              <w:right w:val="nil"/>
            </w:tcBorders>
            <w:tcMar>
              <w:top w:w="28" w:type="dxa"/>
              <w:left w:w="0" w:type="dxa"/>
              <w:bottom w:w="28" w:type="dxa"/>
              <w:right w:w="0" w:type="dxa"/>
            </w:tcMar>
            <w:vAlign w:val="bottom"/>
          </w:tcPr>
          <w:p w:rsidRPr="0088782A" w:rsidR="00045808" w:rsidP="00535DCC" w:rsidRDefault="00045808" w14:paraId="3AF434C3" w14:textId="77777777">
            <w:pPr>
              <w:pStyle w:val="tablebody"/>
              <w:jc w:val="right"/>
              <w:rPr>
                <w:rFonts w:cs="Arial"/>
                <w:b/>
                <w:sz w:val="14"/>
                <w:szCs w:val="14"/>
              </w:rPr>
            </w:pPr>
            <w:r w:rsidRPr="0088782A">
              <w:rPr>
                <w:rFonts w:cs="Arial"/>
                <w:b/>
                <w:sz w:val="14"/>
                <w:szCs w:val="14"/>
              </w:rPr>
              <w:t xml:space="preserve">3,055,500 </w:t>
            </w:r>
          </w:p>
        </w:tc>
      </w:tr>
    </w:tbl>
    <w:p w:rsidR="00A96D3F" w:rsidRDefault="00A96D3F" w14:paraId="7638DE41" w14:textId="77777777">
      <w:pPr>
        <w:spacing w:after="0"/>
      </w:pPr>
      <w:r>
        <w:br w:type="page"/>
      </w:r>
    </w:p>
    <w:p w:rsidR="00A96D3F" w:rsidP="00293DB6" w:rsidRDefault="00A96D3F" w14:paraId="5DA3A210" w14:textId="77777777">
      <w:pPr>
        <w:spacing w:after="0"/>
      </w:pPr>
    </w:p>
    <w:p w:rsidRPr="00A96D3F" w:rsidR="00A96D3F" w:rsidP="00293DB6" w:rsidRDefault="00A96D3F" w14:paraId="3DCE1F9D" w14:textId="6F384B0A">
      <w:pPr>
        <w:pStyle w:val="Heading3"/>
        <w:spacing w:before="0"/>
        <w:ind w:left="-1418"/>
      </w:pPr>
      <w:r w:rsidRPr="00A96D3F">
        <w:t>4.3 Administered items</w:t>
      </w:r>
    </w:p>
    <w:p w:rsidRPr="00A96D3F" w:rsidR="00A96D3F" w:rsidP="00293DB6" w:rsidRDefault="00A96D3F" w14:paraId="279FAAEB" w14:textId="33B0F620">
      <w:pPr>
        <w:spacing w:after="60"/>
        <w:ind w:left="-1418" w:right="-476"/>
      </w:pPr>
      <w:r w:rsidRPr="00A96D3F">
        <w:t>In addition to the specific departmental operations which are controlled and included in the financial statements (comprehensive operating statement, balance sheet, cash flow statement and statement of changes in equity), the department administers or manages, but does not control, certain resources and activities on behalf of the State. The department is accountable for the transactions involving those administered resources, but does not have the discretion to deploy the resources for its own benefit or for the achievement of its objectives. Accordingly, transactions and balances relating to these administered resources are not recognised as departmental income, expenses, assets or liabilities within the body of the financial statements, but are disclosed separately in this note.</w:t>
      </w:r>
    </w:p>
    <w:p w:rsidRPr="00A96D3F" w:rsidR="00A96D3F" w:rsidP="00293DB6" w:rsidRDefault="00A96D3F" w14:paraId="336CCDE4" w14:textId="77777777">
      <w:pPr>
        <w:spacing w:after="60"/>
        <w:ind w:left="-1418" w:right="-476"/>
        <w:rPr>
          <w:rFonts w:cs="Times New Roman (Body CS)"/>
          <w:spacing w:val="-3"/>
        </w:rPr>
      </w:pPr>
      <w:r w:rsidRPr="00A96D3F">
        <w:rPr>
          <w:rFonts w:cs="Times New Roman (Body CS)"/>
          <w:spacing w:val="-3"/>
        </w:rPr>
        <w:t xml:space="preserve">Except as otherwise disclosed, administered transactions are accounted for on an accrual basis using the same accounting policies adopted for recognition of the departmental items in the financial statements.  </w:t>
      </w:r>
    </w:p>
    <w:p w:rsidRPr="00A96D3F" w:rsidR="00A96D3F" w:rsidP="00293DB6" w:rsidRDefault="00A96D3F" w14:paraId="70237978" w14:textId="77777777">
      <w:pPr>
        <w:spacing w:after="60"/>
        <w:ind w:left="-1418" w:right="-476"/>
        <w:rPr>
          <w:b/>
          <w:bCs/>
        </w:rPr>
      </w:pPr>
      <w:r w:rsidRPr="00A96D3F">
        <w:rPr>
          <w:b/>
          <w:bCs/>
        </w:rPr>
        <w:t>Administered (non-controlled) items</w:t>
      </w:r>
    </w:p>
    <w:p w:rsidRPr="00A96D3F" w:rsidR="00A96D3F" w:rsidP="00293DB6" w:rsidRDefault="00A96D3F" w14:paraId="26A506CE" w14:textId="7E9D15AC">
      <w:pPr>
        <w:spacing w:after="60"/>
        <w:ind w:left="-1418" w:right="-476"/>
      </w:pPr>
      <w:r w:rsidRPr="00A96D3F">
        <w:t>For the financial year ended 30 June 2019</w:t>
      </w:r>
    </w:p>
    <w:tbl>
      <w:tblPr>
        <w:tblW w:w="16073" w:type="dxa"/>
        <w:tblInd w:w="-1418" w:type="dxa"/>
        <w:tblLayout w:type="fixed"/>
        <w:tblCellMar>
          <w:left w:w="0" w:type="dxa"/>
          <w:right w:w="0" w:type="dxa"/>
        </w:tblCellMar>
        <w:tblLook w:firstRow="1" w:lastRow="0" w:firstColumn="0" w:lastColumn="0" w:noHBand="0" w:noVBand="0" w:val="0020"/>
      </w:tblPr>
      <w:tblGrid>
        <w:gridCol w:w="3686"/>
        <w:gridCol w:w="481"/>
        <w:gridCol w:w="794"/>
        <w:gridCol w:w="794"/>
        <w:gridCol w:w="793"/>
        <w:gridCol w:w="794"/>
        <w:gridCol w:w="794"/>
        <w:gridCol w:w="793"/>
        <w:gridCol w:w="794"/>
        <w:gridCol w:w="794"/>
        <w:gridCol w:w="794"/>
        <w:gridCol w:w="793"/>
        <w:gridCol w:w="794"/>
        <w:gridCol w:w="794"/>
        <w:gridCol w:w="793"/>
        <w:gridCol w:w="794"/>
        <w:gridCol w:w="794"/>
      </w:tblGrid>
      <w:tr w:rsidRPr="0088782A" w:rsidR="00A96D3F" w:rsidTr="0088782A" w14:paraId="5D806C38" w14:textId="77777777">
        <w:trPr>
          <w:trHeight w:val="60"/>
          <w:tblHeader/>
        </w:trPr>
        <w:tc>
          <w:tcPr>
            <w:tcW w:w="3686"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402C7A8" w14:textId="77777777">
            <w:pPr>
              <w:pStyle w:val="tablebody"/>
              <w:rPr>
                <w:rFonts w:cs="Arial"/>
                <w:b/>
                <w:sz w:val="13"/>
                <w:szCs w:val="13"/>
                <w:lang w:val="en-US"/>
              </w:rPr>
            </w:pPr>
          </w:p>
        </w:tc>
        <w:tc>
          <w:tcPr>
            <w:tcW w:w="1275"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9B24210" w14:textId="77777777">
            <w:pPr>
              <w:pStyle w:val="tablebody"/>
              <w:jc w:val="right"/>
              <w:rPr>
                <w:rFonts w:cs="Arial"/>
                <w:b/>
                <w:sz w:val="13"/>
                <w:szCs w:val="13"/>
                <w:lang w:val="en-US"/>
              </w:rPr>
            </w:pP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669D24F8" w14:textId="77777777">
            <w:pPr>
              <w:pStyle w:val="tablebody"/>
              <w:jc w:val="right"/>
              <w:rPr>
                <w:rFonts w:cs="Arial"/>
                <w:b/>
                <w:sz w:val="13"/>
                <w:szCs w:val="13"/>
                <w:lang w:val="en-US"/>
              </w:rPr>
            </w:pP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5A03109" w14:textId="77777777">
            <w:pPr>
              <w:pStyle w:val="tablebody"/>
              <w:jc w:val="right"/>
              <w:rPr>
                <w:rFonts w:cs="Arial"/>
                <w:b/>
                <w:sz w:val="13"/>
                <w:szCs w:val="13"/>
                <w:lang w:val="en-US"/>
              </w:rPr>
            </w:pP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D85F22C" w14:textId="77777777">
            <w:pPr>
              <w:pStyle w:val="tablebody"/>
              <w:jc w:val="right"/>
              <w:rPr>
                <w:rFonts w:cs="Arial"/>
                <w:b/>
                <w:sz w:val="13"/>
                <w:szCs w:val="13"/>
                <w:lang w:val="en-US"/>
              </w:rPr>
            </w:pP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6A85BE5" w14:textId="77777777">
            <w:pPr>
              <w:pStyle w:val="tablebody"/>
              <w:jc w:val="right"/>
              <w:rPr>
                <w:rFonts w:cs="Arial"/>
                <w:b/>
                <w:sz w:val="13"/>
                <w:szCs w:val="13"/>
                <w:lang w:val="en-US"/>
              </w:rPr>
            </w:pP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3DA5F32" w14:textId="77777777">
            <w:pPr>
              <w:pStyle w:val="tablebody"/>
              <w:jc w:val="right"/>
              <w:rPr>
                <w:rFonts w:cs="Arial"/>
                <w:b/>
                <w:sz w:val="13"/>
                <w:szCs w:val="13"/>
                <w:lang w:val="en-US"/>
              </w:rPr>
            </w:pP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B82D682" w14:textId="77777777">
            <w:pPr>
              <w:pStyle w:val="tablebody"/>
              <w:jc w:val="right"/>
              <w:rPr>
                <w:rFonts w:cs="Arial"/>
                <w:b/>
                <w:sz w:val="13"/>
                <w:szCs w:val="13"/>
                <w:lang w:val="en-US"/>
              </w:rPr>
            </w:pP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56C0ECB" w14:textId="77777777">
            <w:pPr>
              <w:pStyle w:val="tablebody"/>
              <w:jc w:val="right"/>
              <w:rPr>
                <w:rFonts w:cs="Arial"/>
                <w:b/>
                <w:color w:val="000000"/>
                <w:sz w:val="13"/>
                <w:szCs w:val="13"/>
              </w:rPr>
            </w:pPr>
            <w:r w:rsidRPr="0088782A">
              <w:rPr>
                <w:rFonts w:cs="Arial"/>
                <w:b/>
                <w:color w:val="000000"/>
                <w:sz w:val="13"/>
                <w:szCs w:val="13"/>
              </w:rPr>
              <w:t>($ thousand)</w:t>
            </w:r>
          </w:p>
        </w:tc>
      </w:tr>
      <w:tr w:rsidRPr="0088782A" w:rsidR="00A96D3F" w:rsidTr="0088782A" w14:paraId="035C4082" w14:textId="77777777">
        <w:trPr>
          <w:trHeight w:val="60"/>
          <w:tblHeader/>
        </w:trPr>
        <w:tc>
          <w:tcPr>
            <w:tcW w:w="3686" w:type="dxa"/>
            <w:tcBorders>
              <w:top w:val="single" w:color="000000" w:sz="6" w:space="0"/>
              <w:left w:val="nil"/>
              <w:bottom w:val="single" w:color="000000" w:sz="8" w:space="0"/>
              <w:right w:val="nil"/>
            </w:tcBorders>
            <w:tcMar>
              <w:top w:w="0" w:type="dxa"/>
              <w:left w:w="0" w:type="dxa"/>
              <w:bottom w:w="17" w:type="dxa"/>
              <w:right w:w="0" w:type="dxa"/>
            </w:tcMar>
          </w:tcPr>
          <w:p w:rsidRPr="0088782A" w:rsidR="00A96D3F" w:rsidP="00A96D3F" w:rsidRDefault="00A96D3F" w14:paraId="22C47E75" w14:textId="77777777">
            <w:pPr>
              <w:pStyle w:val="tablebody"/>
              <w:rPr>
                <w:rFonts w:cs="Arial"/>
                <w:b/>
                <w:sz w:val="13"/>
                <w:szCs w:val="13"/>
                <w:lang w:val="en-US"/>
              </w:rPr>
            </w:pPr>
          </w:p>
        </w:tc>
        <w:tc>
          <w:tcPr>
            <w:tcW w:w="1275"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6734075F" w14:textId="77777777">
            <w:pPr>
              <w:pStyle w:val="tablebody"/>
              <w:jc w:val="right"/>
              <w:rPr>
                <w:rFonts w:cs="Arial"/>
                <w:b/>
                <w:color w:val="000000"/>
                <w:sz w:val="13"/>
                <w:szCs w:val="13"/>
              </w:rPr>
            </w:pPr>
            <w:r w:rsidRPr="0088782A">
              <w:rPr>
                <w:rFonts w:cs="Arial"/>
                <w:b/>
                <w:color w:val="000000"/>
                <w:sz w:val="13"/>
                <w:szCs w:val="13"/>
              </w:rPr>
              <w:t>Policing and crime prevention</w:t>
            </w: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520BC28B" w14:textId="77777777">
            <w:pPr>
              <w:pStyle w:val="tablebody"/>
              <w:jc w:val="right"/>
              <w:rPr>
                <w:rFonts w:cs="Arial"/>
                <w:b/>
                <w:color w:val="000000"/>
                <w:sz w:val="13"/>
                <w:szCs w:val="13"/>
              </w:rPr>
            </w:pPr>
            <w:r w:rsidRPr="0088782A">
              <w:rPr>
                <w:rFonts w:cs="Arial"/>
                <w:b/>
                <w:color w:val="000000"/>
                <w:sz w:val="13"/>
                <w:szCs w:val="13"/>
              </w:rPr>
              <w:t>Enforcing and managing correctional orders</w:t>
            </w: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28333214" w14:textId="77777777">
            <w:pPr>
              <w:pStyle w:val="tablebody"/>
              <w:jc w:val="right"/>
              <w:rPr>
                <w:rFonts w:cs="Arial"/>
                <w:b/>
                <w:color w:val="000000"/>
                <w:sz w:val="13"/>
                <w:szCs w:val="13"/>
              </w:rPr>
            </w:pPr>
            <w:r w:rsidRPr="0088782A">
              <w:rPr>
                <w:rFonts w:cs="Arial"/>
                <w:b/>
                <w:color w:val="000000"/>
                <w:sz w:val="13"/>
                <w:szCs w:val="13"/>
              </w:rPr>
              <w:t>Youth justice</w:t>
            </w:r>
            <w:r w:rsidRPr="0088782A">
              <w:rPr>
                <w:rFonts w:cs="Arial"/>
                <w:b/>
                <w:color w:val="000000"/>
                <w:sz w:val="13"/>
                <w:szCs w:val="13"/>
              </w:rPr>
              <w:br/>
              <w:t>services</w:t>
            </w: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4F14EC1A" w14:textId="77777777">
            <w:pPr>
              <w:pStyle w:val="tablebody"/>
              <w:jc w:val="right"/>
              <w:rPr>
                <w:rFonts w:cs="Arial"/>
                <w:b/>
                <w:color w:val="000000"/>
                <w:sz w:val="13"/>
                <w:szCs w:val="13"/>
              </w:rPr>
            </w:pPr>
            <w:r w:rsidRPr="0088782A">
              <w:rPr>
                <w:rFonts w:cs="Arial"/>
                <w:b/>
                <w:color w:val="000000"/>
                <w:sz w:val="13"/>
                <w:szCs w:val="13"/>
              </w:rPr>
              <w:t>Criminal justice</w:t>
            </w:r>
            <w:r w:rsidRPr="0088782A">
              <w:rPr>
                <w:rFonts w:cs="Arial"/>
                <w:b/>
                <w:color w:val="000000"/>
                <w:sz w:val="13"/>
                <w:szCs w:val="13"/>
              </w:rPr>
              <w:br/>
              <w:t>services</w:t>
            </w: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70B27C2E" w14:textId="77777777">
            <w:pPr>
              <w:pStyle w:val="tablebody"/>
              <w:jc w:val="right"/>
              <w:rPr>
                <w:rFonts w:cs="Arial"/>
                <w:b/>
                <w:color w:val="000000"/>
                <w:sz w:val="13"/>
                <w:szCs w:val="13"/>
              </w:rPr>
            </w:pPr>
            <w:r w:rsidRPr="0088782A">
              <w:rPr>
                <w:rFonts w:cs="Arial"/>
                <w:b/>
                <w:color w:val="000000"/>
                <w:sz w:val="13"/>
                <w:szCs w:val="13"/>
              </w:rPr>
              <w:t>Civil justice</w:t>
            </w:r>
            <w:r w:rsidRPr="0088782A">
              <w:rPr>
                <w:rFonts w:cs="Arial"/>
                <w:b/>
                <w:color w:val="000000"/>
                <w:sz w:val="13"/>
                <w:szCs w:val="13"/>
              </w:rPr>
              <w:br/>
              <w:t>services</w:t>
            </w: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0A52EFA5" w14:textId="77777777">
            <w:pPr>
              <w:pStyle w:val="tablebody"/>
              <w:jc w:val="right"/>
              <w:rPr>
                <w:rFonts w:cs="Arial"/>
                <w:b/>
                <w:color w:val="000000"/>
                <w:sz w:val="13"/>
                <w:szCs w:val="13"/>
              </w:rPr>
            </w:pPr>
            <w:r w:rsidRPr="0088782A">
              <w:rPr>
                <w:rFonts w:cs="Arial"/>
                <w:b/>
                <w:color w:val="000000"/>
                <w:sz w:val="13"/>
                <w:szCs w:val="13"/>
              </w:rPr>
              <w:t>Emergency</w:t>
            </w:r>
            <w:r w:rsidRPr="0088782A">
              <w:rPr>
                <w:rFonts w:cs="Arial"/>
                <w:b/>
                <w:color w:val="000000"/>
                <w:sz w:val="13"/>
                <w:szCs w:val="13"/>
              </w:rPr>
              <w:br/>
              <w:t>management</w:t>
            </w:r>
          </w:p>
        </w:tc>
        <w:tc>
          <w:tcPr>
            <w:tcW w:w="1587"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2AC03508" w14:textId="77777777">
            <w:pPr>
              <w:pStyle w:val="tablebody"/>
              <w:jc w:val="right"/>
              <w:rPr>
                <w:rFonts w:cs="Arial"/>
                <w:b/>
                <w:color w:val="000000"/>
                <w:sz w:val="13"/>
                <w:szCs w:val="13"/>
              </w:rPr>
            </w:pPr>
            <w:r w:rsidRPr="0088782A">
              <w:rPr>
                <w:rFonts w:cs="Arial"/>
                <w:b/>
                <w:color w:val="000000"/>
                <w:sz w:val="13"/>
                <w:szCs w:val="13"/>
              </w:rPr>
              <w:t>Industry regulation</w:t>
            </w:r>
            <w:r w:rsidRPr="0088782A">
              <w:rPr>
                <w:rFonts w:cs="Arial"/>
                <w:b/>
                <w:color w:val="000000"/>
                <w:sz w:val="13"/>
                <w:szCs w:val="13"/>
              </w:rPr>
              <w:br/>
              <w:t>and support</w:t>
            </w:r>
          </w:p>
        </w:tc>
        <w:tc>
          <w:tcPr>
            <w:tcW w:w="1588" w:type="dxa"/>
            <w:gridSpan w:val="2"/>
            <w:tcBorders>
              <w:top w:val="single" w:color="000000" w:sz="6" w:space="0"/>
              <w:left w:val="nil"/>
              <w:bottom w:val="single" w:color="000000" w:sz="6" w:space="0"/>
              <w:right w:val="nil"/>
            </w:tcBorders>
            <w:tcMar>
              <w:top w:w="0" w:type="dxa"/>
              <w:left w:w="0" w:type="dxa"/>
              <w:bottom w:w="17" w:type="dxa"/>
              <w:right w:w="0" w:type="dxa"/>
            </w:tcMar>
            <w:vAlign w:val="bottom"/>
          </w:tcPr>
          <w:p w:rsidRPr="0088782A" w:rsidR="00A96D3F" w:rsidP="00293DB6" w:rsidRDefault="00A96D3F" w14:paraId="2ABF2E34" w14:textId="77777777">
            <w:pPr>
              <w:pStyle w:val="tablebody"/>
              <w:jc w:val="right"/>
              <w:rPr>
                <w:rFonts w:cs="Arial"/>
                <w:b/>
                <w:color w:val="000000"/>
                <w:sz w:val="13"/>
                <w:szCs w:val="13"/>
              </w:rPr>
            </w:pPr>
            <w:r w:rsidRPr="0088782A">
              <w:rPr>
                <w:rFonts w:cs="Arial"/>
                <w:b/>
                <w:color w:val="000000"/>
                <w:sz w:val="13"/>
                <w:szCs w:val="13"/>
              </w:rPr>
              <w:t>Departmental total</w:t>
            </w:r>
          </w:p>
        </w:tc>
      </w:tr>
      <w:tr w:rsidRPr="0088782A" w:rsidR="00A96D3F" w:rsidTr="0088782A" w14:paraId="06B6FF3D" w14:textId="77777777">
        <w:trPr>
          <w:trHeight w:val="113"/>
          <w:tblHeader/>
        </w:trPr>
        <w:tc>
          <w:tcPr>
            <w:tcW w:w="3686" w:type="dxa"/>
            <w:tcBorders>
              <w:top w:val="single" w:color="000000" w:sz="8" w:space="0"/>
              <w:left w:val="nil"/>
              <w:bottom w:val="single" w:color="000000" w:sz="6" w:space="0"/>
              <w:right w:val="nil"/>
            </w:tcBorders>
            <w:tcMar>
              <w:top w:w="0" w:type="dxa"/>
              <w:left w:w="0" w:type="dxa"/>
              <w:bottom w:w="17" w:type="dxa"/>
              <w:right w:w="0" w:type="dxa"/>
            </w:tcMar>
          </w:tcPr>
          <w:p w:rsidRPr="0088782A" w:rsidR="00A96D3F" w:rsidP="00A96D3F" w:rsidRDefault="00A96D3F" w14:paraId="052376E0" w14:textId="77777777">
            <w:pPr>
              <w:pStyle w:val="tablebody"/>
              <w:rPr>
                <w:rFonts w:cs="Arial"/>
                <w:b/>
                <w:sz w:val="13"/>
                <w:szCs w:val="13"/>
                <w:lang w:val="en-US"/>
              </w:rPr>
            </w:pPr>
          </w:p>
        </w:tc>
        <w:tc>
          <w:tcPr>
            <w:tcW w:w="481"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C9412F7"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7A87249" w14:textId="77777777">
            <w:pPr>
              <w:pStyle w:val="tablebody"/>
              <w:jc w:val="right"/>
              <w:rPr>
                <w:rFonts w:cs="Arial"/>
                <w:b/>
                <w:color w:val="000000"/>
                <w:sz w:val="13"/>
                <w:szCs w:val="13"/>
              </w:rPr>
            </w:pPr>
            <w:r w:rsidRPr="0088782A">
              <w:rPr>
                <w:rFonts w:cs="Arial"/>
                <w:b/>
                <w:color w:val="000000"/>
                <w:sz w:val="13"/>
                <w:szCs w:val="13"/>
              </w:rPr>
              <w:t>2018</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4352B38" w14:textId="77777777">
            <w:pPr>
              <w:pStyle w:val="tablebody"/>
              <w:jc w:val="right"/>
              <w:rPr>
                <w:rFonts w:cs="Arial"/>
                <w:b/>
                <w:color w:val="000000"/>
                <w:sz w:val="13"/>
                <w:szCs w:val="13"/>
              </w:rPr>
            </w:pPr>
            <w:r w:rsidRPr="0088782A">
              <w:rPr>
                <w:rFonts w:cs="Arial"/>
                <w:b/>
                <w:color w:val="000000"/>
                <w:sz w:val="13"/>
                <w:szCs w:val="13"/>
              </w:rPr>
              <w:t>2019</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6C7CEDE" w14:textId="77777777">
            <w:pPr>
              <w:pStyle w:val="tablebody"/>
              <w:jc w:val="right"/>
              <w:rPr>
                <w:rFonts w:cs="Arial"/>
                <w:b/>
                <w:color w:val="000000"/>
                <w:sz w:val="13"/>
                <w:szCs w:val="13"/>
              </w:rPr>
            </w:pPr>
            <w:r w:rsidRPr="0088782A">
              <w:rPr>
                <w:rFonts w:cs="Arial"/>
                <w:b/>
                <w:color w:val="000000"/>
                <w:sz w:val="13"/>
                <w:szCs w:val="13"/>
              </w:rPr>
              <w:t>2018</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6A581E72"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194E8BC" w14:textId="77777777">
            <w:pPr>
              <w:pStyle w:val="tablebody"/>
              <w:jc w:val="right"/>
              <w:rPr>
                <w:rFonts w:cs="Arial"/>
                <w:b/>
                <w:color w:val="000000"/>
                <w:sz w:val="13"/>
                <w:szCs w:val="13"/>
              </w:rPr>
            </w:pPr>
            <w:r w:rsidRPr="0088782A">
              <w:rPr>
                <w:rFonts w:cs="Arial"/>
                <w:b/>
                <w:color w:val="000000"/>
                <w:sz w:val="13"/>
                <w:szCs w:val="13"/>
              </w:rPr>
              <w:t>2018</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8B14EA9"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523857C" w14:textId="77777777">
            <w:pPr>
              <w:pStyle w:val="tablebody"/>
              <w:jc w:val="right"/>
              <w:rPr>
                <w:rFonts w:cs="Arial"/>
                <w:b/>
                <w:color w:val="000000"/>
                <w:sz w:val="13"/>
                <w:szCs w:val="13"/>
              </w:rPr>
            </w:pPr>
            <w:r w:rsidRPr="0088782A">
              <w:rPr>
                <w:rFonts w:cs="Arial"/>
                <w:b/>
                <w:color w:val="000000"/>
                <w:sz w:val="13"/>
                <w:szCs w:val="13"/>
              </w:rPr>
              <w:t>2018</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EC4A296"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89E4BB4" w14:textId="77777777">
            <w:pPr>
              <w:pStyle w:val="tablebody"/>
              <w:jc w:val="right"/>
              <w:rPr>
                <w:rFonts w:cs="Arial"/>
                <w:b/>
                <w:color w:val="000000"/>
                <w:sz w:val="13"/>
                <w:szCs w:val="13"/>
              </w:rPr>
            </w:pPr>
            <w:r w:rsidRPr="0088782A">
              <w:rPr>
                <w:rFonts w:cs="Arial"/>
                <w:b/>
                <w:color w:val="000000"/>
                <w:sz w:val="13"/>
                <w:szCs w:val="13"/>
              </w:rPr>
              <w:t>2018</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BCB11DB"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878D3C1" w14:textId="77777777">
            <w:pPr>
              <w:pStyle w:val="tablebody"/>
              <w:jc w:val="right"/>
              <w:rPr>
                <w:rFonts w:cs="Arial"/>
                <w:b/>
                <w:color w:val="000000"/>
                <w:sz w:val="13"/>
                <w:szCs w:val="13"/>
              </w:rPr>
            </w:pPr>
            <w:r w:rsidRPr="0088782A">
              <w:rPr>
                <w:rFonts w:cs="Arial"/>
                <w:b/>
                <w:color w:val="000000"/>
                <w:sz w:val="13"/>
                <w:szCs w:val="13"/>
              </w:rPr>
              <w:t>2018</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E605ABF" w14:textId="77777777">
            <w:pPr>
              <w:pStyle w:val="tablebody"/>
              <w:jc w:val="right"/>
              <w:rPr>
                <w:rFonts w:cs="Arial"/>
                <w:b/>
                <w:color w:val="000000"/>
                <w:sz w:val="13"/>
                <w:szCs w:val="13"/>
              </w:rPr>
            </w:pPr>
            <w:r w:rsidRPr="0088782A">
              <w:rPr>
                <w:rFonts w:cs="Arial"/>
                <w:b/>
                <w:color w:val="000000"/>
                <w:sz w:val="13"/>
                <w:szCs w:val="13"/>
              </w:rPr>
              <w:t>2019</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1861DBE" w14:textId="77777777">
            <w:pPr>
              <w:pStyle w:val="tablebody"/>
              <w:jc w:val="right"/>
              <w:rPr>
                <w:rFonts w:cs="Arial"/>
                <w:b/>
                <w:color w:val="000000"/>
                <w:sz w:val="13"/>
                <w:szCs w:val="13"/>
              </w:rPr>
            </w:pPr>
            <w:r w:rsidRPr="0088782A">
              <w:rPr>
                <w:rFonts w:cs="Arial"/>
                <w:b/>
                <w:color w:val="000000"/>
                <w:sz w:val="13"/>
                <w:szCs w:val="13"/>
              </w:rPr>
              <w:t>2018</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612FB905" w14:textId="77777777">
            <w:pPr>
              <w:pStyle w:val="tablebody"/>
              <w:jc w:val="right"/>
              <w:rPr>
                <w:rFonts w:cs="Arial"/>
                <w:b/>
                <w:color w:val="000000"/>
                <w:sz w:val="13"/>
                <w:szCs w:val="13"/>
              </w:rPr>
            </w:pPr>
            <w:r w:rsidRPr="0088782A">
              <w:rPr>
                <w:rFonts w:cs="Arial"/>
                <w:b/>
                <w:color w:val="000000"/>
                <w:sz w:val="13"/>
                <w:szCs w:val="13"/>
              </w:rPr>
              <w:t>2019</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ED9DB17" w14:textId="77777777">
            <w:pPr>
              <w:pStyle w:val="tablebody"/>
              <w:jc w:val="right"/>
              <w:rPr>
                <w:rFonts w:cs="Arial"/>
                <w:b/>
                <w:color w:val="000000"/>
                <w:sz w:val="13"/>
                <w:szCs w:val="13"/>
              </w:rPr>
            </w:pPr>
            <w:r w:rsidRPr="0088782A">
              <w:rPr>
                <w:rFonts w:cs="Arial"/>
                <w:b/>
                <w:color w:val="000000"/>
                <w:sz w:val="13"/>
                <w:szCs w:val="13"/>
              </w:rPr>
              <w:t>2018</w:t>
            </w:r>
          </w:p>
        </w:tc>
      </w:tr>
      <w:tr w:rsidRPr="0088782A" w:rsidR="00A96D3F" w:rsidTr="0088782A" w14:paraId="51D5868A" w14:textId="77777777">
        <w:trPr>
          <w:trHeight w:val="113"/>
        </w:trPr>
        <w:tc>
          <w:tcPr>
            <w:tcW w:w="16073" w:type="dxa"/>
            <w:gridSpan w:val="17"/>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356A80A2" w14:textId="77777777">
            <w:pPr>
              <w:pStyle w:val="tablebody"/>
              <w:rPr>
                <w:rFonts w:cs="Arial"/>
                <w:b/>
                <w:color w:val="000000"/>
                <w:sz w:val="13"/>
                <w:szCs w:val="13"/>
              </w:rPr>
            </w:pPr>
            <w:r w:rsidRPr="0088782A">
              <w:rPr>
                <w:rFonts w:cs="Arial"/>
                <w:b/>
                <w:color w:val="000000"/>
                <w:sz w:val="13"/>
                <w:szCs w:val="13"/>
              </w:rPr>
              <w:t>Administered income from transactions</w:t>
            </w:r>
          </w:p>
        </w:tc>
      </w:tr>
      <w:tr w:rsidRPr="00293DB6" w:rsidR="00A96D3F" w:rsidTr="0088782A" w14:paraId="23A0E398"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0797451C" w14:textId="77777777">
            <w:pPr>
              <w:pStyle w:val="tablebody"/>
              <w:rPr>
                <w:rFonts w:cs="Arial"/>
                <w:color w:val="000000"/>
                <w:sz w:val="13"/>
                <w:szCs w:val="13"/>
              </w:rPr>
            </w:pPr>
            <w:r w:rsidRPr="00293DB6">
              <w:rPr>
                <w:rFonts w:cs="Arial"/>
                <w:color w:val="000000"/>
                <w:sz w:val="13"/>
                <w:szCs w:val="13"/>
              </w:rPr>
              <w:t>Appropriations for payments made on behalf of the State</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51430901"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3BD504B"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0BE1A6C"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8087E8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8EA939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A2E3CC3"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ADDE46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D8F010D"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228492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E8C547B"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891ECAA"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312AD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646832F" w14:textId="77777777">
            <w:pPr>
              <w:pStyle w:val="tablebody"/>
              <w:jc w:val="right"/>
              <w:rPr>
                <w:rFonts w:cs="Arial"/>
                <w:color w:val="000000"/>
                <w:sz w:val="13"/>
                <w:szCs w:val="13"/>
              </w:rPr>
            </w:pPr>
            <w:r w:rsidRPr="00293DB6">
              <w:rPr>
                <w:rFonts w:cs="Arial"/>
                <w:color w:val="000000"/>
                <w:sz w:val="13"/>
                <w:szCs w:val="13"/>
              </w:rPr>
              <w:t xml:space="preserve">36,000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A235135" w14:textId="77777777">
            <w:pPr>
              <w:pStyle w:val="tablebody"/>
              <w:jc w:val="right"/>
              <w:rPr>
                <w:rFonts w:cs="Arial"/>
                <w:color w:val="000000"/>
                <w:sz w:val="13"/>
                <w:szCs w:val="13"/>
              </w:rPr>
            </w:pPr>
            <w:r w:rsidRPr="00293DB6">
              <w:rPr>
                <w:rFonts w:cs="Arial"/>
                <w:color w:val="000000"/>
                <w:sz w:val="13"/>
                <w:szCs w:val="13"/>
              </w:rPr>
              <w:t xml:space="preserve">28,976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7EF1B66" w14:textId="77777777">
            <w:pPr>
              <w:pStyle w:val="tablebody"/>
              <w:jc w:val="right"/>
              <w:rPr>
                <w:rFonts w:cs="Arial"/>
                <w:color w:val="000000"/>
                <w:sz w:val="13"/>
                <w:szCs w:val="13"/>
              </w:rPr>
            </w:pPr>
            <w:r w:rsidRPr="00293DB6">
              <w:rPr>
                <w:rFonts w:cs="Arial"/>
                <w:color w:val="000000"/>
                <w:sz w:val="13"/>
                <w:szCs w:val="13"/>
              </w:rPr>
              <w:t xml:space="preserve">36,000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AFAD3ED" w14:textId="77777777">
            <w:pPr>
              <w:pStyle w:val="tablebody"/>
              <w:jc w:val="right"/>
              <w:rPr>
                <w:rFonts w:cs="Arial"/>
                <w:color w:val="000000"/>
                <w:sz w:val="13"/>
                <w:szCs w:val="13"/>
              </w:rPr>
            </w:pPr>
            <w:r w:rsidRPr="00293DB6">
              <w:rPr>
                <w:rFonts w:cs="Arial"/>
                <w:color w:val="000000"/>
                <w:sz w:val="13"/>
                <w:szCs w:val="13"/>
              </w:rPr>
              <w:t xml:space="preserve">28,976 </w:t>
            </w:r>
          </w:p>
        </w:tc>
      </w:tr>
      <w:tr w:rsidRPr="00293DB6" w:rsidR="00A96D3F" w:rsidTr="0088782A" w14:paraId="0D265C7B"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6E481668" w14:textId="77777777">
            <w:pPr>
              <w:pStyle w:val="tablebody"/>
              <w:rPr>
                <w:rFonts w:cs="Arial"/>
                <w:color w:val="000000"/>
                <w:sz w:val="13"/>
                <w:szCs w:val="13"/>
              </w:rPr>
            </w:pPr>
            <w:r w:rsidRPr="00293DB6">
              <w:rPr>
                <w:rFonts w:cs="Arial"/>
                <w:color w:val="000000"/>
                <w:sz w:val="13"/>
                <w:szCs w:val="13"/>
              </w:rPr>
              <w:t>Special appropriations applied</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5E908BF7"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A566A0E"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02F876F"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A6B79D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82D7EF3"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46C0E4F"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06DEB55" w14:textId="77777777">
            <w:pPr>
              <w:pStyle w:val="tablebody"/>
              <w:jc w:val="right"/>
              <w:rPr>
                <w:rFonts w:cs="Arial"/>
                <w:color w:val="000000"/>
                <w:sz w:val="13"/>
                <w:szCs w:val="13"/>
              </w:rPr>
            </w:pPr>
            <w:r w:rsidRPr="00293DB6">
              <w:rPr>
                <w:rFonts w:cs="Arial"/>
                <w:color w:val="000000"/>
                <w:sz w:val="13"/>
                <w:szCs w:val="13"/>
              </w:rPr>
              <w:t xml:space="preserve">13,888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3E9CE4F" w14:textId="77777777">
            <w:pPr>
              <w:pStyle w:val="tablebody"/>
              <w:jc w:val="right"/>
              <w:rPr>
                <w:rFonts w:cs="Arial"/>
                <w:color w:val="000000"/>
                <w:sz w:val="13"/>
                <w:szCs w:val="13"/>
              </w:rPr>
            </w:pPr>
            <w:r w:rsidRPr="00293DB6">
              <w:rPr>
                <w:rFonts w:cs="Arial"/>
                <w:color w:val="000000"/>
                <w:sz w:val="13"/>
                <w:szCs w:val="13"/>
              </w:rPr>
              <w:t xml:space="preserve">2,542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B9C698B" w14:textId="77777777">
            <w:pPr>
              <w:pStyle w:val="tablebody"/>
              <w:jc w:val="right"/>
              <w:rPr>
                <w:rFonts w:cs="Arial"/>
                <w:color w:val="000000"/>
                <w:sz w:val="13"/>
                <w:szCs w:val="13"/>
              </w:rPr>
            </w:pPr>
            <w:r w:rsidRPr="00293DB6">
              <w:rPr>
                <w:rFonts w:cs="Arial"/>
                <w:color w:val="000000"/>
                <w:sz w:val="13"/>
                <w:szCs w:val="13"/>
              </w:rPr>
              <w:t xml:space="preserve">16,497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A89BFDB" w14:textId="77777777">
            <w:pPr>
              <w:pStyle w:val="tablebody"/>
              <w:jc w:val="right"/>
              <w:rPr>
                <w:rFonts w:cs="Arial"/>
                <w:color w:val="000000"/>
                <w:sz w:val="13"/>
                <w:szCs w:val="13"/>
              </w:rPr>
            </w:pPr>
            <w:r w:rsidRPr="00293DB6">
              <w:rPr>
                <w:rFonts w:cs="Arial"/>
                <w:color w:val="000000"/>
                <w:sz w:val="13"/>
                <w:szCs w:val="13"/>
              </w:rPr>
              <w:t xml:space="preserve">2,490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191FD8B"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8B86DD3"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65A1790"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946C16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A779C28" w14:textId="77777777">
            <w:pPr>
              <w:pStyle w:val="tablebody"/>
              <w:jc w:val="right"/>
              <w:rPr>
                <w:rFonts w:cs="Arial"/>
                <w:color w:val="000000"/>
                <w:sz w:val="13"/>
                <w:szCs w:val="13"/>
              </w:rPr>
            </w:pPr>
            <w:r w:rsidRPr="00293DB6">
              <w:rPr>
                <w:rFonts w:cs="Arial"/>
                <w:color w:val="000000"/>
                <w:sz w:val="13"/>
                <w:szCs w:val="13"/>
              </w:rPr>
              <w:t xml:space="preserve">30,385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9AEACC3" w14:textId="77777777">
            <w:pPr>
              <w:pStyle w:val="tablebody"/>
              <w:jc w:val="right"/>
              <w:rPr>
                <w:rFonts w:cs="Arial"/>
                <w:color w:val="000000"/>
                <w:sz w:val="13"/>
                <w:szCs w:val="13"/>
              </w:rPr>
            </w:pPr>
            <w:r w:rsidRPr="00293DB6">
              <w:rPr>
                <w:rFonts w:cs="Arial"/>
                <w:color w:val="000000"/>
                <w:sz w:val="13"/>
                <w:szCs w:val="13"/>
              </w:rPr>
              <w:t xml:space="preserve">5,032 </w:t>
            </w:r>
          </w:p>
        </w:tc>
      </w:tr>
      <w:tr w:rsidRPr="00293DB6" w:rsidR="00A96D3F" w:rsidTr="0088782A" w14:paraId="64620B34"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13B69189" w14:textId="77777777">
            <w:pPr>
              <w:pStyle w:val="tablebody"/>
              <w:rPr>
                <w:rFonts w:cs="Arial"/>
                <w:color w:val="000000"/>
                <w:sz w:val="13"/>
                <w:szCs w:val="13"/>
              </w:rPr>
            </w:pPr>
            <w:r w:rsidRPr="00293DB6">
              <w:rPr>
                <w:rFonts w:cs="Arial"/>
                <w:color w:val="000000"/>
                <w:sz w:val="13"/>
                <w:szCs w:val="13"/>
              </w:rPr>
              <w:t>Sale of goods and services</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5DF9E6BF" w14:textId="77777777">
            <w:pPr>
              <w:pStyle w:val="tablebody"/>
              <w:jc w:val="right"/>
              <w:rPr>
                <w:rFonts w:cs="Arial"/>
                <w:color w:val="000000"/>
                <w:sz w:val="13"/>
                <w:szCs w:val="13"/>
              </w:rPr>
            </w:pPr>
            <w:r w:rsidRPr="00293DB6">
              <w:rPr>
                <w:rFonts w:cs="Arial"/>
                <w:color w:val="000000"/>
                <w:sz w:val="13"/>
                <w:szCs w:val="13"/>
              </w:rPr>
              <w:t xml:space="preserve">47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7160D25" w14:textId="77777777">
            <w:pPr>
              <w:pStyle w:val="tablebody"/>
              <w:jc w:val="right"/>
              <w:rPr>
                <w:rFonts w:cs="Arial"/>
                <w:color w:val="000000"/>
                <w:sz w:val="13"/>
                <w:szCs w:val="13"/>
              </w:rPr>
            </w:pPr>
            <w:r w:rsidRPr="00293DB6">
              <w:rPr>
                <w:rFonts w:cs="Arial"/>
                <w:color w:val="000000"/>
                <w:sz w:val="13"/>
                <w:szCs w:val="13"/>
              </w:rPr>
              <w:t xml:space="preserve">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4032388" w14:textId="77777777">
            <w:pPr>
              <w:pStyle w:val="tablebody"/>
              <w:jc w:val="right"/>
              <w:rPr>
                <w:rFonts w:cs="Arial"/>
                <w:color w:val="000000"/>
                <w:sz w:val="13"/>
                <w:szCs w:val="13"/>
              </w:rPr>
            </w:pPr>
            <w:r w:rsidRPr="00293DB6">
              <w:rPr>
                <w:rFonts w:cs="Arial"/>
                <w:color w:val="000000"/>
                <w:sz w:val="13"/>
                <w:szCs w:val="13"/>
              </w:rPr>
              <w:t xml:space="preserve">22,702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776B8C7" w14:textId="77777777">
            <w:pPr>
              <w:pStyle w:val="tablebody"/>
              <w:jc w:val="right"/>
              <w:rPr>
                <w:rFonts w:cs="Arial"/>
                <w:color w:val="000000"/>
                <w:sz w:val="13"/>
                <w:szCs w:val="13"/>
              </w:rPr>
            </w:pPr>
            <w:r w:rsidRPr="00293DB6">
              <w:rPr>
                <w:rFonts w:cs="Arial"/>
                <w:color w:val="000000"/>
                <w:sz w:val="13"/>
                <w:szCs w:val="13"/>
              </w:rPr>
              <w:t xml:space="preserve">16,140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09B6FC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61B0134"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509E376" w14:textId="77777777">
            <w:pPr>
              <w:pStyle w:val="tablebody"/>
              <w:jc w:val="right"/>
              <w:rPr>
                <w:rFonts w:cs="Arial"/>
                <w:color w:val="000000"/>
                <w:sz w:val="13"/>
                <w:szCs w:val="13"/>
              </w:rPr>
            </w:pPr>
            <w:r w:rsidRPr="00293DB6">
              <w:rPr>
                <w:rFonts w:cs="Arial"/>
                <w:color w:val="000000"/>
                <w:sz w:val="13"/>
                <w:szCs w:val="13"/>
              </w:rPr>
              <w:t xml:space="preserve">25,159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767E8DB" w14:textId="77777777">
            <w:pPr>
              <w:pStyle w:val="tablebody"/>
              <w:jc w:val="right"/>
              <w:rPr>
                <w:rFonts w:cs="Arial"/>
                <w:color w:val="000000"/>
                <w:sz w:val="13"/>
                <w:szCs w:val="13"/>
              </w:rPr>
            </w:pPr>
            <w:r w:rsidRPr="00293DB6">
              <w:rPr>
                <w:rFonts w:cs="Arial"/>
                <w:color w:val="000000"/>
                <w:sz w:val="13"/>
                <w:szCs w:val="13"/>
              </w:rPr>
              <w:t xml:space="preserve">39,848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85CDBDF" w14:textId="77777777">
            <w:pPr>
              <w:pStyle w:val="tablebody"/>
              <w:jc w:val="right"/>
              <w:rPr>
                <w:rFonts w:cs="Arial"/>
                <w:color w:val="000000"/>
                <w:sz w:val="13"/>
                <w:szCs w:val="13"/>
              </w:rPr>
            </w:pPr>
            <w:r w:rsidRPr="00293DB6">
              <w:rPr>
                <w:rFonts w:cs="Arial"/>
                <w:color w:val="000000"/>
                <w:sz w:val="13"/>
                <w:szCs w:val="13"/>
              </w:rPr>
              <w:t xml:space="preserve">55,999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D6BCA55" w14:textId="77777777">
            <w:pPr>
              <w:pStyle w:val="tablebody"/>
              <w:jc w:val="right"/>
              <w:rPr>
                <w:rFonts w:cs="Arial"/>
                <w:color w:val="000000"/>
                <w:sz w:val="13"/>
                <w:szCs w:val="13"/>
              </w:rPr>
            </w:pPr>
            <w:r w:rsidRPr="00293DB6">
              <w:rPr>
                <w:rFonts w:cs="Arial"/>
                <w:color w:val="000000"/>
                <w:sz w:val="13"/>
                <w:szCs w:val="13"/>
              </w:rPr>
              <w:t xml:space="preserve">48,396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B3E144C" w14:textId="77777777">
            <w:pPr>
              <w:pStyle w:val="tablebody"/>
              <w:jc w:val="right"/>
              <w:rPr>
                <w:rFonts w:cs="Arial"/>
                <w:color w:val="000000"/>
                <w:sz w:val="13"/>
                <w:szCs w:val="13"/>
              </w:rPr>
            </w:pPr>
            <w:r w:rsidRPr="00293DB6">
              <w:rPr>
                <w:rFonts w:cs="Arial"/>
                <w:color w:val="000000"/>
                <w:sz w:val="13"/>
                <w:szCs w:val="13"/>
              </w:rPr>
              <w:t xml:space="preserve">46,339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79D4CEC" w14:textId="77777777">
            <w:pPr>
              <w:pStyle w:val="tablebody"/>
              <w:jc w:val="right"/>
              <w:rPr>
                <w:rFonts w:cs="Arial"/>
                <w:color w:val="000000"/>
                <w:sz w:val="13"/>
                <w:szCs w:val="13"/>
              </w:rPr>
            </w:pPr>
            <w:r w:rsidRPr="00293DB6">
              <w:rPr>
                <w:rFonts w:cs="Arial"/>
                <w:color w:val="000000"/>
                <w:sz w:val="13"/>
                <w:szCs w:val="13"/>
              </w:rPr>
              <w:t xml:space="preserve">36,715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89CE51C" w14:textId="77777777">
            <w:pPr>
              <w:pStyle w:val="tablebody"/>
              <w:jc w:val="right"/>
              <w:rPr>
                <w:rFonts w:cs="Arial"/>
                <w:color w:val="000000"/>
                <w:sz w:val="13"/>
                <w:szCs w:val="13"/>
              </w:rPr>
            </w:pPr>
            <w:r w:rsidRPr="00293DB6">
              <w:rPr>
                <w:rFonts w:cs="Arial"/>
                <w:color w:val="000000"/>
                <w:sz w:val="13"/>
                <w:szCs w:val="13"/>
              </w:rPr>
              <w:t xml:space="preserve">76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560E21D0" w14:textId="77777777">
            <w:pPr>
              <w:pStyle w:val="tablebody"/>
              <w:jc w:val="right"/>
              <w:rPr>
                <w:rFonts w:cs="Arial"/>
                <w:color w:val="000000"/>
                <w:sz w:val="13"/>
                <w:szCs w:val="13"/>
              </w:rPr>
            </w:pPr>
            <w:r w:rsidRPr="00293DB6">
              <w:rPr>
                <w:rFonts w:cs="Arial"/>
                <w:color w:val="000000"/>
                <w:sz w:val="13"/>
                <w:szCs w:val="13"/>
              </w:rPr>
              <w:t xml:space="preserve">84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733FCB4" w14:textId="77777777">
            <w:pPr>
              <w:pStyle w:val="tablebody"/>
              <w:jc w:val="right"/>
              <w:rPr>
                <w:rFonts w:cs="Arial"/>
                <w:color w:val="000000"/>
                <w:sz w:val="13"/>
                <w:szCs w:val="13"/>
              </w:rPr>
            </w:pPr>
            <w:r w:rsidRPr="00293DB6">
              <w:rPr>
                <w:rFonts w:cs="Arial"/>
                <w:color w:val="000000"/>
                <w:sz w:val="13"/>
                <w:szCs w:val="13"/>
              </w:rPr>
              <w:t xml:space="preserve">150,322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07284EC" w14:textId="77777777">
            <w:pPr>
              <w:pStyle w:val="tablebody"/>
              <w:jc w:val="right"/>
              <w:rPr>
                <w:rFonts w:cs="Arial"/>
                <w:color w:val="000000"/>
                <w:sz w:val="13"/>
                <w:szCs w:val="13"/>
              </w:rPr>
            </w:pPr>
            <w:r w:rsidRPr="00293DB6">
              <w:rPr>
                <w:rFonts w:cs="Arial"/>
                <w:color w:val="000000"/>
                <w:sz w:val="13"/>
                <w:szCs w:val="13"/>
              </w:rPr>
              <w:t xml:space="preserve">141,185 </w:t>
            </w:r>
          </w:p>
        </w:tc>
      </w:tr>
      <w:tr w:rsidRPr="00293DB6" w:rsidR="00A96D3F" w:rsidTr="0088782A" w14:paraId="6AB97D75"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2054AFF2" w14:textId="77777777">
            <w:pPr>
              <w:pStyle w:val="tablebody"/>
              <w:rPr>
                <w:rFonts w:cs="Arial"/>
                <w:color w:val="000000"/>
                <w:sz w:val="13"/>
                <w:szCs w:val="13"/>
              </w:rPr>
            </w:pPr>
            <w:r w:rsidRPr="00293DB6">
              <w:rPr>
                <w:rFonts w:cs="Arial"/>
                <w:color w:val="000000"/>
                <w:sz w:val="13"/>
                <w:szCs w:val="13"/>
              </w:rPr>
              <w:t>Fines</w:t>
            </w:r>
            <w:r w:rsidRPr="00293DB6">
              <w:rPr>
                <w:rFonts w:cs="Arial"/>
                <w:color w:val="000000"/>
                <w:sz w:val="13"/>
                <w:szCs w:val="13"/>
                <w:vertAlign w:val="superscript"/>
              </w:rPr>
              <w:t xml:space="preserve"> (i)</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6BEE9986"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B8495E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876974D" w14:textId="77777777">
            <w:pPr>
              <w:pStyle w:val="tablebody"/>
              <w:jc w:val="right"/>
              <w:rPr>
                <w:rFonts w:cs="Arial"/>
                <w:color w:val="000000"/>
                <w:sz w:val="13"/>
                <w:szCs w:val="13"/>
              </w:rPr>
            </w:pPr>
            <w:r w:rsidRPr="00293DB6">
              <w:rPr>
                <w:rFonts w:cs="Arial"/>
                <w:color w:val="000000"/>
                <w:sz w:val="13"/>
                <w:szCs w:val="13"/>
              </w:rPr>
              <w:t xml:space="preserve">330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8975884" w14:textId="77777777">
            <w:pPr>
              <w:pStyle w:val="tablebody"/>
              <w:jc w:val="right"/>
              <w:rPr>
                <w:rFonts w:cs="Arial"/>
                <w:color w:val="000000"/>
                <w:sz w:val="13"/>
                <w:szCs w:val="13"/>
              </w:rPr>
            </w:pPr>
            <w:r w:rsidRPr="00293DB6">
              <w:rPr>
                <w:rFonts w:cs="Arial"/>
                <w:color w:val="000000"/>
                <w:sz w:val="13"/>
                <w:szCs w:val="13"/>
              </w:rPr>
              <w:t xml:space="preserve">247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12B76E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B7C4EB0"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AE36B36" w14:textId="77777777">
            <w:pPr>
              <w:pStyle w:val="tablebody"/>
              <w:jc w:val="right"/>
              <w:rPr>
                <w:rFonts w:cs="Arial"/>
                <w:color w:val="000000"/>
                <w:sz w:val="13"/>
                <w:szCs w:val="13"/>
              </w:rPr>
            </w:pPr>
            <w:r w:rsidRPr="00293DB6">
              <w:rPr>
                <w:rFonts w:cs="Arial"/>
                <w:color w:val="000000"/>
                <w:sz w:val="13"/>
                <w:szCs w:val="13"/>
              </w:rPr>
              <w:t xml:space="preserve">681,917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94D613" w14:textId="77777777">
            <w:pPr>
              <w:pStyle w:val="tablebody"/>
              <w:jc w:val="right"/>
              <w:rPr>
                <w:rFonts w:cs="Arial"/>
                <w:color w:val="000000"/>
                <w:sz w:val="13"/>
                <w:szCs w:val="13"/>
              </w:rPr>
            </w:pPr>
            <w:r w:rsidRPr="00293DB6">
              <w:rPr>
                <w:rFonts w:cs="Arial"/>
                <w:color w:val="000000"/>
                <w:sz w:val="13"/>
                <w:szCs w:val="13"/>
              </w:rPr>
              <w:t xml:space="preserve">763,888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5E5807B"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07E9F89"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4BB3518"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CF0A9E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7B2774D"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497BF42"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C910B3D" w14:textId="77777777">
            <w:pPr>
              <w:pStyle w:val="tablebody"/>
              <w:jc w:val="right"/>
              <w:rPr>
                <w:rFonts w:cs="Arial"/>
                <w:color w:val="000000"/>
                <w:sz w:val="13"/>
                <w:szCs w:val="13"/>
              </w:rPr>
            </w:pPr>
            <w:r w:rsidRPr="00293DB6">
              <w:rPr>
                <w:rFonts w:cs="Arial"/>
                <w:color w:val="000000"/>
                <w:sz w:val="13"/>
                <w:szCs w:val="13"/>
              </w:rPr>
              <w:t xml:space="preserve">682,247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368E8D9" w14:textId="77777777">
            <w:pPr>
              <w:pStyle w:val="tablebody"/>
              <w:jc w:val="right"/>
              <w:rPr>
                <w:rFonts w:cs="Arial"/>
                <w:color w:val="000000"/>
                <w:sz w:val="13"/>
                <w:szCs w:val="13"/>
              </w:rPr>
            </w:pPr>
            <w:r w:rsidRPr="00293DB6">
              <w:rPr>
                <w:rFonts w:cs="Arial"/>
                <w:color w:val="000000"/>
                <w:sz w:val="13"/>
                <w:szCs w:val="13"/>
              </w:rPr>
              <w:t xml:space="preserve">764,135 </w:t>
            </w:r>
          </w:p>
        </w:tc>
      </w:tr>
      <w:tr w:rsidRPr="00293DB6" w:rsidR="00A96D3F" w:rsidTr="0088782A" w14:paraId="24D9BFC4"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690EED49" w14:textId="77777777">
            <w:pPr>
              <w:pStyle w:val="tablebody"/>
              <w:rPr>
                <w:rFonts w:cs="Arial"/>
                <w:color w:val="000000"/>
                <w:sz w:val="13"/>
                <w:szCs w:val="13"/>
              </w:rPr>
            </w:pPr>
            <w:r w:rsidRPr="00293DB6">
              <w:rPr>
                <w:rFonts w:cs="Arial"/>
                <w:color w:val="000000"/>
                <w:sz w:val="13"/>
                <w:szCs w:val="13"/>
              </w:rPr>
              <w:t>Fees</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7CB1E60D" w14:textId="77777777">
            <w:pPr>
              <w:pStyle w:val="tablebody"/>
              <w:jc w:val="right"/>
              <w:rPr>
                <w:rFonts w:cs="Arial"/>
                <w:color w:val="000000"/>
                <w:sz w:val="13"/>
                <w:szCs w:val="13"/>
              </w:rPr>
            </w:pPr>
            <w:r w:rsidRPr="00293DB6">
              <w:rPr>
                <w:rFonts w:cs="Arial"/>
                <w:color w:val="000000"/>
                <w:sz w:val="13"/>
                <w:szCs w:val="13"/>
              </w:rPr>
              <w:t xml:space="preserve">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FD38D70" w14:textId="77777777">
            <w:pPr>
              <w:pStyle w:val="tablebody"/>
              <w:jc w:val="right"/>
              <w:rPr>
                <w:rFonts w:cs="Arial"/>
                <w:color w:val="000000"/>
                <w:sz w:val="13"/>
                <w:szCs w:val="13"/>
              </w:rPr>
            </w:pPr>
            <w:r w:rsidRPr="00293DB6">
              <w:rPr>
                <w:rFonts w:cs="Arial"/>
                <w:color w:val="000000"/>
                <w:sz w:val="13"/>
                <w:szCs w:val="13"/>
              </w:rPr>
              <w:t xml:space="preserve">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1E5E053"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ADB937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4B40DE1"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A852138"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05828D4" w14:textId="77777777">
            <w:pPr>
              <w:pStyle w:val="tablebody"/>
              <w:jc w:val="right"/>
              <w:rPr>
                <w:rFonts w:cs="Arial"/>
                <w:color w:val="000000"/>
                <w:sz w:val="13"/>
                <w:szCs w:val="13"/>
              </w:rPr>
            </w:pPr>
            <w:r w:rsidRPr="00293DB6">
              <w:rPr>
                <w:rFonts w:cs="Arial"/>
                <w:color w:val="000000"/>
                <w:sz w:val="13"/>
                <w:szCs w:val="13"/>
              </w:rPr>
              <w:t xml:space="preserve">171,111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230B6E" w14:textId="77777777">
            <w:pPr>
              <w:pStyle w:val="tablebody"/>
              <w:jc w:val="right"/>
              <w:rPr>
                <w:rFonts w:cs="Arial"/>
                <w:color w:val="000000"/>
                <w:sz w:val="13"/>
                <w:szCs w:val="13"/>
              </w:rPr>
            </w:pPr>
            <w:r w:rsidRPr="00293DB6">
              <w:rPr>
                <w:rFonts w:cs="Arial"/>
                <w:color w:val="000000"/>
                <w:sz w:val="13"/>
                <w:szCs w:val="13"/>
              </w:rPr>
              <w:t xml:space="preserve">310,943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87A6090" w14:textId="77777777">
            <w:pPr>
              <w:pStyle w:val="tablebody"/>
              <w:jc w:val="right"/>
              <w:rPr>
                <w:rFonts w:cs="Arial"/>
                <w:color w:val="000000"/>
                <w:sz w:val="13"/>
                <w:szCs w:val="13"/>
              </w:rPr>
            </w:pPr>
            <w:r w:rsidRPr="00293DB6">
              <w:rPr>
                <w:rFonts w:cs="Arial"/>
                <w:color w:val="000000"/>
                <w:sz w:val="13"/>
                <w:szCs w:val="13"/>
              </w:rPr>
              <w:t xml:space="preserve">11,298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9D759D8" w14:textId="77777777">
            <w:pPr>
              <w:pStyle w:val="tablebody"/>
              <w:jc w:val="right"/>
              <w:rPr>
                <w:rFonts w:cs="Arial"/>
                <w:color w:val="000000"/>
                <w:sz w:val="13"/>
                <w:szCs w:val="13"/>
              </w:rPr>
            </w:pPr>
            <w:r w:rsidRPr="00293DB6">
              <w:rPr>
                <w:rFonts w:cs="Arial"/>
                <w:color w:val="000000"/>
                <w:sz w:val="13"/>
                <w:szCs w:val="13"/>
              </w:rPr>
              <w:t xml:space="preserve">10,240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59E6BBE"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9981B4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B5C83E2" w14:textId="77777777">
            <w:pPr>
              <w:pStyle w:val="tablebody"/>
              <w:jc w:val="right"/>
              <w:rPr>
                <w:rFonts w:cs="Arial"/>
                <w:color w:val="000000"/>
                <w:sz w:val="13"/>
                <w:szCs w:val="13"/>
              </w:rPr>
            </w:pPr>
            <w:r w:rsidRPr="00293DB6">
              <w:rPr>
                <w:rFonts w:cs="Arial"/>
                <w:color w:val="000000"/>
                <w:sz w:val="13"/>
                <w:szCs w:val="13"/>
              </w:rPr>
              <w:t xml:space="preserve">2,189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573C5B4D" w14:textId="77777777">
            <w:pPr>
              <w:pStyle w:val="tablebody"/>
              <w:jc w:val="right"/>
              <w:rPr>
                <w:rFonts w:cs="Arial"/>
                <w:color w:val="000000"/>
                <w:sz w:val="13"/>
                <w:szCs w:val="13"/>
              </w:rPr>
            </w:pPr>
            <w:r w:rsidRPr="00293DB6">
              <w:rPr>
                <w:rFonts w:cs="Arial"/>
                <w:color w:val="000000"/>
                <w:sz w:val="13"/>
                <w:szCs w:val="13"/>
              </w:rPr>
              <w:t xml:space="preserve">2,579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878FE2" w14:textId="77777777">
            <w:pPr>
              <w:pStyle w:val="tablebody"/>
              <w:jc w:val="right"/>
              <w:rPr>
                <w:rFonts w:cs="Arial"/>
                <w:color w:val="000000"/>
                <w:sz w:val="13"/>
                <w:szCs w:val="13"/>
              </w:rPr>
            </w:pPr>
            <w:r w:rsidRPr="00293DB6">
              <w:rPr>
                <w:rFonts w:cs="Arial"/>
                <w:color w:val="000000"/>
                <w:sz w:val="13"/>
                <w:szCs w:val="13"/>
              </w:rPr>
              <w:t xml:space="preserve">184,601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8A7B50F" w14:textId="77777777">
            <w:pPr>
              <w:pStyle w:val="tablebody"/>
              <w:jc w:val="right"/>
              <w:rPr>
                <w:rFonts w:cs="Arial"/>
                <w:color w:val="000000"/>
                <w:sz w:val="13"/>
                <w:szCs w:val="13"/>
              </w:rPr>
            </w:pPr>
            <w:r w:rsidRPr="00293DB6">
              <w:rPr>
                <w:rFonts w:cs="Arial"/>
                <w:color w:val="000000"/>
                <w:sz w:val="13"/>
                <w:szCs w:val="13"/>
              </w:rPr>
              <w:t xml:space="preserve">323,764 </w:t>
            </w:r>
          </w:p>
        </w:tc>
      </w:tr>
      <w:tr w:rsidRPr="00293DB6" w:rsidR="00A96D3F" w:rsidTr="0088782A" w14:paraId="78C711E3" w14:textId="77777777">
        <w:trPr>
          <w:trHeight w:val="113"/>
        </w:trPr>
        <w:tc>
          <w:tcPr>
            <w:tcW w:w="3686"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09E8856" w14:textId="77777777">
            <w:pPr>
              <w:pStyle w:val="tablebody"/>
              <w:rPr>
                <w:rFonts w:cs="Arial"/>
                <w:color w:val="000000"/>
                <w:sz w:val="13"/>
                <w:szCs w:val="13"/>
              </w:rPr>
            </w:pPr>
            <w:r w:rsidRPr="00293DB6">
              <w:rPr>
                <w:rFonts w:cs="Arial"/>
                <w:color w:val="000000"/>
                <w:sz w:val="13"/>
                <w:szCs w:val="13"/>
              </w:rPr>
              <w:t>Other income</w:t>
            </w:r>
          </w:p>
        </w:tc>
        <w:tc>
          <w:tcPr>
            <w:tcW w:w="481"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CE125AE" w14:textId="77777777">
            <w:pPr>
              <w:pStyle w:val="tablebody"/>
              <w:jc w:val="right"/>
              <w:rPr>
                <w:rFonts w:cs="Arial"/>
                <w:color w:val="000000"/>
                <w:sz w:val="13"/>
                <w:szCs w:val="13"/>
              </w:rPr>
            </w:pPr>
            <w:r w:rsidRPr="00293DB6">
              <w:rPr>
                <w:rFonts w:cs="Arial"/>
                <w:color w:val="000000"/>
                <w:sz w:val="13"/>
                <w:szCs w:val="13"/>
              </w:rPr>
              <w:t xml:space="preserve">28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46F6745" w14:textId="77777777">
            <w:pPr>
              <w:pStyle w:val="tablebody"/>
              <w:jc w:val="right"/>
              <w:rPr>
                <w:rFonts w:cs="Arial"/>
                <w:color w:val="000000"/>
                <w:sz w:val="13"/>
                <w:szCs w:val="13"/>
              </w:rPr>
            </w:pPr>
            <w:r w:rsidRPr="00293DB6">
              <w:rPr>
                <w:rFonts w:cs="Arial"/>
                <w:color w:val="000000"/>
                <w:sz w:val="13"/>
                <w:szCs w:val="13"/>
              </w:rPr>
              <w:t xml:space="preserve">19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0D97AA4" w14:textId="77777777">
            <w:pPr>
              <w:pStyle w:val="tablebody"/>
              <w:jc w:val="right"/>
              <w:rPr>
                <w:rFonts w:cs="Arial"/>
                <w:color w:val="000000"/>
                <w:sz w:val="13"/>
                <w:szCs w:val="13"/>
              </w:rPr>
            </w:pPr>
            <w:r w:rsidRPr="00293DB6">
              <w:rPr>
                <w:rFonts w:cs="Arial"/>
                <w:color w:val="000000"/>
                <w:sz w:val="13"/>
                <w:szCs w:val="13"/>
              </w:rPr>
              <w:t xml:space="preserve">2,064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2429E61" w14:textId="77777777">
            <w:pPr>
              <w:pStyle w:val="tablebody"/>
              <w:jc w:val="right"/>
              <w:rPr>
                <w:rFonts w:cs="Arial"/>
                <w:color w:val="000000"/>
                <w:sz w:val="13"/>
                <w:szCs w:val="13"/>
              </w:rPr>
            </w:pPr>
            <w:r w:rsidRPr="00293DB6">
              <w:rPr>
                <w:rFonts w:cs="Arial"/>
                <w:color w:val="000000"/>
                <w:sz w:val="13"/>
                <w:szCs w:val="13"/>
              </w:rPr>
              <w:t xml:space="preserve">1,684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0C29693" w14:textId="77777777">
            <w:pPr>
              <w:pStyle w:val="tablebody"/>
              <w:jc w:val="right"/>
              <w:rPr>
                <w:rFonts w:cs="Arial"/>
                <w:color w:val="000000"/>
                <w:sz w:val="13"/>
                <w:szCs w:val="13"/>
              </w:rPr>
            </w:pPr>
            <w:r w:rsidRPr="00293DB6">
              <w:rPr>
                <w:rFonts w:cs="Arial"/>
                <w:color w:val="000000"/>
                <w:sz w:val="13"/>
                <w:szCs w:val="13"/>
              </w:rPr>
              <w:t xml:space="preserve">263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4176D1B"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1C17E46" w14:textId="77777777">
            <w:pPr>
              <w:pStyle w:val="tablebody"/>
              <w:jc w:val="right"/>
              <w:rPr>
                <w:rFonts w:cs="Arial"/>
                <w:color w:val="000000"/>
                <w:sz w:val="13"/>
                <w:szCs w:val="13"/>
              </w:rPr>
            </w:pPr>
            <w:r w:rsidRPr="00293DB6">
              <w:rPr>
                <w:rFonts w:cs="Arial"/>
                <w:color w:val="000000"/>
                <w:sz w:val="13"/>
                <w:szCs w:val="13"/>
              </w:rPr>
              <w:t xml:space="preserve">21,553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71618A0" w14:textId="77777777">
            <w:pPr>
              <w:pStyle w:val="tablebody"/>
              <w:jc w:val="right"/>
              <w:rPr>
                <w:rFonts w:cs="Arial"/>
                <w:color w:val="000000"/>
                <w:sz w:val="13"/>
                <w:szCs w:val="13"/>
              </w:rPr>
            </w:pPr>
            <w:r w:rsidRPr="00293DB6">
              <w:rPr>
                <w:rFonts w:cs="Arial"/>
                <w:color w:val="000000"/>
                <w:sz w:val="13"/>
                <w:szCs w:val="13"/>
              </w:rPr>
              <w:t xml:space="preserve">29,226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5BB79C2" w14:textId="77777777">
            <w:pPr>
              <w:pStyle w:val="tablebody"/>
              <w:jc w:val="right"/>
              <w:rPr>
                <w:rFonts w:cs="Arial"/>
                <w:color w:val="000000"/>
                <w:sz w:val="13"/>
                <w:szCs w:val="13"/>
              </w:rPr>
            </w:pPr>
            <w:r w:rsidRPr="00293DB6">
              <w:rPr>
                <w:rFonts w:cs="Arial"/>
                <w:color w:val="000000"/>
                <w:sz w:val="13"/>
                <w:szCs w:val="13"/>
              </w:rPr>
              <w:t xml:space="preserve">170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43AD3D4" w14:textId="77777777">
            <w:pPr>
              <w:pStyle w:val="tablebody"/>
              <w:jc w:val="right"/>
              <w:rPr>
                <w:rFonts w:cs="Arial"/>
                <w:color w:val="000000"/>
                <w:sz w:val="13"/>
                <w:szCs w:val="13"/>
              </w:rPr>
            </w:pPr>
            <w:r w:rsidRPr="00293DB6">
              <w:rPr>
                <w:rFonts w:cs="Arial"/>
                <w:color w:val="000000"/>
                <w:sz w:val="13"/>
                <w:szCs w:val="13"/>
              </w:rPr>
              <w:t xml:space="preserve">186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FDD4961" w14:textId="77777777">
            <w:pPr>
              <w:pStyle w:val="tablebody"/>
              <w:jc w:val="right"/>
              <w:rPr>
                <w:rFonts w:cs="Arial"/>
                <w:color w:val="000000"/>
                <w:sz w:val="13"/>
                <w:szCs w:val="13"/>
              </w:rPr>
            </w:pPr>
            <w:r w:rsidRPr="00293DB6">
              <w:rPr>
                <w:rFonts w:cs="Arial"/>
                <w:color w:val="000000"/>
                <w:sz w:val="13"/>
                <w:szCs w:val="13"/>
              </w:rPr>
              <w:t xml:space="preserve">666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754CE28" w14:textId="77777777">
            <w:pPr>
              <w:pStyle w:val="tablebody"/>
              <w:jc w:val="right"/>
              <w:rPr>
                <w:rFonts w:cs="Arial"/>
                <w:color w:val="000000"/>
                <w:sz w:val="13"/>
                <w:szCs w:val="13"/>
              </w:rPr>
            </w:pPr>
            <w:r w:rsidRPr="00293DB6">
              <w:rPr>
                <w:rFonts w:cs="Arial"/>
                <w:color w:val="000000"/>
                <w:sz w:val="13"/>
                <w:szCs w:val="13"/>
              </w:rPr>
              <w:t xml:space="preserve">569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B7585AF" w14:textId="77777777">
            <w:pPr>
              <w:pStyle w:val="tablebody"/>
              <w:jc w:val="right"/>
              <w:rPr>
                <w:rFonts w:cs="Arial"/>
                <w:color w:val="000000"/>
                <w:sz w:val="13"/>
                <w:szCs w:val="13"/>
              </w:rPr>
            </w:pPr>
            <w:r w:rsidRPr="00293DB6">
              <w:rPr>
                <w:rFonts w:cs="Arial"/>
                <w:color w:val="000000"/>
                <w:sz w:val="13"/>
                <w:szCs w:val="13"/>
              </w:rPr>
              <w:t xml:space="preserve">187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6966A68" w14:textId="77777777">
            <w:pPr>
              <w:pStyle w:val="tablebody"/>
              <w:jc w:val="right"/>
              <w:rPr>
                <w:rFonts w:cs="Arial"/>
                <w:color w:val="000000"/>
                <w:sz w:val="13"/>
                <w:szCs w:val="13"/>
              </w:rPr>
            </w:pPr>
            <w:r w:rsidRPr="00293DB6">
              <w:rPr>
                <w:rFonts w:cs="Arial"/>
                <w:color w:val="000000"/>
                <w:sz w:val="13"/>
                <w:szCs w:val="13"/>
              </w:rPr>
              <w:t xml:space="preserve">6,431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37CFDD6" w14:textId="77777777">
            <w:pPr>
              <w:pStyle w:val="tablebody"/>
              <w:jc w:val="right"/>
              <w:rPr>
                <w:rFonts w:cs="Arial"/>
                <w:color w:val="000000"/>
                <w:sz w:val="13"/>
                <w:szCs w:val="13"/>
              </w:rPr>
            </w:pPr>
            <w:r w:rsidRPr="00293DB6">
              <w:rPr>
                <w:rFonts w:cs="Arial"/>
                <w:color w:val="000000"/>
                <w:sz w:val="13"/>
                <w:szCs w:val="13"/>
              </w:rPr>
              <w:t xml:space="preserve">24,931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3D22BD5B" w14:textId="77777777">
            <w:pPr>
              <w:pStyle w:val="tablebody"/>
              <w:jc w:val="right"/>
              <w:rPr>
                <w:rFonts w:cs="Arial"/>
                <w:color w:val="000000"/>
                <w:sz w:val="13"/>
                <w:szCs w:val="13"/>
              </w:rPr>
            </w:pPr>
            <w:r w:rsidRPr="00293DB6">
              <w:rPr>
                <w:rFonts w:cs="Arial"/>
                <w:color w:val="000000"/>
                <w:sz w:val="13"/>
                <w:szCs w:val="13"/>
              </w:rPr>
              <w:t xml:space="preserve">38,115 </w:t>
            </w:r>
          </w:p>
        </w:tc>
      </w:tr>
      <w:tr w:rsidRPr="0088782A" w:rsidR="00A96D3F" w:rsidTr="0088782A" w14:paraId="5ACC1974" w14:textId="77777777">
        <w:trPr>
          <w:trHeight w:val="113"/>
        </w:trPr>
        <w:tc>
          <w:tcPr>
            <w:tcW w:w="3686"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8063CC3" w14:textId="77777777">
            <w:pPr>
              <w:pStyle w:val="tablebody"/>
              <w:rPr>
                <w:rFonts w:cs="Arial"/>
                <w:b/>
                <w:color w:val="000000"/>
                <w:sz w:val="13"/>
                <w:szCs w:val="13"/>
              </w:rPr>
            </w:pPr>
            <w:r w:rsidRPr="0088782A">
              <w:rPr>
                <w:rFonts w:cs="Arial"/>
                <w:b/>
                <w:color w:val="000000"/>
                <w:sz w:val="13"/>
                <w:szCs w:val="13"/>
              </w:rPr>
              <w:t>Total administered income from transactions</w:t>
            </w:r>
          </w:p>
        </w:tc>
        <w:tc>
          <w:tcPr>
            <w:tcW w:w="481"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255ABBA" w14:textId="77777777">
            <w:pPr>
              <w:pStyle w:val="tablebody"/>
              <w:jc w:val="right"/>
              <w:rPr>
                <w:rFonts w:cs="Arial"/>
                <w:b/>
                <w:color w:val="000000"/>
                <w:sz w:val="13"/>
                <w:szCs w:val="13"/>
              </w:rPr>
            </w:pPr>
            <w:r w:rsidRPr="0088782A">
              <w:rPr>
                <w:rFonts w:cs="Arial"/>
                <w:b/>
                <w:color w:val="000000"/>
                <w:sz w:val="13"/>
                <w:szCs w:val="13"/>
              </w:rPr>
              <w:t xml:space="preserve">78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BA9E2D3" w14:textId="77777777">
            <w:pPr>
              <w:pStyle w:val="tablebody"/>
              <w:jc w:val="right"/>
              <w:rPr>
                <w:rFonts w:cs="Arial"/>
                <w:b/>
                <w:color w:val="000000"/>
                <w:sz w:val="13"/>
                <w:szCs w:val="13"/>
              </w:rPr>
            </w:pPr>
            <w:r w:rsidRPr="0088782A">
              <w:rPr>
                <w:rFonts w:cs="Arial"/>
                <w:b/>
                <w:color w:val="000000"/>
                <w:sz w:val="13"/>
                <w:szCs w:val="13"/>
              </w:rPr>
              <w:t xml:space="preserve">23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F6F93FE" w14:textId="77777777">
            <w:pPr>
              <w:pStyle w:val="tablebody"/>
              <w:jc w:val="right"/>
              <w:rPr>
                <w:rFonts w:cs="Arial"/>
                <w:b/>
                <w:color w:val="000000"/>
                <w:sz w:val="13"/>
                <w:szCs w:val="13"/>
              </w:rPr>
            </w:pPr>
            <w:r w:rsidRPr="0088782A">
              <w:rPr>
                <w:rFonts w:cs="Arial"/>
                <w:b/>
                <w:color w:val="000000"/>
                <w:sz w:val="13"/>
                <w:szCs w:val="13"/>
              </w:rPr>
              <w:t xml:space="preserve">25,096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68D3ADD" w14:textId="77777777">
            <w:pPr>
              <w:pStyle w:val="tablebody"/>
              <w:jc w:val="right"/>
              <w:rPr>
                <w:rFonts w:cs="Arial"/>
                <w:b/>
                <w:color w:val="000000"/>
                <w:sz w:val="13"/>
                <w:szCs w:val="13"/>
              </w:rPr>
            </w:pPr>
            <w:r w:rsidRPr="0088782A">
              <w:rPr>
                <w:rFonts w:cs="Arial"/>
                <w:b/>
                <w:color w:val="000000"/>
                <w:sz w:val="13"/>
                <w:szCs w:val="13"/>
              </w:rPr>
              <w:t xml:space="preserve">18,071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317DD9E" w14:textId="77777777">
            <w:pPr>
              <w:pStyle w:val="tablebody"/>
              <w:jc w:val="right"/>
              <w:rPr>
                <w:rFonts w:cs="Arial"/>
                <w:b/>
                <w:color w:val="000000"/>
                <w:sz w:val="13"/>
                <w:szCs w:val="13"/>
              </w:rPr>
            </w:pPr>
            <w:r w:rsidRPr="0088782A">
              <w:rPr>
                <w:rFonts w:cs="Arial"/>
                <w:b/>
                <w:color w:val="000000"/>
                <w:sz w:val="13"/>
                <w:szCs w:val="13"/>
              </w:rPr>
              <w:t xml:space="preserve">263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59DCC1F"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1AC6CF3" w14:textId="77777777">
            <w:pPr>
              <w:pStyle w:val="tablebody"/>
              <w:jc w:val="right"/>
              <w:rPr>
                <w:rFonts w:cs="Arial"/>
                <w:b/>
                <w:color w:val="000000"/>
                <w:sz w:val="13"/>
                <w:szCs w:val="13"/>
              </w:rPr>
            </w:pPr>
            <w:r w:rsidRPr="0088782A">
              <w:rPr>
                <w:rFonts w:cs="Arial"/>
                <w:b/>
                <w:color w:val="000000"/>
                <w:sz w:val="13"/>
                <w:szCs w:val="13"/>
              </w:rPr>
              <w:t xml:space="preserve">913,628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EDC55C9" w14:textId="77777777">
            <w:pPr>
              <w:pStyle w:val="tablebody"/>
              <w:jc w:val="right"/>
              <w:rPr>
                <w:rFonts w:cs="Arial"/>
                <w:b/>
                <w:color w:val="000000"/>
                <w:sz w:val="13"/>
                <w:szCs w:val="13"/>
              </w:rPr>
            </w:pPr>
            <w:r w:rsidRPr="0088782A">
              <w:rPr>
                <w:rFonts w:cs="Arial"/>
                <w:b/>
                <w:color w:val="000000"/>
                <w:sz w:val="13"/>
                <w:szCs w:val="13"/>
              </w:rPr>
              <w:t xml:space="preserve">1,146,447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5D3B9A5" w14:textId="77777777">
            <w:pPr>
              <w:pStyle w:val="tablebody"/>
              <w:jc w:val="right"/>
              <w:rPr>
                <w:rFonts w:cs="Arial"/>
                <w:b/>
                <w:color w:val="000000"/>
                <w:sz w:val="13"/>
                <w:szCs w:val="13"/>
              </w:rPr>
            </w:pPr>
            <w:r w:rsidRPr="0088782A">
              <w:rPr>
                <w:rFonts w:cs="Arial"/>
                <w:b/>
                <w:color w:val="000000"/>
                <w:sz w:val="13"/>
                <w:szCs w:val="13"/>
              </w:rPr>
              <w:t xml:space="preserve">83,964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6859635" w14:textId="77777777">
            <w:pPr>
              <w:pStyle w:val="tablebody"/>
              <w:jc w:val="right"/>
              <w:rPr>
                <w:rFonts w:cs="Arial"/>
                <w:b/>
                <w:color w:val="000000"/>
                <w:sz w:val="13"/>
                <w:szCs w:val="13"/>
              </w:rPr>
            </w:pPr>
            <w:r w:rsidRPr="0088782A">
              <w:rPr>
                <w:rFonts w:cs="Arial"/>
                <w:b/>
                <w:color w:val="000000"/>
                <w:sz w:val="13"/>
                <w:szCs w:val="13"/>
              </w:rPr>
              <w:t xml:space="preserve">61,312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6DE0299F" w14:textId="77777777">
            <w:pPr>
              <w:pStyle w:val="tablebody"/>
              <w:jc w:val="right"/>
              <w:rPr>
                <w:rFonts w:cs="Arial"/>
                <w:b/>
                <w:color w:val="000000"/>
                <w:sz w:val="13"/>
                <w:szCs w:val="13"/>
              </w:rPr>
            </w:pPr>
            <w:r w:rsidRPr="0088782A">
              <w:rPr>
                <w:rFonts w:cs="Arial"/>
                <w:b/>
                <w:color w:val="000000"/>
                <w:sz w:val="13"/>
                <w:szCs w:val="13"/>
              </w:rPr>
              <w:t xml:space="preserve">47,005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BA9A5B5" w14:textId="77777777">
            <w:pPr>
              <w:pStyle w:val="tablebody"/>
              <w:jc w:val="right"/>
              <w:rPr>
                <w:rFonts w:cs="Arial"/>
                <w:b/>
                <w:color w:val="000000"/>
                <w:sz w:val="13"/>
                <w:szCs w:val="13"/>
              </w:rPr>
            </w:pPr>
            <w:r w:rsidRPr="0088782A">
              <w:rPr>
                <w:rFonts w:cs="Arial"/>
                <w:b/>
                <w:color w:val="000000"/>
                <w:sz w:val="13"/>
                <w:szCs w:val="13"/>
              </w:rPr>
              <w:t xml:space="preserve">37,284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646EECA" w14:textId="77777777">
            <w:pPr>
              <w:pStyle w:val="tablebody"/>
              <w:jc w:val="right"/>
              <w:rPr>
                <w:rFonts w:cs="Arial"/>
                <w:b/>
                <w:color w:val="000000"/>
                <w:sz w:val="13"/>
                <w:szCs w:val="13"/>
              </w:rPr>
            </w:pPr>
            <w:r w:rsidRPr="0088782A">
              <w:rPr>
                <w:rFonts w:cs="Arial"/>
                <w:b/>
                <w:color w:val="000000"/>
                <w:sz w:val="13"/>
                <w:szCs w:val="13"/>
              </w:rPr>
              <w:t xml:space="preserve">38,452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A4393A6" w14:textId="77777777">
            <w:pPr>
              <w:pStyle w:val="tablebody"/>
              <w:jc w:val="right"/>
              <w:rPr>
                <w:rFonts w:cs="Arial"/>
                <w:b/>
                <w:color w:val="000000"/>
                <w:sz w:val="13"/>
                <w:szCs w:val="13"/>
              </w:rPr>
            </w:pPr>
            <w:r w:rsidRPr="0088782A">
              <w:rPr>
                <w:rFonts w:cs="Arial"/>
                <w:b/>
                <w:color w:val="000000"/>
                <w:sz w:val="13"/>
                <w:szCs w:val="13"/>
              </w:rPr>
              <w:t xml:space="preserve">38,070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D842017" w14:textId="77777777">
            <w:pPr>
              <w:pStyle w:val="tablebody"/>
              <w:jc w:val="right"/>
              <w:rPr>
                <w:rFonts w:cs="Arial"/>
                <w:b/>
                <w:color w:val="000000"/>
                <w:sz w:val="13"/>
                <w:szCs w:val="13"/>
              </w:rPr>
            </w:pPr>
            <w:r w:rsidRPr="0088782A">
              <w:rPr>
                <w:rFonts w:cs="Arial"/>
                <w:b/>
                <w:color w:val="000000"/>
                <w:sz w:val="13"/>
                <w:szCs w:val="13"/>
              </w:rPr>
              <w:t xml:space="preserve">1,108,486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0D01BEC" w14:textId="77777777">
            <w:pPr>
              <w:pStyle w:val="tablebody"/>
              <w:jc w:val="right"/>
              <w:rPr>
                <w:rFonts w:cs="Arial"/>
                <w:b/>
                <w:color w:val="000000"/>
                <w:sz w:val="13"/>
                <w:szCs w:val="13"/>
              </w:rPr>
            </w:pPr>
            <w:r w:rsidRPr="0088782A">
              <w:rPr>
                <w:rFonts w:cs="Arial"/>
                <w:b/>
                <w:color w:val="000000"/>
                <w:sz w:val="13"/>
                <w:szCs w:val="13"/>
              </w:rPr>
              <w:t xml:space="preserve">1,301,207 </w:t>
            </w:r>
          </w:p>
        </w:tc>
      </w:tr>
      <w:tr w:rsidRPr="0088782A" w:rsidR="00A96D3F" w:rsidTr="0088782A" w14:paraId="14DD79BE" w14:textId="77777777">
        <w:trPr>
          <w:trHeight w:val="113"/>
        </w:trPr>
        <w:tc>
          <w:tcPr>
            <w:tcW w:w="16073" w:type="dxa"/>
            <w:gridSpan w:val="17"/>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62F9667B" w14:textId="77777777">
            <w:pPr>
              <w:pStyle w:val="tablebody"/>
              <w:rPr>
                <w:rFonts w:cs="Arial"/>
                <w:b/>
                <w:color w:val="000000"/>
                <w:sz w:val="13"/>
                <w:szCs w:val="13"/>
              </w:rPr>
            </w:pPr>
            <w:r w:rsidRPr="0088782A">
              <w:rPr>
                <w:rFonts w:cs="Arial"/>
                <w:b/>
                <w:color w:val="000000"/>
                <w:sz w:val="13"/>
                <w:szCs w:val="13"/>
              </w:rPr>
              <w:t>Administered expenses from transactions</w:t>
            </w:r>
          </w:p>
        </w:tc>
      </w:tr>
      <w:tr w:rsidRPr="00293DB6" w:rsidR="00A96D3F" w:rsidTr="0088782A" w14:paraId="3ACD6040"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0F942792" w14:textId="77777777">
            <w:pPr>
              <w:pStyle w:val="tablebody"/>
              <w:rPr>
                <w:rFonts w:cs="Arial"/>
                <w:color w:val="000000"/>
                <w:sz w:val="13"/>
                <w:szCs w:val="13"/>
              </w:rPr>
            </w:pPr>
            <w:r w:rsidRPr="00293DB6">
              <w:rPr>
                <w:rFonts w:cs="Arial"/>
                <w:color w:val="000000"/>
                <w:sz w:val="13"/>
                <w:szCs w:val="13"/>
              </w:rPr>
              <w:t>Payments made on behalf of the State</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41BED2B2"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0A5DB8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5E34387"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AA24D15"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F7423ED"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5931A54"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5766038C"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FA2F56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9AEB2E3"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E118934"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1C9687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6B91ECE"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6DF97A2" w14:textId="77777777">
            <w:pPr>
              <w:pStyle w:val="tablebody"/>
              <w:jc w:val="right"/>
              <w:rPr>
                <w:rFonts w:cs="Arial"/>
                <w:color w:val="000000"/>
                <w:sz w:val="13"/>
                <w:szCs w:val="13"/>
              </w:rPr>
            </w:pPr>
            <w:r w:rsidRPr="00293DB6">
              <w:rPr>
                <w:rFonts w:cs="Arial"/>
                <w:color w:val="000000"/>
                <w:sz w:val="13"/>
                <w:szCs w:val="13"/>
              </w:rPr>
              <w:t xml:space="preserve">(36,000)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AC8F0AE" w14:textId="77777777">
            <w:pPr>
              <w:pStyle w:val="tablebody"/>
              <w:jc w:val="right"/>
              <w:rPr>
                <w:rFonts w:cs="Arial"/>
                <w:color w:val="000000"/>
                <w:sz w:val="13"/>
                <w:szCs w:val="13"/>
              </w:rPr>
            </w:pPr>
            <w:r w:rsidRPr="00293DB6">
              <w:rPr>
                <w:rFonts w:cs="Arial"/>
                <w:color w:val="000000"/>
                <w:sz w:val="13"/>
                <w:szCs w:val="13"/>
              </w:rPr>
              <w:t xml:space="preserve">(28,976)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9C5F9FC" w14:textId="77777777">
            <w:pPr>
              <w:pStyle w:val="tablebody"/>
              <w:jc w:val="right"/>
              <w:rPr>
                <w:rFonts w:cs="Arial"/>
                <w:color w:val="000000"/>
                <w:sz w:val="13"/>
                <w:szCs w:val="13"/>
              </w:rPr>
            </w:pPr>
            <w:r w:rsidRPr="00293DB6">
              <w:rPr>
                <w:rFonts w:cs="Arial"/>
                <w:color w:val="000000"/>
                <w:sz w:val="13"/>
                <w:szCs w:val="13"/>
              </w:rPr>
              <w:t xml:space="preserve">(36,000)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B1409EC" w14:textId="77777777">
            <w:pPr>
              <w:pStyle w:val="tablebody"/>
              <w:jc w:val="right"/>
              <w:rPr>
                <w:rFonts w:cs="Arial"/>
                <w:color w:val="000000"/>
                <w:sz w:val="13"/>
                <w:szCs w:val="13"/>
              </w:rPr>
            </w:pPr>
            <w:r w:rsidRPr="00293DB6">
              <w:rPr>
                <w:rFonts w:cs="Arial"/>
                <w:color w:val="000000"/>
                <w:sz w:val="13"/>
                <w:szCs w:val="13"/>
              </w:rPr>
              <w:t xml:space="preserve">(28,976) </w:t>
            </w:r>
          </w:p>
        </w:tc>
      </w:tr>
      <w:tr w:rsidRPr="00293DB6" w:rsidR="00A96D3F" w:rsidTr="0088782A" w14:paraId="7950845C"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73F255F5" w14:textId="77777777">
            <w:pPr>
              <w:pStyle w:val="tablebody"/>
              <w:rPr>
                <w:rFonts w:cs="Arial"/>
                <w:color w:val="000000"/>
                <w:sz w:val="13"/>
                <w:szCs w:val="13"/>
              </w:rPr>
            </w:pPr>
            <w:r w:rsidRPr="00293DB6">
              <w:rPr>
                <w:rFonts w:cs="Arial"/>
                <w:color w:val="000000"/>
                <w:sz w:val="13"/>
                <w:szCs w:val="13"/>
              </w:rPr>
              <w:t>Payments into the consolidated fund</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32D8889F" w14:textId="77777777">
            <w:pPr>
              <w:pStyle w:val="tablebody"/>
              <w:jc w:val="right"/>
              <w:rPr>
                <w:rFonts w:cs="Arial"/>
                <w:color w:val="000000"/>
                <w:sz w:val="13"/>
                <w:szCs w:val="13"/>
              </w:rPr>
            </w:pPr>
            <w:r w:rsidRPr="00293DB6">
              <w:rPr>
                <w:rFonts w:cs="Arial"/>
                <w:color w:val="000000"/>
                <w:sz w:val="13"/>
                <w:szCs w:val="13"/>
              </w:rPr>
              <w:t xml:space="preserve">(47)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7FE15E7" w14:textId="77777777">
            <w:pPr>
              <w:pStyle w:val="tablebody"/>
              <w:jc w:val="right"/>
              <w:rPr>
                <w:rFonts w:cs="Arial"/>
                <w:color w:val="000000"/>
                <w:sz w:val="13"/>
                <w:szCs w:val="13"/>
              </w:rPr>
            </w:pPr>
            <w:r w:rsidRPr="00293DB6">
              <w:rPr>
                <w:rFonts w:cs="Arial"/>
                <w:color w:val="000000"/>
                <w:sz w:val="13"/>
                <w:szCs w:val="13"/>
              </w:rPr>
              <w:t xml:space="preserve">(5)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99B061A" w14:textId="77777777">
            <w:pPr>
              <w:pStyle w:val="tablebody"/>
              <w:jc w:val="right"/>
              <w:rPr>
                <w:rFonts w:cs="Arial"/>
                <w:color w:val="000000"/>
                <w:sz w:val="13"/>
                <w:szCs w:val="13"/>
              </w:rPr>
            </w:pPr>
            <w:r w:rsidRPr="00293DB6">
              <w:rPr>
                <w:rFonts w:cs="Arial"/>
                <w:color w:val="000000"/>
                <w:sz w:val="13"/>
                <w:szCs w:val="13"/>
              </w:rPr>
              <w:t xml:space="preserve">(42,264)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B45DC5A" w14:textId="77777777">
            <w:pPr>
              <w:pStyle w:val="tablebody"/>
              <w:jc w:val="right"/>
              <w:rPr>
                <w:rFonts w:cs="Arial"/>
                <w:color w:val="000000"/>
                <w:sz w:val="13"/>
                <w:szCs w:val="13"/>
              </w:rPr>
            </w:pPr>
            <w:r w:rsidRPr="00293DB6">
              <w:rPr>
                <w:rFonts w:cs="Arial"/>
                <w:color w:val="000000"/>
                <w:sz w:val="13"/>
                <w:szCs w:val="13"/>
              </w:rPr>
              <w:t xml:space="preserve">(31,084)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223386C" w14:textId="77777777">
            <w:pPr>
              <w:pStyle w:val="tablebody"/>
              <w:jc w:val="right"/>
              <w:rPr>
                <w:rFonts w:cs="Arial"/>
                <w:color w:val="000000"/>
                <w:sz w:val="13"/>
                <w:szCs w:val="13"/>
              </w:rPr>
            </w:pPr>
            <w:r w:rsidRPr="00293DB6">
              <w:rPr>
                <w:rFonts w:cs="Arial"/>
                <w:color w:val="000000"/>
                <w:sz w:val="13"/>
                <w:szCs w:val="13"/>
              </w:rPr>
              <w:t xml:space="preserve">69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C3844E7"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5B81834" w14:textId="77777777">
            <w:pPr>
              <w:pStyle w:val="tablebody"/>
              <w:jc w:val="right"/>
              <w:rPr>
                <w:rFonts w:cs="Arial"/>
                <w:color w:val="000000"/>
                <w:sz w:val="13"/>
                <w:szCs w:val="13"/>
              </w:rPr>
            </w:pPr>
            <w:r w:rsidRPr="00293DB6">
              <w:rPr>
                <w:rFonts w:cs="Arial"/>
                <w:color w:val="000000"/>
                <w:sz w:val="13"/>
                <w:szCs w:val="13"/>
              </w:rPr>
              <w:t xml:space="preserve">(454,720)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2855BE7" w14:textId="77777777">
            <w:pPr>
              <w:pStyle w:val="tablebody"/>
              <w:jc w:val="right"/>
              <w:rPr>
                <w:rFonts w:cs="Arial"/>
                <w:color w:val="000000"/>
                <w:sz w:val="13"/>
                <w:szCs w:val="13"/>
              </w:rPr>
            </w:pPr>
            <w:r w:rsidRPr="00293DB6">
              <w:rPr>
                <w:rFonts w:cs="Arial"/>
                <w:color w:val="000000"/>
                <w:sz w:val="13"/>
                <w:szCs w:val="13"/>
              </w:rPr>
              <w:t xml:space="preserve">(471,542)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123A508" w14:textId="77777777">
            <w:pPr>
              <w:pStyle w:val="tablebody"/>
              <w:jc w:val="right"/>
              <w:rPr>
                <w:rFonts w:cs="Arial"/>
                <w:color w:val="000000"/>
                <w:sz w:val="13"/>
                <w:szCs w:val="13"/>
              </w:rPr>
            </w:pPr>
            <w:r w:rsidRPr="00293DB6">
              <w:rPr>
                <w:rFonts w:cs="Arial"/>
                <w:color w:val="000000"/>
                <w:sz w:val="13"/>
                <w:szCs w:val="13"/>
              </w:rPr>
              <w:t xml:space="preserve">(72,283)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F7EDDFA" w14:textId="77777777">
            <w:pPr>
              <w:pStyle w:val="tablebody"/>
              <w:jc w:val="right"/>
              <w:rPr>
                <w:rFonts w:cs="Arial"/>
                <w:color w:val="000000"/>
                <w:sz w:val="13"/>
                <w:szCs w:val="13"/>
              </w:rPr>
            </w:pPr>
            <w:r w:rsidRPr="00293DB6">
              <w:rPr>
                <w:rFonts w:cs="Arial"/>
                <w:color w:val="000000"/>
                <w:sz w:val="13"/>
                <w:szCs w:val="13"/>
              </w:rPr>
              <w:t xml:space="preserve">(65,557)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511690E5" w14:textId="77777777">
            <w:pPr>
              <w:pStyle w:val="tablebody"/>
              <w:jc w:val="right"/>
              <w:rPr>
                <w:rFonts w:cs="Arial"/>
                <w:color w:val="000000"/>
                <w:sz w:val="13"/>
                <w:szCs w:val="13"/>
              </w:rPr>
            </w:pPr>
            <w:r w:rsidRPr="00293DB6">
              <w:rPr>
                <w:rFonts w:cs="Arial"/>
                <w:color w:val="000000"/>
                <w:sz w:val="13"/>
                <w:szCs w:val="13"/>
              </w:rPr>
              <w:t xml:space="preserve">(56,481)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9C174A9" w14:textId="77777777">
            <w:pPr>
              <w:pStyle w:val="tablebody"/>
              <w:jc w:val="right"/>
              <w:rPr>
                <w:rFonts w:cs="Arial"/>
                <w:color w:val="000000"/>
                <w:sz w:val="13"/>
                <w:szCs w:val="13"/>
              </w:rPr>
            </w:pPr>
            <w:r w:rsidRPr="00293DB6">
              <w:rPr>
                <w:rFonts w:cs="Arial"/>
                <w:color w:val="000000"/>
                <w:sz w:val="13"/>
                <w:szCs w:val="13"/>
              </w:rPr>
              <w:t xml:space="preserve">(49,876)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DA55E92" w14:textId="77777777">
            <w:pPr>
              <w:pStyle w:val="tablebody"/>
              <w:jc w:val="right"/>
              <w:rPr>
                <w:rFonts w:cs="Arial"/>
                <w:color w:val="000000"/>
                <w:sz w:val="13"/>
                <w:szCs w:val="13"/>
              </w:rPr>
            </w:pPr>
            <w:r w:rsidRPr="00293DB6">
              <w:rPr>
                <w:rFonts w:cs="Arial"/>
                <w:color w:val="000000"/>
                <w:sz w:val="13"/>
                <w:szCs w:val="13"/>
              </w:rPr>
              <w:t xml:space="preserve">(73)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C29E574" w14:textId="77777777">
            <w:pPr>
              <w:pStyle w:val="tablebody"/>
              <w:jc w:val="right"/>
              <w:rPr>
                <w:rFonts w:cs="Arial"/>
                <w:color w:val="000000"/>
                <w:sz w:val="13"/>
                <w:szCs w:val="13"/>
              </w:rPr>
            </w:pPr>
            <w:r w:rsidRPr="00293DB6">
              <w:rPr>
                <w:rFonts w:cs="Arial"/>
                <w:color w:val="000000"/>
                <w:sz w:val="13"/>
                <w:szCs w:val="13"/>
              </w:rPr>
              <w:t xml:space="preserve">(114)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E544186" w14:textId="77777777">
            <w:pPr>
              <w:pStyle w:val="tablebody"/>
              <w:jc w:val="right"/>
              <w:rPr>
                <w:rFonts w:cs="Arial"/>
                <w:color w:val="000000"/>
                <w:sz w:val="13"/>
                <w:szCs w:val="13"/>
              </w:rPr>
            </w:pPr>
            <w:r w:rsidRPr="00293DB6">
              <w:rPr>
                <w:rFonts w:cs="Arial"/>
                <w:color w:val="000000"/>
                <w:sz w:val="13"/>
                <w:szCs w:val="13"/>
              </w:rPr>
              <w:t xml:space="preserve">(625,799)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6275DD" w14:textId="77777777">
            <w:pPr>
              <w:pStyle w:val="tablebody"/>
              <w:jc w:val="right"/>
              <w:rPr>
                <w:rFonts w:cs="Arial"/>
                <w:color w:val="000000"/>
                <w:sz w:val="13"/>
                <w:szCs w:val="13"/>
              </w:rPr>
            </w:pPr>
            <w:r w:rsidRPr="00293DB6">
              <w:rPr>
                <w:rFonts w:cs="Arial"/>
                <w:color w:val="000000"/>
                <w:sz w:val="13"/>
                <w:szCs w:val="13"/>
              </w:rPr>
              <w:t xml:space="preserve">(618,178) </w:t>
            </w:r>
          </w:p>
        </w:tc>
      </w:tr>
      <w:tr w:rsidRPr="00293DB6" w:rsidR="00A96D3F" w:rsidTr="0088782A" w14:paraId="1D0E8250" w14:textId="77777777">
        <w:trPr>
          <w:trHeight w:val="113"/>
        </w:trPr>
        <w:tc>
          <w:tcPr>
            <w:tcW w:w="3686"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0F2BEE6" w14:textId="77777777">
            <w:pPr>
              <w:pStyle w:val="tablebody"/>
              <w:rPr>
                <w:rFonts w:cs="Arial"/>
                <w:color w:val="000000"/>
                <w:sz w:val="13"/>
                <w:szCs w:val="13"/>
              </w:rPr>
            </w:pPr>
            <w:r w:rsidRPr="00293DB6">
              <w:rPr>
                <w:rFonts w:cs="Arial"/>
                <w:color w:val="000000"/>
                <w:sz w:val="13"/>
                <w:szCs w:val="13"/>
              </w:rPr>
              <w:t>Other expenses</w:t>
            </w:r>
          </w:p>
        </w:tc>
        <w:tc>
          <w:tcPr>
            <w:tcW w:w="481"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B92529A" w14:textId="77777777">
            <w:pPr>
              <w:pStyle w:val="tablebody"/>
              <w:jc w:val="right"/>
              <w:rPr>
                <w:rFonts w:cs="Arial"/>
                <w:color w:val="000000"/>
                <w:sz w:val="13"/>
                <w:szCs w:val="13"/>
              </w:rPr>
            </w:pPr>
            <w:r w:rsidRPr="00293DB6">
              <w:rPr>
                <w:rFonts w:cs="Arial"/>
                <w:color w:val="000000"/>
                <w:sz w:val="13"/>
                <w:szCs w:val="13"/>
              </w:rPr>
              <w:t xml:space="preserve">(20)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77797A4" w14:textId="77777777">
            <w:pPr>
              <w:pStyle w:val="tablebody"/>
              <w:jc w:val="right"/>
              <w:rPr>
                <w:rFonts w:cs="Arial"/>
                <w:color w:val="000000"/>
                <w:sz w:val="13"/>
                <w:szCs w:val="13"/>
              </w:rPr>
            </w:pPr>
            <w:r w:rsidRPr="00293DB6">
              <w:rPr>
                <w:rFonts w:cs="Arial"/>
                <w:color w:val="000000"/>
                <w:sz w:val="13"/>
                <w:szCs w:val="13"/>
              </w:rPr>
              <w:t xml:space="preserve">(15)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201432D" w14:textId="77777777">
            <w:pPr>
              <w:pStyle w:val="tablebody"/>
              <w:jc w:val="right"/>
              <w:rPr>
                <w:rFonts w:cs="Arial"/>
                <w:color w:val="000000"/>
                <w:sz w:val="13"/>
                <w:szCs w:val="13"/>
              </w:rPr>
            </w:pPr>
            <w:r w:rsidRPr="00293DB6">
              <w:rPr>
                <w:rFonts w:cs="Arial"/>
                <w:color w:val="000000"/>
                <w:sz w:val="13"/>
                <w:szCs w:val="13"/>
              </w:rPr>
              <w:t xml:space="preserve">(1,742)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57ACB99" w14:textId="77777777">
            <w:pPr>
              <w:pStyle w:val="tablebody"/>
              <w:jc w:val="right"/>
              <w:rPr>
                <w:rFonts w:cs="Arial"/>
                <w:color w:val="000000"/>
                <w:sz w:val="13"/>
                <w:szCs w:val="13"/>
              </w:rPr>
            </w:pPr>
            <w:r w:rsidRPr="00293DB6">
              <w:rPr>
                <w:rFonts w:cs="Arial"/>
                <w:color w:val="000000"/>
                <w:sz w:val="13"/>
                <w:szCs w:val="13"/>
              </w:rPr>
              <w:t xml:space="preserve">(1,555)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2E17389" w14:textId="77777777">
            <w:pPr>
              <w:pStyle w:val="tablebody"/>
              <w:jc w:val="right"/>
              <w:rPr>
                <w:rFonts w:cs="Arial"/>
                <w:color w:val="000000"/>
                <w:sz w:val="13"/>
                <w:szCs w:val="13"/>
              </w:rPr>
            </w:pPr>
            <w:r w:rsidRPr="00293DB6">
              <w:rPr>
                <w:rFonts w:cs="Arial"/>
                <w:color w:val="000000"/>
                <w:sz w:val="13"/>
                <w:szCs w:val="13"/>
              </w:rPr>
              <w:t xml:space="preserve">(181)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E1A4F7F"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268975F" w14:textId="77777777">
            <w:pPr>
              <w:pStyle w:val="tablebody"/>
              <w:jc w:val="right"/>
              <w:rPr>
                <w:rFonts w:cs="Arial"/>
                <w:color w:val="000000"/>
                <w:sz w:val="13"/>
                <w:szCs w:val="13"/>
              </w:rPr>
            </w:pPr>
            <w:r w:rsidRPr="00293DB6">
              <w:rPr>
                <w:rFonts w:cs="Arial"/>
                <w:color w:val="000000"/>
                <w:sz w:val="13"/>
                <w:szCs w:val="13"/>
              </w:rPr>
              <w:t xml:space="preserve">(14,292)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184085A" w14:textId="77777777">
            <w:pPr>
              <w:pStyle w:val="tablebody"/>
              <w:jc w:val="right"/>
              <w:rPr>
                <w:rFonts w:cs="Arial"/>
                <w:color w:val="000000"/>
                <w:sz w:val="13"/>
                <w:szCs w:val="13"/>
              </w:rPr>
            </w:pPr>
            <w:r w:rsidRPr="00293DB6">
              <w:rPr>
                <w:rFonts w:cs="Arial"/>
                <w:color w:val="000000"/>
                <w:sz w:val="13"/>
                <w:szCs w:val="13"/>
              </w:rPr>
              <w:t xml:space="preserve">(3,165)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14153AB" w14:textId="77777777">
            <w:pPr>
              <w:pStyle w:val="tablebody"/>
              <w:jc w:val="right"/>
              <w:rPr>
                <w:rFonts w:cs="Arial"/>
                <w:color w:val="000000"/>
                <w:sz w:val="13"/>
                <w:szCs w:val="13"/>
              </w:rPr>
            </w:pPr>
            <w:r w:rsidRPr="00293DB6">
              <w:rPr>
                <w:rFonts w:cs="Arial"/>
                <w:color w:val="000000"/>
                <w:sz w:val="13"/>
                <w:szCs w:val="13"/>
              </w:rPr>
              <w:t xml:space="preserve">(15,833)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2337AF8" w14:textId="77777777">
            <w:pPr>
              <w:pStyle w:val="tablebody"/>
              <w:jc w:val="right"/>
              <w:rPr>
                <w:rFonts w:cs="Arial"/>
                <w:color w:val="000000"/>
                <w:sz w:val="13"/>
                <w:szCs w:val="13"/>
              </w:rPr>
            </w:pPr>
            <w:r w:rsidRPr="00293DB6">
              <w:rPr>
                <w:rFonts w:cs="Arial"/>
                <w:color w:val="000000"/>
                <w:sz w:val="13"/>
                <w:szCs w:val="13"/>
              </w:rPr>
              <w:t xml:space="preserve">(3,419)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C01709B" w14:textId="77777777">
            <w:pPr>
              <w:pStyle w:val="tablebody"/>
              <w:jc w:val="right"/>
              <w:rPr>
                <w:rFonts w:cs="Arial"/>
                <w:color w:val="000000"/>
                <w:sz w:val="13"/>
                <w:szCs w:val="13"/>
              </w:rPr>
            </w:pPr>
            <w:r w:rsidRPr="00293DB6">
              <w:rPr>
                <w:rFonts w:cs="Arial"/>
                <w:color w:val="000000"/>
                <w:sz w:val="13"/>
                <w:szCs w:val="13"/>
              </w:rPr>
              <w:t xml:space="preserve">(476)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E49D576" w14:textId="77777777">
            <w:pPr>
              <w:pStyle w:val="tablebody"/>
              <w:jc w:val="right"/>
              <w:rPr>
                <w:rFonts w:cs="Arial"/>
                <w:color w:val="000000"/>
                <w:sz w:val="13"/>
                <w:szCs w:val="13"/>
              </w:rPr>
            </w:pPr>
            <w:r w:rsidRPr="00293DB6">
              <w:rPr>
                <w:rFonts w:cs="Arial"/>
                <w:color w:val="000000"/>
                <w:sz w:val="13"/>
                <w:szCs w:val="13"/>
              </w:rPr>
              <w:t xml:space="preserve">(452)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18EB9C1" w14:textId="77777777">
            <w:pPr>
              <w:pStyle w:val="tablebody"/>
              <w:jc w:val="right"/>
              <w:rPr>
                <w:rFonts w:cs="Arial"/>
                <w:color w:val="000000"/>
                <w:sz w:val="13"/>
                <w:szCs w:val="13"/>
              </w:rPr>
            </w:pPr>
            <w:r w:rsidRPr="00293DB6">
              <w:rPr>
                <w:rFonts w:cs="Arial"/>
                <w:color w:val="000000"/>
                <w:sz w:val="13"/>
                <w:szCs w:val="13"/>
              </w:rPr>
              <w:t xml:space="preserve">(133)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B78E932" w14:textId="77777777">
            <w:pPr>
              <w:pStyle w:val="tablebody"/>
              <w:jc w:val="right"/>
              <w:rPr>
                <w:rFonts w:cs="Arial"/>
                <w:color w:val="000000"/>
                <w:sz w:val="13"/>
                <w:szCs w:val="13"/>
              </w:rPr>
            </w:pPr>
            <w:r w:rsidRPr="00293DB6">
              <w:rPr>
                <w:rFonts w:cs="Arial"/>
                <w:color w:val="000000"/>
                <w:sz w:val="13"/>
                <w:szCs w:val="13"/>
              </w:rPr>
              <w:t xml:space="preserve">(127)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896F2F7" w14:textId="77777777">
            <w:pPr>
              <w:pStyle w:val="tablebody"/>
              <w:jc w:val="right"/>
              <w:rPr>
                <w:rFonts w:cs="Arial"/>
                <w:color w:val="000000"/>
                <w:sz w:val="13"/>
                <w:szCs w:val="13"/>
              </w:rPr>
            </w:pPr>
            <w:r w:rsidRPr="00293DB6">
              <w:rPr>
                <w:rFonts w:cs="Arial"/>
                <w:color w:val="000000"/>
                <w:sz w:val="13"/>
                <w:szCs w:val="13"/>
              </w:rPr>
              <w:t xml:space="preserve">(32,677)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1F3B25E" w14:textId="77777777">
            <w:pPr>
              <w:pStyle w:val="tablebody"/>
              <w:jc w:val="right"/>
              <w:rPr>
                <w:rFonts w:cs="Arial"/>
                <w:color w:val="000000"/>
                <w:sz w:val="13"/>
                <w:szCs w:val="13"/>
              </w:rPr>
            </w:pPr>
            <w:r w:rsidRPr="00293DB6">
              <w:rPr>
                <w:rFonts w:cs="Arial"/>
                <w:color w:val="000000"/>
                <w:sz w:val="13"/>
                <w:szCs w:val="13"/>
              </w:rPr>
              <w:t xml:space="preserve">(8,733) </w:t>
            </w:r>
          </w:p>
        </w:tc>
      </w:tr>
      <w:tr w:rsidRPr="0088782A" w:rsidR="00A96D3F" w:rsidTr="0088782A" w14:paraId="452B74B5" w14:textId="77777777">
        <w:trPr>
          <w:trHeight w:val="113"/>
        </w:trPr>
        <w:tc>
          <w:tcPr>
            <w:tcW w:w="3686"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0A9F973" w14:textId="77777777">
            <w:pPr>
              <w:pStyle w:val="tablebody"/>
              <w:rPr>
                <w:rFonts w:cs="Arial"/>
                <w:b/>
                <w:color w:val="000000"/>
                <w:sz w:val="13"/>
                <w:szCs w:val="13"/>
              </w:rPr>
            </w:pPr>
            <w:r w:rsidRPr="0088782A">
              <w:rPr>
                <w:rFonts w:cs="Arial"/>
                <w:b/>
                <w:color w:val="000000"/>
                <w:sz w:val="13"/>
                <w:szCs w:val="13"/>
              </w:rPr>
              <w:t>Total administered expenses from transactions</w:t>
            </w:r>
          </w:p>
        </w:tc>
        <w:tc>
          <w:tcPr>
            <w:tcW w:w="481"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3D38812" w14:textId="77777777">
            <w:pPr>
              <w:pStyle w:val="tablebody"/>
              <w:jc w:val="right"/>
              <w:rPr>
                <w:rFonts w:cs="Arial"/>
                <w:b/>
                <w:color w:val="000000"/>
                <w:sz w:val="13"/>
                <w:szCs w:val="13"/>
              </w:rPr>
            </w:pPr>
            <w:r w:rsidRPr="0088782A">
              <w:rPr>
                <w:rFonts w:cs="Arial"/>
                <w:b/>
                <w:color w:val="000000"/>
                <w:sz w:val="13"/>
                <w:szCs w:val="13"/>
              </w:rPr>
              <w:t xml:space="preserve">(67)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517E579" w14:textId="77777777">
            <w:pPr>
              <w:pStyle w:val="tablebody"/>
              <w:jc w:val="right"/>
              <w:rPr>
                <w:rFonts w:cs="Arial"/>
                <w:b/>
                <w:color w:val="000000"/>
                <w:sz w:val="13"/>
                <w:szCs w:val="13"/>
              </w:rPr>
            </w:pPr>
            <w:r w:rsidRPr="0088782A">
              <w:rPr>
                <w:rFonts w:cs="Arial"/>
                <w:b/>
                <w:color w:val="000000"/>
                <w:sz w:val="13"/>
                <w:szCs w:val="13"/>
              </w:rPr>
              <w:t xml:space="preserve">(20)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0CAF8A6" w14:textId="77777777">
            <w:pPr>
              <w:pStyle w:val="tablebody"/>
              <w:jc w:val="right"/>
              <w:rPr>
                <w:rFonts w:cs="Arial"/>
                <w:b/>
                <w:color w:val="000000"/>
                <w:sz w:val="13"/>
                <w:szCs w:val="13"/>
              </w:rPr>
            </w:pPr>
            <w:r w:rsidRPr="0088782A">
              <w:rPr>
                <w:rFonts w:cs="Arial"/>
                <w:b/>
                <w:color w:val="000000"/>
                <w:sz w:val="13"/>
                <w:szCs w:val="13"/>
              </w:rPr>
              <w:t xml:space="preserve">(44,006)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5B1B9CC" w14:textId="77777777">
            <w:pPr>
              <w:pStyle w:val="tablebody"/>
              <w:jc w:val="right"/>
              <w:rPr>
                <w:rFonts w:cs="Arial"/>
                <w:b/>
                <w:color w:val="000000"/>
                <w:sz w:val="13"/>
                <w:szCs w:val="13"/>
              </w:rPr>
            </w:pPr>
            <w:r w:rsidRPr="0088782A">
              <w:rPr>
                <w:rFonts w:cs="Arial"/>
                <w:b/>
                <w:color w:val="000000"/>
                <w:sz w:val="13"/>
                <w:szCs w:val="13"/>
              </w:rPr>
              <w:t xml:space="preserve">(32,639)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E317126" w14:textId="77777777">
            <w:pPr>
              <w:pStyle w:val="tablebody"/>
              <w:jc w:val="right"/>
              <w:rPr>
                <w:rFonts w:cs="Arial"/>
                <w:b/>
                <w:color w:val="000000"/>
                <w:sz w:val="13"/>
                <w:szCs w:val="13"/>
              </w:rPr>
            </w:pPr>
            <w:r w:rsidRPr="0088782A">
              <w:rPr>
                <w:rFonts w:cs="Arial"/>
                <w:b/>
                <w:color w:val="000000"/>
                <w:sz w:val="13"/>
                <w:szCs w:val="13"/>
              </w:rPr>
              <w:t xml:space="preserve">(112)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9CE79F5"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1297A96" w14:textId="77777777">
            <w:pPr>
              <w:pStyle w:val="tablebody"/>
              <w:jc w:val="right"/>
              <w:rPr>
                <w:rFonts w:cs="Arial"/>
                <w:b/>
                <w:color w:val="000000"/>
                <w:sz w:val="13"/>
                <w:szCs w:val="13"/>
              </w:rPr>
            </w:pPr>
            <w:r w:rsidRPr="0088782A">
              <w:rPr>
                <w:rFonts w:cs="Arial"/>
                <w:b/>
                <w:color w:val="000000"/>
                <w:sz w:val="13"/>
                <w:szCs w:val="13"/>
              </w:rPr>
              <w:t xml:space="preserve">(469,012)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F509C92" w14:textId="77777777">
            <w:pPr>
              <w:pStyle w:val="tablebody"/>
              <w:jc w:val="right"/>
              <w:rPr>
                <w:rFonts w:cs="Arial"/>
                <w:b/>
                <w:color w:val="000000"/>
                <w:sz w:val="13"/>
                <w:szCs w:val="13"/>
              </w:rPr>
            </w:pPr>
            <w:r w:rsidRPr="0088782A">
              <w:rPr>
                <w:rFonts w:cs="Arial"/>
                <w:b/>
                <w:color w:val="000000"/>
                <w:sz w:val="13"/>
                <w:szCs w:val="13"/>
              </w:rPr>
              <w:t xml:space="preserve">(474,707)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6293756A" w14:textId="77777777">
            <w:pPr>
              <w:pStyle w:val="tablebody"/>
              <w:jc w:val="right"/>
              <w:rPr>
                <w:rFonts w:cs="Arial"/>
                <w:b/>
                <w:color w:val="000000"/>
                <w:sz w:val="13"/>
                <w:szCs w:val="13"/>
              </w:rPr>
            </w:pPr>
            <w:r w:rsidRPr="0088782A">
              <w:rPr>
                <w:rFonts w:cs="Arial"/>
                <w:b/>
                <w:color w:val="000000"/>
                <w:sz w:val="13"/>
                <w:szCs w:val="13"/>
              </w:rPr>
              <w:t xml:space="preserve">(88,116)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E0C3E52" w14:textId="77777777">
            <w:pPr>
              <w:pStyle w:val="tablebody"/>
              <w:jc w:val="right"/>
              <w:rPr>
                <w:rFonts w:cs="Arial"/>
                <w:b/>
                <w:color w:val="000000"/>
                <w:sz w:val="13"/>
                <w:szCs w:val="13"/>
              </w:rPr>
            </w:pPr>
            <w:r w:rsidRPr="0088782A">
              <w:rPr>
                <w:rFonts w:cs="Arial"/>
                <w:b/>
                <w:color w:val="000000"/>
                <w:sz w:val="13"/>
                <w:szCs w:val="13"/>
              </w:rPr>
              <w:t xml:space="preserve">(68,976)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6BFAF53" w14:textId="77777777">
            <w:pPr>
              <w:pStyle w:val="tablebody"/>
              <w:jc w:val="right"/>
              <w:rPr>
                <w:rFonts w:cs="Arial"/>
                <w:b/>
                <w:color w:val="000000"/>
                <w:sz w:val="13"/>
                <w:szCs w:val="13"/>
              </w:rPr>
            </w:pPr>
            <w:r w:rsidRPr="0088782A">
              <w:rPr>
                <w:rFonts w:cs="Arial"/>
                <w:b/>
                <w:color w:val="000000"/>
                <w:sz w:val="13"/>
                <w:szCs w:val="13"/>
              </w:rPr>
              <w:t xml:space="preserve">(56,957)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2B5CD55" w14:textId="77777777">
            <w:pPr>
              <w:pStyle w:val="tablebody"/>
              <w:jc w:val="right"/>
              <w:rPr>
                <w:rFonts w:cs="Arial"/>
                <w:b/>
                <w:color w:val="000000"/>
                <w:sz w:val="13"/>
                <w:szCs w:val="13"/>
              </w:rPr>
            </w:pPr>
            <w:r w:rsidRPr="0088782A">
              <w:rPr>
                <w:rFonts w:cs="Arial"/>
                <w:b/>
                <w:color w:val="000000"/>
                <w:sz w:val="13"/>
                <w:szCs w:val="13"/>
              </w:rPr>
              <w:t xml:space="preserve">(50,328)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39308F9" w14:textId="77777777">
            <w:pPr>
              <w:pStyle w:val="tablebody"/>
              <w:jc w:val="right"/>
              <w:rPr>
                <w:rFonts w:cs="Arial"/>
                <w:b/>
                <w:color w:val="000000"/>
                <w:sz w:val="13"/>
                <w:szCs w:val="13"/>
              </w:rPr>
            </w:pPr>
            <w:r w:rsidRPr="0088782A">
              <w:rPr>
                <w:rFonts w:cs="Arial"/>
                <w:b/>
                <w:color w:val="000000"/>
                <w:sz w:val="13"/>
                <w:szCs w:val="13"/>
              </w:rPr>
              <w:t xml:space="preserve">(36,206)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ACC2328" w14:textId="77777777">
            <w:pPr>
              <w:pStyle w:val="tablebody"/>
              <w:jc w:val="right"/>
              <w:rPr>
                <w:rFonts w:cs="Arial"/>
                <w:b/>
                <w:color w:val="000000"/>
                <w:sz w:val="13"/>
                <w:szCs w:val="13"/>
              </w:rPr>
            </w:pPr>
            <w:r w:rsidRPr="0088782A">
              <w:rPr>
                <w:rFonts w:cs="Arial"/>
                <w:b/>
                <w:color w:val="000000"/>
                <w:sz w:val="13"/>
                <w:szCs w:val="13"/>
              </w:rPr>
              <w:t xml:space="preserve">(29,217)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46D8230" w14:textId="77777777">
            <w:pPr>
              <w:pStyle w:val="tablebody"/>
              <w:jc w:val="right"/>
              <w:rPr>
                <w:rFonts w:cs="Arial"/>
                <w:b/>
                <w:color w:val="000000"/>
                <w:sz w:val="13"/>
                <w:szCs w:val="13"/>
              </w:rPr>
            </w:pPr>
            <w:r w:rsidRPr="0088782A">
              <w:rPr>
                <w:rFonts w:cs="Arial"/>
                <w:b/>
                <w:color w:val="000000"/>
                <w:sz w:val="13"/>
                <w:szCs w:val="13"/>
              </w:rPr>
              <w:t xml:space="preserve">(694,476)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82817F2" w14:textId="77777777">
            <w:pPr>
              <w:pStyle w:val="tablebody"/>
              <w:jc w:val="right"/>
              <w:rPr>
                <w:rFonts w:cs="Arial"/>
                <w:b/>
                <w:color w:val="000000"/>
                <w:sz w:val="13"/>
                <w:szCs w:val="13"/>
              </w:rPr>
            </w:pPr>
            <w:r w:rsidRPr="0088782A">
              <w:rPr>
                <w:rFonts w:cs="Arial"/>
                <w:b/>
                <w:color w:val="000000"/>
                <w:sz w:val="13"/>
                <w:szCs w:val="13"/>
              </w:rPr>
              <w:t xml:space="preserve">(655,887) </w:t>
            </w:r>
          </w:p>
        </w:tc>
      </w:tr>
      <w:tr w:rsidRPr="0088782A" w:rsidR="00A96D3F" w:rsidTr="0088782A" w14:paraId="45B5DBB0" w14:textId="77777777">
        <w:trPr>
          <w:trHeight w:val="113"/>
        </w:trPr>
        <w:tc>
          <w:tcPr>
            <w:tcW w:w="3686"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F291CC5" w14:textId="77777777">
            <w:pPr>
              <w:pStyle w:val="tablebody"/>
              <w:rPr>
                <w:rFonts w:cs="Arial"/>
                <w:b/>
                <w:color w:val="000000"/>
                <w:sz w:val="13"/>
                <w:szCs w:val="13"/>
              </w:rPr>
            </w:pPr>
            <w:r w:rsidRPr="0088782A">
              <w:rPr>
                <w:rFonts w:cs="Arial"/>
                <w:b/>
                <w:color w:val="000000"/>
                <w:sz w:val="13"/>
                <w:szCs w:val="13"/>
              </w:rPr>
              <w:t>Total administered net result from transactions (net operating balance)</w:t>
            </w:r>
          </w:p>
        </w:tc>
        <w:tc>
          <w:tcPr>
            <w:tcW w:w="481"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7418350" w14:textId="77777777">
            <w:pPr>
              <w:pStyle w:val="tablebody"/>
              <w:jc w:val="right"/>
              <w:rPr>
                <w:rFonts w:cs="Arial"/>
                <w:b/>
                <w:color w:val="000000"/>
                <w:sz w:val="13"/>
                <w:szCs w:val="13"/>
              </w:rPr>
            </w:pPr>
            <w:r w:rsidRPr="0088782A">
              <w:rPr>
                <w:rFonts w:cs="Arial"/>
                <w:b/>
                <w:color w:val="000000"/>
                <w:sz w:val="13"/>
                <w:szCs w:val="13"/>
              </w:rPr>
              <w:t xml:space="preserve">11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0757746D" w14:textId="77777777">
            <w:pPr>
              <w:pStyle w:val="tablebody"/>
              <w:jc w:val="right"/>
              <w:rPr>
                <w:rFonts w:cs="Arial"/>
                <w:b/>
                <w:color w:val="000000"/>
                <w:sz w:val="13"/>
                <w:szCs w:val="13"/>
              </w:rPr>
            </w:pPr>
            <w:r w:rsidRPr="0088782A">
              <w:rPr>
                <w:rFonts w:cs="Arial"/>
                <w:b/>
                <w:color w:val="000000"/>
                <w:sz w:val="13"/>
                <w:szCs w:val="13"/>
              </w:rPr>
              <w:t xml:space="preserve">3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411A1D57" w14:textId="77777777">
            <w:pPr>
              <w:pStyle w:val="tablebody"/>
              <w:jc w:val="right"/>
              <w:rPr>
                <w:rFonts w:cs="Arial"/>
                <w:b/>
                <w:color w:val="000000"/>
                <w:sz w:val="13"/>
                <w:szCs w:val="13"/>
              </w:rPr>
            </w:pPr>
            <w:r w:rsidRPr="0088782A">
              <w:rPr>
                <w:rFonts w:cs="Arial"/>
                <w:b/>
                <w:color w:val="000000"/>
                <w:sz w:val="13"/>
                <w:szCs w:val="13"/>
              </w:rPr>
              <w:t xml:space="preserve">(18,910)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1E45EBC" w14:textId="77777777">
            <w:pPr>
              <w:pStyle w:val="tablebody"/>
              <w:jc w:val="right"/>
              <w:rPr>
                <w:rFonts w:cs="Arial"/>
                <w:b/>
                <w:color w:val="000000"/>
                <w:sz w:val="13"/>
                <w:szCs w:val="13"/>
              </w:rPr>
            </w:pPr>
            <w:r w:rsidRPr="0088782A">
              <w:rPr>
                <w:rFonts w:cs="Arial"/>
                <w:b/>
                <w:color w:val="000000"/>
                <w:sz w:val="13"/>
                <w:szCs w:val="13"/>
              </w:rPr>
              <w:t xml:space="preserve">(14,568)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1131AC0" w14:textId="77777777">
            <w:pPr>
              <w:pStyle w:val="tablebody"/>
              <w:jc w:val="right"/>
              <w:rPr>
                <w:rFonts w:cs="Arial"/>
                <w:b/>
                <w:color w:val="000000"/>
                <w:sz w:val="13"/>
                <w:szCs w:val="13"/>
              </w:rPr>
            </w:pPr>
            <w:r w:rsidRPr="0088782A">
              <w:rPr>
                <w:rFonts w:cs="Arial"/>
                <w:b/>
                <w:color w:val="000000"/>
                <w:sz w:val="13"/>
                <w:szCs w:val="13"/>
              </w:rPr>
              <w:t xml:space="preserve">151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4F62A63"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2C514B8" w14:textId="77777777">
            <w:pPr>
              <w:pStyle w:val="tablebody"/>
              <w:jc w:val="right"/>
              <w:rPr>
                <w:rFonts w:cs="Arial"/>
                <w:b/>
                <w:color w:val="000000"/>
                <w:sz w:val="13"/>
                <w:szCs w:val="13"/>
              </w:rPr>
            </w:pPr>
            <w:r w:rsidRPr="0088782A">
              <w:rPr>
                <w:rFonts w:cs="Arial"/>
                <w:b/>
                <w:color w:val="000000"/>
                <w:sz w:val="13"/>
                <w:szCs w:val="13"/>
              </w:rPr>
              <w:t xml:space="preserve">444,616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DB8C13D" w14:textId="77777777">
            <w:pPr>
              <w:pStyle w:val="tablebody"/>
              <w:jc w:val="right"/>
              <w:rPr>
                <w:rFonts w:cs="Arial"/>
                <w:b/>
                <w:color w:val="000000"/>
                <w:sz w:val="13"/>
                <w:szCs w:val="13"/>
              </w:rPr>
            </w:pPr>
            <w:r w:rsidRPr="0088782A">
              <w:rPr>
                <w:rFonts w:cs="Arial"/>
                <w:b/>
                <w:color w:val="000000"/>
                <w:sz w:val="13"/>
                <w:szCs w:val="13"/>
              </w:rPr>
              <w:t xml:space="preserve">671,740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3DA3EAA" w14:textId="77777777">
            <w:pPr>
              <w:pStyle w:val="tablebody"/>
              <w:jc w:val="right"/>
              <w:rPr>
                <w:rFonts w:cs="Arial"/>
                <w:b/>
                <w:color w:val="000000"/>
                <w:sz w:val="13"/>
                <w:szCs w:val="13"/>
              </w:rPr>
            </w:pPr>
            <w:r w:rsidRPr="0088782A">
              <w:rPr>
                <w:rFonts w:cs="Arial"/>
                <w:b/>
                <w:color w:val="000000"/>
                <w:sz w:val="13"/>
                <w:szCs w:val="13"/>
              </w:rPr>
              <w:t xml:space="preserve">(4,152)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46A2E330" w14:textId="77777777">
            <w:pPr>
              <w:pStyle w:val="tablebody"/>
              <w:jc w:val="right"/>
              <w:rPr>
                <w:rFonts w:cs="Arial"/>
                <w:b/>
                <w:color w:val="000000"/>
                <w:sz w:val="13"/>
                <w:szCs w:val="13"/>
              </w:rPr>
            </w:pPr>
            <w:r w:rsidRPr="0088782A">
              <w:rPr>
                <w:rFonts w:cs="Arial"/>
                <w:b/>
                <w:color w:val="000000"/>
                <w:sz w:val="13"/>
                <w:szCs w:val="13"/>
              </w:rPr>
              <w:t xml:space="preserve">(7,664)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1F283B3" w14:textId="77777777">
            <w:pPr>
              <w:pStyle w:val="tablebody"/>
              <w:jc w:val="right"/>
              <w:rPr>
                <w:rFonts w:cs="Arial"/>
                <w:b/>
                <w:color w:val="000000"/>
                <w:sz w:val="13"/>
                <w:szCs w:val="13"/>
              </w:rPr>
            </w:pPr>
            <w:r w:rsidRPr="0088782A">
              <w:rPr>
                <w:rFonts w:cs="Arial"/>
                <w:b/>
                <w:color w:val="000000"/>
                <w:sz w:val="13"/>
                <w:szCs w:val="13"/>
              </w:rPr>
              <w:t xml:space="preserve">(9,952)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FB34D01" w14:textId="77777777">
            <w:pPr>
              <w:pStyle w:val="tablebody"/>
              <w:jc w:val="right"/>
              <w:rPr>
                <w:rFonts w:cs="Arial"/>
                <w:b/>
                <w:color w:val="000000"/>
                <w:sz w:val="13"/>
                <w:szCs w:val="13"/>
              </w:rPr>
            </w:pPr>
            <w:r w:rsidRPr="0088782A">
              <w:rPr>
                <w:rFonts w:cs="Arial"/>
                <w:b/>
                <w:color w:val="000000"/>
                <w:sz w:val="13"/>
                <w:szCs w:val="13"/>
              </w:rPr>
              <w:t xml:space="preserve">(13,044)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C9E1D9F" w14:textId="77777777">
            <w:pPr>
              <w:pStyle w:val="tablebody"/>
              <w:jc w:val="right"/>
              <w:rPr>
                <w:rFonts w:cs="Arial"/>
                <w:b/>
                <w:color w:val="000000"/>
                <w:sz w:val="13"/>
                <w:szCs w:val="13"/>
              </w:rPr>
            </w:pPr>
            <w:r w:rsidRPr="0088782A">
              <w:rPr>
                <w:rFonts w:cs="Arial"/>
                <w:b/>
                <w:color w:val="000000"/>
                <w:sz w:val="13"/>
                <w:szCs w:val="13"/>
              </w:rPr>
              <w:t xml:space="preserve">2,246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8E312C8" w14:textId="77777777">
            <w:pPr>
              <w:pStyle w:val="tablebody"/>
              <w:jc w:val="right"/>
              <w:rPr>
                <w:rFonts w:cs="Arial"/>
                <w:b/>
                <w:color w:val="000000"/>
                <w:sz w:val="13"/>
                <w:szCs w:val="13"/>
              </w:rPr>
            </w:pPr>
            <w:r w:rsidRPr="0088782A">
              <w:rPr>
                <w:rFonts w:cs="Arial"/>
                <w:b/>
                <w:color w:val="000000"/>
                <w:sz w:val="13"/>
                <w:szCs w:val="13"/>
              </w:rPr>
              <w:t xml:space="preserve">8,853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3A548170" w14:textId="77777777">
            <w:pPr>
              <w:pStyle w:val="tablebody"/>
              <w:jc w:val="right"/>
              <w:rPr>
                <w:rFonts w:cs="Arial"/>
                <w:b/>
                <w:color w:val="000000"/>
                <w:sz w:val="13"/>
                <w:szCs w:val="13"/>
              </w:rPr>
            </w:pPr>
            <w:r w:rsidRPr="0088782A">
              <w:rPr>
                <w:rFonts w:cs="Arial"/>
                <w:b/>
                <w:color w:val="000000"/>
                <w:sz w:val="13"/>
                <w:szCs w:val="13"/>
              </w:rPr>
              <w:t xml:space="preserve">414,010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6F6660D" w14:textId="77777777">
            <w:pPr>
              <w:pStyle w:val="tablebody"/>
              <w:jc w:val="right"/>
              <w:rPr>
                <w:rFonts w:cs="Arial"/>
                <w:b/>
                <w:color w:val="000000"/>
                <w:sz w:val="13"/>
                <w:szCs w:val="13"/>
              </w:rPr>
            </w:pPr>
            <w:r w:rsidRPr="0088782A">
              <w:rPr>
                <w:rFonts w:cs="Arial"/>
                <w:b/>
                <w:color w:val="000000"/>
                <w:sz w:val="13"/>
                <w:szCs w:val="13"/>
              </w:rPr>
              <w:t xml:space="preserve">645,320 </w:t>
            </w:r>
          </w:p>
        </w:tc>
      </w:tr>
      <w:tr w:rsidRPr="0088782A" w:rsidR="00A96D3F" w:rsidTr="0088782A" w14:paraId="2B89AC4C" w14:textId="77777777">
        <w:trPr>
          <w:trHeight w:val="113"/>
        </w:trPr>
        <w:tc>
          <w:tcPr>
            <w:tcW w:w="16073" w:type="dxa"/>
            <w:gridSpan w:val="17"/>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6CB9B60B" w14:textId="77777777">
            <w:pPr>
              <w:pStyle w:val="tablebody"/>
              <w:rPr>
                <w:rFonts w:cs="Arial"/>
                <w:b/>
                <w:color w:val="000000"/>
                <w:sz w:val="13"/>
                <w:szCs w:val="13"/>
              </w:rPr>
            </w:pPr>
            <w:r w:rsidRPr="0088782A">
              <w:rPr>
                <w:rFonts w:cs="Arial"/>
                <w:b/>
                <w:color w:val="000000"/>
                <w:sz w:val="13"/>
                <w:szCs w:val="13"/>
              </w:rPr>
              <w:t>Administered other economic flows included in administered net result</w:t>
            </w:r>
          </w:p>
        </w:tc>
      </w:tr>
      <w:tr w:rsidRPr="00293DB6" w:rsidR="00A96D3F" w:rsidTr="0088782A" w14:paraId="2B180DF4"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5BA3B374" w14:textId="77777777">
            <w:pPr>
              <w:pStyle w:val="tablebody"/>
              <w:rPr>
                <w:rFonts w:cs="Arial"/>
                <w:color w:val="000000"/>
                <w:sz w:val="13"/>
                <w:szCs w:val="13"/>
              </w:rPr>
            </w:pPr>
            <w:r w:rsidRPr="00293DB6">
              <w:rPr>
                <w:rFonts w:cs="Arial"/>
                <w:color w:val="000000"/>
                <w:sz w:val="13"/>
                <w:szCs w:val="13"/>
              </w:rPr>
              <w:t>Net gain/(loss) on non-financial assets</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32284CCC"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F16F7EA" w14:textId="77777777">
            <w:pPr>
              <w:pStyle w:val="tablebody"/>
              <w:jc w:val="right"/>
              <w:rPr>
                <w:rFonts w:cs="Arial"/>
                <w:color w:val="000000"/>
                <w:sz w:val="13"/>
                <w:szCs w:val="13"/>
              </w:rPr>
            </w:pPr>
            <w:r w:rsidRPr="00293DB6">
              <w:rPr>
                <w:rFonts w:cs="Arial"/>
                <w:color w:val="000000"/>
                <w:sz w:val="13"/>
                <w:szCs w:val="13"/>
              </w:rPr>
              <w:t xml:space="preserve">(1)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F31A2A0" w14:textId="77777777">
            <w:pPr>
              <w:pStyle w:val="tablebody"/>
              <w:jc w:val="right"/>
              <w:rPr>
                <w:rFonts w:cs="Arial"/>
                <w:color w:val="000000"/>
                <w:sz w:val="13"/>
                <w:szCs w:val="13"/>
              </w:rPr>
            </w:pPr>
            <w:r w:rsidRPr="00293DB6">
              <w:rPr>
                <w:rFonts w:cs="Arial"/>
                <w:color w:val="000000"/>
                <w:sz w:val="13"/>
                <w:szCs w:val="13"/>
              </w:rPr>
              <w:t xml:space="preserve">(2,607)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E38AD10" w14:textId="77777777">
            <w:pPr>
              <w:pStyle w:val="tablebody"/>
              <w:jc w:val="right"/>
              <w:rPr>
                <w:rFonts w:cs="Arial"/>
                <w:color w:val="000000"/>
                <w:sz w:val="13"/>
                <w:szCs w:val="13"/>
              </w:rPr>
            </w:pPr>
            <w:r w:rsidRPr="00293DB6">
              <w:rPr>
                <w:rFonts w:cs="Arial"/>
                <w:color w:val="000000"/>
                <w:sz w:val="13"/>
                <w:szCs w:val="13"/>
              </w:rPr>
              <w:t xml:space="preserve">(1,171)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F542FF5" w14:textId="77777777">
            <w:pPr>
              <w:pStyle w:val="tablebody"/>
              <w:jc w:val="right"/>
              <w:rPr>
                <w:rFonts w:cs="Arial"/>
                <w:color w:val="000000"/>
                <w:sz w:val="13"/>
                <w:szCs w:val="13"/>
              </w:rPr>
            </w:pPr>
            <w:r w:rsidRPr="00293DB6">
              <w:rPr>
                <w:rFonts w:cs="Arial"/>
                <w:color w:val="000000"/>
                <w:sz w:val="13"/>
                <w:szCs w:val="13"/>
              </w:rPr>
              <w:t xml:space="preserve">(69)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BC08845"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43896BC" w14:textId="77777777">
            <w:pPr>
              <w:pStyle w:val="tablebody"/>
              <w:jc w:val="right"/>
              <w:rPr>
                <w:rFonts w:cs="Arial"/>
                <w:color w:val="000000"/>
                <w:sz w:val="13"/>
                <w:szCs w:val="13"/>
              </w:rPr>
            </w:pPr>
            <w:r w:rsidRPr="00293DB6">
              <w:rPr>
                <w:rFonts w:cs="Arial"/>
                <w:color w:val="000000"/>
                <w:sz w:val="13"/>
                <w:szCs w:val="13"/>
              </w:rPr>
              <w:t xml:space="preserve">(179)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9FB71B4" w14:textId="77777777">
            <w:pPr>
              <w:pStyle w:val="tablebody"/>
              <w:jc w:val="right"/>
              <w:rPr>
                <w:rFonts w:cs="Arial"/>
                <w:color w:val="000000"/>
                <w:sz w:val="13"/>
                <w:szCs w:val="13"/>
              </w:rPr>
            </w:pPr>
            <w:r w:rsidRPr="00293DB6">
              <w:rPr>
                <w:rFonts w:cs="Arial"/>
                <w:color w:val="000000"/>
                <w:sz w:val="13"/>
                <w:szCs w:val="13"/>
              </w:rPr>
              <w:t xml:space="preserve">(48)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E45E434" w14:textId="77777777">
            <w:pPr>
              <w:pStyle w:val="tablebody"/>
              <w:jc w:val="right"/>
              <w:rPr>
                <w:rFonts w:cs="Arial"/>
                <w:color w:val="000000"/>
                <w:sz w:val="13"/>
                <w:szCs w:val="13"/>
              </w:rPr>
            </w:pPr>
            <w:r w:rsidRPr="00293DB6">
              <w:rPr>
                <w:rFonts w:cs="Arial"/>
                <w:color w:val="000000"/>
                <w:sz w:val="13"/>
                <w:szCs w:val="13"/>
              </w:rPr>
              <w:t xml:space="preserve">(3)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A50623F" w14:textId="77777777">
            <w:pPr>
              <w:pStyle w:val="tablebody"/>
              <w:jc w:val="right"/>
              <w:rPr>
                <w:rFonts w:cs="Arial"/>
                <w:color w:val="000000"/>
                <w:sz w:val="13"/>
                <w:szCs w:val="13"/>
              </w:rPr>
            </w:pPr>
            <w:r w:rsidRPr="00293DB6">
              <w:rPr>
                <w:rFonts w:cs="Arial"/>
                <w:color w:val="000000"/>
                <w:sz w:val="13"/>
                <w:szCs w:val="13"/>
              </w:rPr>
              <w:t xml:space="preserve">(14)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8D61666" w14:textId="77777777">
            <w:pPr>
              <w:pStyle w:val="tablebody"/>
              <w:jc w:val="right"/>
              <w:rPr>
                <w:rFonts w:cs="Arial"/>
                <w:color w:val="000000"/>
                <w:sz w:val="13"/>
                <w:szCs w:val="13"/>
              </w:rPr>
            </w:pPr>
            <w:r w:rsidRPr="00293DB6">
              <w:rPr>
                <w:rFonts w:cs="Arial"/>
                <w:color w:val="000000"/>
                <w:sz w:val="13"/>
                <w:szCs w:val="13"/>
              </w:rPr>
              <w:t xml:space="preserve">(30)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8264FA6" w14:textId="77777777">
            <w:pPr>
              <w:pStyle w:val="tablebody"/>
              <w:jc w:val="right"/>
              <w:rPr>
                <w:rFonts w:cs="Arial"/>
                <w:color w:val="000000"/>
                <w:sz w:val="13"/>
                <w:szCs w:val="13"/>
              </w:rPr>
            </w:pPr>
            <w:r w:rsidRPr="00293DB6">
              <w:rPr>
                <w:rFonts w:cs="Arial"/>
                <w:color w:val="000000"/>
                <w:sz w:val="13"/>
                <w:szCs w:val="13"/>
              </w:rPr>
              <w:t xml:space="preserve">479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0CA723E" w14:textId="77777777">
            <w:pPr>
              <w:pStyle w:val="tablebody"/>
              <w:jc w:val="right"/>
              <w:rPr>
                <w:rFonts w:cs="Arial"/>
                <w:color w:val="000000"/>
                <w:sz w:val="13"/>
                <w:szCs w:val="13"/>
              </w:rPr>
            </w:pPr>
            <w:r w:rsidRPr="00293DB6">
              <w:rPr>
                <w:rFonts w:cs="Arial"/>
                <w:color w:val="000000"/>
                <w:sz w:val="13"/>
                <w:szCs w:val="13"/>
              </w:rPr>
              <w:t xml:space="preserve">(3)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18D6D51" w14:textId="77777777">
            <w:pPr>
              <w:pStyle w:val="tablebody"/>
              <w:jc w:val="right"/>
              <w:rPr>
                <w:rFonts w:cs="Arial"/>
                <w:color w:val="000000"/>
                <w:sz w:val="13"/>
                <w:szCs w:val="13"/>
              </w:rPr>
            </w:pPr>
            <w:r w:rsidRPr="00293DB6">
              <w:rPr>
                <w:rFonts w:cs="Arial"/>
                <w:color w:val="000000"/>
                <w:sz w:val="13"/>
                <w:szCs w:val="13"/>
              </w:rPr>
              <w:t xml:space="preserve">(7)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9A7B07D" w14:textId="77777777">
            <w:pPr>
              <w:pStyle w:val="tablebody"/>
              <w:jc w:val="right"/>
              <w:rPr>
                <w:rFonts w:cs="Arial"/>
                <w:color w:val="000000"/>
                <w:sz w:val="13"/>
                <w:szCs w:val="13"/>
              </w:rPr>
            </w:pPr>
            <w:r w:rsidRPr="00293DB6">
              <w:rPr>
                <w:rFonts w:cs="Arial"/>
                <w:color w:val="000000"/>
                <w:sz w:val="13"/>
                <w:szCs w:val="13"/>
              </w:rPr>
              <w:t xml:space="preserve">(2,891)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12A9EBA" w14:textId="77777777">
            <w:pPr>
              <w:pStyle w:val="tablebody"/>
              <w:jc w:val="right"/>
              <w:rPr>
                <w:rFonts w:cs="Arial"/>
                <w:color w:val="000000"/>
                <w:sz w:val="13"/>
                <w:szCs w:val="13"/>
              </w:rPr>
            </w:pPr>
            <w:r w:rsidRPr="00293DB6">
              <w:rPr>
                <w:rFonts w:cs="Arial"/>
                <w:color w:val="000000"/>
                <w:sz w:val="13"/>
                <w:szCs w:val="13"/>
              </w:rPr>
              <w:t xml:space="preserve">(762) </w:t>
            </w:r>
          </w:p>
        </w:tc>
      </w:tr>
      <w:tr w:rsidRPr="00293DB6" w:rsidR="00A96D3F" w:rsidTr="0088782A" w14:paraId="6F0EA1B9" w14:textId="77777777">
        <w:trPr>
          <w:trHeight w:val="113"/>
        </w:trPr>
        <w:tc>
          <w:tcPr>
            <w:tcW w:w="3686"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4DC0EF3" w14:textId="77777777">
            <w:pPr>
              <w:pStyle w:val="tablebody"/>
              <w:rPr>
                <w:rFonts w:cs="Arial"/>
                <w:color w:val="000000"/>
                <w:sz w:val="13"/>
                <w:szCs w:val="13"/>
              </w:rPr>
            </w:pPr>
            <w:r w:rsidRPr="00293DB6">
              <w:rPr>
                <w:rFonts w:cs="Arial"/>
                <w:color w:val="000000"/>
                <w:sz w:val="13"/>
                <w:szCs w:val="13"/>
              </w:rPr>
              <w:t>Net gain/(loss) on financial instruments</w:t>
            </w:r>
          </w:p>
        </w:tc>
        <w:tc>
          <w:tcPr>
            <w:tcW w:w="481"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9365ACB" w14:textId="77777777">
            <w:pPr>
              <w:pStyle w:val="tablebody"/>
              <w:jc w:val="right"/>
              <w:rPr>
                <w:rFonts w:cs="Arial"/>
                <w:color w:val="000000"/>
                <w:sz w:val="13"/>
                <w:szCs w:val="13"/>
              </w:rPr>
            </w:pPr>
            <w:r w:rsidRPr="00293DB6">
              <w:rPr>
                <w:rFonts w:cs="Arial"/>
                <w:color w:val="000000"/>
                <w:sz w:val="13"/>
                <w:szCs w:val="13"/>
              </w:rPr>
              <w:t xml:space="preserve">(3)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545E168"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4E52D71"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70D400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25D8595"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8DAA4CF"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6F16075" w14:textId="77777777">
            <w:pPr>
              <w:pStyle w:val="tablebody"/>
              <w:jc w:val="right"/>
              <w:rPr>
                <w:rFonts w:cs="Arial"/>
                <w:color w:val="000000"/>
                <w:sz w:val="13"/>
                <w:szCs w:val="13"/>
              </w:rPr>
            </w:pPr>
            <w:r w:rsidRPr="00293DB6">
              <w:rPr>
                <w:rFonts w:cs="Arial"/>
                <w:color w:val="000000"/>
                <w:sz w:val="13"/>
                <w:szCs w:val="13"/>
              </w:rPr>
              <w:t xml:space="preserve">(543,324)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350E3861" w14:textId="77777777">
            <w:pPr>
              <w:pStyle w:val="tablebody"/>
              <w:jc w:val="right"/>
              <w:rPr>
                <w:rFonts w:cs="Arial"/>
                <w:color w:val="000000"/>
                <w:sz w:val="13"/>
                <w:szCs w:val="13"/>
              </w:rPr>
            </w:pPr>
            <w:r w:rsidRPr="00293DB6">
              <w:rPr>
                <w:rFonts w:cs="Arial"/>
                <w:color w:val="000000"/>
                <w:sz w:val="13"/>
                <w:szCs w:val="13"/>
              </w:rPr>
              <w:t xml:space="preserve">(507,060)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D95ACD6" w14:textId="77777777">
            <w:pPr>
              <w:pStyle w:val="tablebody"/>
              <w:jc w:val="right"/>
              <w:rPr>
                <w:rFonts w:cs="Arial"/>
                <w:color w:val="000000"/>
                <w:sz w:val="13"/>
                <w:szCs w:val="13"/>
              </w:rPr>
            </w:pPr>
            <w:r w:rsidRPr="00293DB6">
              <w:rPr>
                <w:rFonts w:cs="Arial"/>
                <w:color w:val="000000"/>
                <w:sz w:val="13"/>
                <w:szCs w:val="13"/>
              </w:rPr>
              <w:t xml:space="preserve">22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2149882"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B2B9C5B" w14:textId="77777777">
            <w:pPr>
              <w:pStyle w:val="tablebody"/>
              <w:jc w:val="right"/>
              <w:rPr>
                <w:rFonts w:cs="Arial"/>
                <w:color w:val="000000"/>
                <w:sz w:val="13"/>
                <w:szCs w:val="13"/>
              </w:rPr>
            </w:pPr>
            <w:r w:rsidRPr="00293DB6">
              <w:rPr>
                <w:rFonts w:cs="Arial"/>
                <w:color w:val="000000"/>
                <w:sz w:val="13"/>
                <w:szCs w:val="13"/>
              </w:rPr>
              <w:t xml:space="preserve">(825)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319FC8A"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6FA1DCA"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4559857"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2C1FFCB" w14:textId="77777777">
            <w:pPr>
              <w:pStyle w:val="tablebody"/>
              <w:jc w:val="right"/>
              <w:rPr>
                <w:rFonts w:cs="Arial"/>
                <w:color w:val="000000"/>
                <w:sz w:val="13"/>
                <w:szCs w:val="13"/>
              </w:rPr>
            </w:pPr>
            <w:r w:rsidRPr="00293DB6">
              <w:rPr>
                <w:rFonts w:cs="Arial"/>
                <w:color w:val="000000"/>
                <w:sz w:val="13"/>
                <w:szCs w:val="13"/>
              </w:rPr>
              <w:t xml:space="preserve">(544,130)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477F05CF" w14:textId="77777777">
            <w:pPr>
              <w:pStyle w:val="tablebody"/>
              <w:jc w:val="right"/>
              <w:rPr>
                <w:rFonts w:cs="Arial"/>
                <w:color w:val="000000"/>
                <w:sz w:val="13"/>
                <w:szCs w:val="13"/>
              </w:rPr>
            </w:pPr>
            <w:r w:rsidRPr="00293DB6">
              <w:rPr>
                <w:rFonts w:cs="Arial"/>
                <w:color w:val="000000"/>
                <w:sz w:val="13"/>
                <w:szCs w:val="13"/>
              </w:rPr>
              <w:t xml:space="preserve">(507,060) </w:t>
            </w:r>
          </w:p>
        </w:tc>
      </w:tr>
      <w:tr w:rsidRPr="0088782A" w:rsidR="00A96D3F" w:rsidTr="0088782A" w14:paraId="39938C22" w14:textId="77777777">
        <w:trPr>
          <w:trHeight w:val="113"/>
        </w:trPr>
        <w:tc>
          <w:tcPr>
            <w:tcW w:w="3686"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F5F3A02" w14:textId="77777777">
            <w:pPr>
              <w:pStyle w:val="tablebody"/>
              <w:rPr>
                <w:rFonts w:cs="Arial"/>
                <w:b/>
                <w:color w:val="000000"/>
                <w:sz w:val="13"/>
                <w:szCs w:val="13"/>
              </w:rPr>
            </w:pPr>
            <w:r w:rsidRPr="0088782A">
              <w:rPr>
                <w:rFonts w:cs="Arial"/>
                <w:b/>
                <w:color w:val="000000"/>
                <w:sz w:val="13"/>
                <w:szCs w:val="13"/>
              </w:rPr>
              <w:t>Total administered other economic flows</w:t>
            </w:r>
          </w:p>
        </w:tc>
        <w:tc>
          <w:tcPr>
            <w:tcW w:w="481"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34125B0" w14:textId="77777777">
            <w:pPr>
              <w:pStyle w:val="tablebody"/>
              <w:jc w:val="right"/>
              <w:rPr>
                <w:rFonts w:cs="Arial"/>
                <w:b/>
                <w:color w:val="000000"/>
                <w:sz w:val="13"/>
                <w:szCs w:val="13"/>
              </w:rPr>
            </w:pPr>
            <w:r w:rsidRPr="0088782A">
              <w:rPr>
                <w:rFonts w:cs="Arial"/>
                <w:b/>
                <w:color w:val="000000"/>
                <w:sz w:val="13"/>
                <w:szCs w:val="13"/>
              </w:rPr>
              <w:t xml:space="preserve">(3)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54F84F1" w14:textId="77777777">
            <w:pPr>
              <w:pStyle w:val="tablebody"/>
              <w:jc w:val="right"/>
              <w:rPr>
                <w:rFonts w:cs="Arial"/>
                <w:b/>
                <w:color w:val="000000"/>
                <w:sz w:val="13"/>
                <w:szCs w:val="13"/>
              </w:rPr>
            </w:pPr>
            <w:r w:rsidRPr="0088782A">
              <w:rPr>
                <w:rFonts w:cs="Arial"/>
                <w:b/>
                <w:color w:val="000000"/>
                <w:sz w:val="13"/>
                <w:szCs w:val="13"/>
              </w:rPr>
              <w:t xml:space="preserve">(1)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6ABC747" w14:textId="77777777">
            <w:pPr>
              <w:pStyle w:val="tablebody"/>
              <w:jc w:val="right"/>
              <w:rPr>
                <w:rFonts w:cs="Arial"/>
                <w:b/>
                <w:color w:val="000000"/>
                <w:sz w:val="13"/>
                <w:szCs w:val="13"/>
              </w:rPr>
            </w:pPr>
            <w:r w:rsidRPr="0088782A">
              <w:rPr>
                <w:rFonts w:cs="Arial"/>
                <w:b/>
                <w:color w:val="000000"/>
                <w:sz w:val="13"/>
                <w:szCs w:val="13"/>
              </w:rPr>
              <w:t xml:space="preserve">(2,607)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708AB56" w14:textId="77777777">
            <w:pPr>
              <w:pStyle w:val="tablebody"/>
              <w:jc w:val="right"/>
              <w:rPr>
                <w:rFonts w:cs="Arial"/>
                <w:b/>
                <w:color w:val="000000"/>
                <w:sz w:val="13"/>
                <w:szCs w:val="13"/>
              </w:rPr>
            </w:pPr>
            <w:r w:rsidRPr="0088782A">
              <w:rPr>
                <w:rFonts w:cs="Arial"/>
                <w:b/>
                <w:color w:val="000000"/>
                <w:sz w:val="13"/>
                <w:szCs w:val="13"/>
              </w:rPr>
              <w:t xml:space="preserve">(1,171)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2A1D318" w14:textId="77777777">
            <w:pPr>
              <w:pStyle w:val="tablebody"/>
              <w:jc w:val="right"/>
              <w:rPr>
                <w:rFonts w:cs="Arial"/>
                <w:b/>
                <w:color w:val="000000"/>
                <w:sz w:val="13"/>
                <w:szCs w:val="13"/>
              </w:rPr>
            </w:pPr>
            <w:r w:rsidRPr="0088782A">
              <w:rPr>
                <w:rFonts w:cs="Arial"/>
                <w:b/>
                <w:color w:val="000000"/>
                <w:sz w:val="13"/>
                <w:szCs w:val="13"/>
              </w:rPr>
              <w:t xml:space="preserve">(69)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52BF2D1"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20F377B" w14:textId="77777777">
            <w:pPr>
              <w:pStyle w:val="tablebody"/>
              <w:jc w:val="right"/>
              <w:rPr>
                <w:rFonts w:cs="Arial"/>
                <w:b/>
                <w:color w:val="000000"/>
                <w:sz w:val="13"/>
                <w:szCs w:val="13"/>
              </w:rPr>
            </w:pPr>
            <w:r w:rsidRPr="0088782A">
              <w:rPr>
                <w:rFonts w:cs="Arial"/>
                <w:b/>
                <w:color w:val="000000"/>
                <w:sz w:val="13"/>
                <w:szCs w:val="13"/>
              </w:rPr>
              <w:t xml:space="preserve">(543,503)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CD057AD" w14:textId="77777777">
            <w:pPr>
              <w:pStyle w:val="tablebody"/>
              <w:jc w:val="right"/>
              <w:rPr>
                <w:rFonts w:cs="Arial"/>
                <w:b/>
                <w:color w:val="000000"/>
                <w:sz w:val="13"/>
                <w:szCs w:val="13"/>
              </w:rPr>
            </w:pPr>
            <w:r w:rsidRPr="0088782A">
              <w:rPr>
                <w:rFonts w:cs="Arial"/>
                <w:b/>
                <w:color w:val="000000"/>
                <w:sz w:val="13"/>
                <w:szCs w:val="13"/>
              </w:rPr>
              <w:t xml:space="preserve">(507,108)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FC07A90" w14:textId="77777777">
            <w:pPr>
              <w:pStyle w:val="tablebody"/>
              <w:jc w:val="right"/>
              <w:rPr>
                <w:rFonts w:cs="Arial"/>
                <w:b/>
                <w:color w:val="000000"/>
                <w:sz w:val="13"/>
                <w:szCs w:val="13"/>
              </w:rPr>
            </w:pPr>
            <w:r w:rsidRPr="0088782A">
              <w:rPr>
                <w:rFonts w:cs="Arial"/>
                <w:b/>
                <w:color w:val="000000"/>
                <w:sz w:val="13"/>
                <w:szCs w:val="13"/>
              </w:rPr>
              <w:t xml:space="preserve">19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62AC3BF" w14:textId="77777777">
            <w:pPr>
              <w:pStyle w:val="tablebody"/>
              <w:jc w:val="right"/>
              <w:rPr>
                <w:rFonts w:cs="Arial"/>
                <w:b/>
                <w:color w:val="000000"/>
                <w:sz w:val="13"/>
                <w:szCs w:val="13"/>
              </w:rPr>
            </w:pPr>
            <w:r w:rsidRPr="0088782A">
              <w:rPr>
                <w:rFonts w:cs="Arial"/>
                <w:b/>
                <w:color w:val="000000"/>
                <w:sz w:val="13"/>
                <w:szCs w:val="13"/>
              </w:rPr>
              <w:t xml:space="preserve">(14)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1A463A1" w14:textId="77777777">
            <w:pPr>
              <w:pStyle w:val="tablebody"/>
              <w:jc w:val="right"/>
              <w:rPr>
                <w:rFonts w:cs="Arial"/>
                <w:b/>
                <w:color w:val="000000"/>
                <w:sz w:val="13"/>
                <w:szCs w:val="13"/>
              </w:rPr>
            </w:pPr>
            <w:r w:rsidRPr="0088782A">
              <w:rPr>
                <w:rFonts w:cs="Arial"/>
                <w:b/>
                <w:color w:val="000000"/>
                <w:sz w:val="13"/>
                <w:szCs w:val="13"/>
              </w:rPr>
              <w:t xml:space="preserve">(855)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A8F1165" w14:textId="77777777">
            <w:pPr>
              <w:pStyle w:val="tablebody"/>
              <w:jc w:val="right"/>
              <w:rPr>
                <w:rFonts w:cs="Arial"/>
                <w:b/>
                <w:color w:val="000000"/>
                <w:sz w:val="13"/>
                <w:szCs w:val="13"/>
              </w:rPr>
            </w:pPr>
            <w:r w:rsidRPr="0088782A">
              <w:rPr>
                <w:rFonts w:cs="Arial"/>
                <w:b/>
                <w:color w:val="000000"/>
                <w:sz w:val="13"/>
                <w:szCs w:val="13"/>
              </w:rPr>
              <w:t xml:space="preserve">479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D9B3DD6" w14:textId="77777777">
            <w:pPr>
              <w:pStyle w:val="tablebody"/>
              <w:jc w:val="right"/>
              <w:rPr>
                <w:rFonts w:cs="Arial"/>
                <w:b/>
                <w:color w:val="000000"/>
                <w:sz w:val="13"/>
                <w:szCs w:val="13"/>
              </w:rPr>
            </w:pPr>
            <w:r w:rsidRPr="0088782A">
              <w:rPr>
                <w:rFonts w:cs="Arial"/>
                <w:b/>
                <w:color w:val="000000"/>
                <w:sz w:val="13"/>
                <w:szCs w:val="13"/>
              </w:rPr>
              <w:t xml:space="preserve">(3)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7A0152F" w14:textId="77777777">
            <w:pPr>
              <w:pStyle w:val="tablebody"/>
              <w:jc w:val="right"/>
              <w:rPr>
                <w:rFonts w:cs="Arial"/>
                <w:b/>
                <w:color w:val="000000"/>
                <w:sz w:val="13"/>
                <w:szCs w:val="13"/>
              </w:rPr>
            </w:pPr>
            <w:r w:rsidRPr="0088782A">
              <w:rPr>
                <w:rFonts w:cs="Arial"/>
                <w:b/>
                <w:color w:val="000000"/>
                <w:sz w:val="13"/>
                <w:szCs w:val="13"/>
              </w:rPr>
              <w:t xml:space="preserve">(7)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435968C4" w14:textId="77777777">
            <w:pPr>
              <w:pStyle w:val="tablebody"/>
              <w:jc w:val="right"/>
              <w:rPr>
                <w:rFonts w:cs="Arial"/>
                <w:b/>
                <w:color w:val="000000"/>
                <w:sz w:val="13"/>
                <w:szCs w:val="13"/>
              </w:rPr>
            </w:pPr>
            <w:r w:rsidRPr="0088782A">
              <w:rPr>
                <w:rFonts w:cs="Arial"/>
                <w:b/>
                <w:color w:val="000000"/>
                <w:sz w:val="13"/>
                <w:szCs w:val="13"/>
              </w:rPr>
              <w:t xml:space="preserve">(547,021)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81505FC" w14:textId="77777777">
            <w:pPr>
              <w:pStyle w:val="tablebody"/>
              <w:jc w:val="right"/>
              <w:rPr>
                <w:rFonts w:cs="Arial"/>
                <w:b/>
                <w:color w:val="000000"/>
                <w:sz w:val="13"/>
                <w:szCs w:val="13"/>
              </w:rPr>
            </w:pPr>
            <w:r w:rsidRPr="0088782A">
              <w:rPr>
                <w:rFonts w:cs="Arial"/>
                <w:b/>
                <w:color w:val="000000"/>
                <w:sz w:val="13"/>
                <w:szCs w:val="13"/>
              </w:rPr>
              <w:t xml:space="preserve">(507,822) </w:t>
            </w:r>
          </w:p>
        </w:tc>
      </w:tr>
      <w:tr w:rsidRPr="0088782A" w:rsidR="00A96D3F" w:rsidTr="0088782A" w14:paraId="1B969FCB" w14:textId="77777777">
        <w:trPr>
          <w:trHeight w:val="113"/>
        </w:trPr>
        <w:tc>
          <w:tcPr>
            <w:tcW w:w="3686"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6C73CA4B" w14:textId="77777777">
            <w:pPr>
              <w:pStyle w:val="tablebody"/>
              <w:rPr>
                <w:rFonts w:cs="Arial"/>
                <w:b/>
                <w:color w:val="000000"/>
                <w:sz w:val="13"/>
                <w:szCs w:val="13"/>
              </w:rPr>
            </w:pPr>
            <w:r w:rsidRPr="0088782A">
              <w:rPr>
                <w:rFonts w:cs="Arial"/>
                <w:b/>
                <w:color w:val="000000"/>
                <w:sz w:val="13"/>
                <w:szCs w:val="13"/>
              </w:rPr>
              <w:t>Total administered comprehensive result</w:t>
            </w:r>
          </w:p>
        </w:tc>
        <w:tc>
          <w:tcPr>
            <w:tcW w:w="481"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31248633" w14:textId="77777777">
            <w:pPr>
              <w:pStyle w:val="tablebody"/>
              <w:jc w:val="right"/>
              <w:rPr>
                <w:rFonts w:cs="Arial"/>
                <w:b/>
                <w:color w:val="000000"/>
                <w:sz w:val="13"/>
                <w:szCs w:val="13"/>
              </w:rPr>
            </w:pPr>
            <w:r w:rsidRPr="0088782A">
              <w:rPr>
                <w:rFonts w:cs="Arial"/>
                <w:b/>
                <w:color w:val="000000"/>
                <w:sz w:val="13"/>
                <w:szCs w:val="13"/>
              </w:rPr>
              <w:t xml:space="preserve">8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613D1C2E" w14:textId="77777777">
            <w:pPr>
              <w:pStyle w:val="tablebody"/>
              <w:jc w:val="right"/>
              <w:rPr>
                <w:rFonts w:cs="Arial"/>
                <w:b/>
                <w:color w:val="000000"/>
                <w:sz w:val="13"/>
                <w:szCs w:val="13"/>
              </w:rPr>
            </w:pPr>
            <w:r w:rsidRPr="0088782A">
              <w:rPr>
                <w:rFonts w:cs="Arial"/>
                <w:b/>
                <w:color w:val="000000"/>
                <w:sz w:val="13"/>
                <w:szCs w:val="13"/>
              </w:rPr>
              <w:t xml:space="preserve">2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006EFFC2" w14:textId="77777777">
            <w:pPr>
              <w:pStyle w:val="tablebody"/>
              <w:jc w:val="right"/>
              <w:rPr>
                <w:rFonts w:cs="Arial"/>
                <w:b/>
                <w:color w:val="000000"/>
                <w:sz w:val="13"/>
                <w:szCs w:val="13"/>
              </w:rPr>
            </w:pPr>
            <w:r w:rsidRPr="0088782A">
              <w:rPr>
                <w:rFonts w:cs="Arial"/>
                <w:b/>
                <w:color w:val="000000"/>
                <w:sz w:val="13"/>
                <w:szCs w:val="13"/>
              </w:rPr>
              <w:t xml:space="preserve">(21,517)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3D56704C" w14:textId="77777777">
            <w:pPr>
              <w:pStyle w:val="tablebody"/>
              <w:jc w:val="right"/>
              <w:rPr>
                <w:rFonts w:cs="Arial"/>
                <w:b/>
                <w:color w:val="000000"/>
                <w:sz w:val="13"/>
                <w:szCs w:val="13"/>
              </w:rPr>
            </w:pPr>
            <w:r w:rsidRPr="0088782A">
              <w:rPr>
                <w:rFonts w:cs="Arial"/>
                <w:b/>
                <w:color w:val="000000"/>
                <w:sz w:val="13"/>
                <w:szCs w:val="13"/>
              </w:rPr>
              <w:t xml:space="preserve">(15,739)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381EDDA4" w14:textId="77777777">
            <w:pPr>
              <w:pStyle w:val="tablebody"/>
              <w:jc w:val="right"/>
              <w:rPr>
                <w:rFonts w:cs="Arial"/>
                <w:b/>
                <w:color w:val="000000"/>
                <w:sz w:val="13"/>
                <w:szCs w:val="13"/>
              </w:rPr>
            </w:pPr>
            <w:r w:rsidRPr="0088782A">
              <w:rPr>
                <w:rFonts w:cs="Arial"/>
                <w:b/>
                <w:color w:val="000000"/>
                <w:sz w:val="13"/>
                <w:szCs w:val="13"/>
              </w:rPr>
              <w:t xml:space="preserve">82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329AD34"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40E66873" w14:textId="77777777">
            <w:pPr>
              <w:pStyle w:val="tablebody"/>
              <w:jc w:val="right"/>
              <w:rPr>
                <w:rFonts w:cs="Arial"/>
                <w:b/>
                <w:color w:val="000000"/>
                <w:sz w:val="13"/>
                <w:szCs w:val="13"/>
              </w:rPr>
            </w:pPr>
            <w:r w:rsidRPr="0088782A">
              <w:rPr>
                <w:rFonts w:cs="Arial"/>
                <w:b/>
                <w:color w:val="000000"/>
                <w:sz w:val="13"/>
                <w:szCs w:val="13"/>
              </w:rPr>
              <w:t xml:space="preserve">(98,887)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6241E555" w14:textId="77777777">
            <w:pPr>
              <w:pStyle w:val="tablebody"/>
              <w:jc w:val="right"/>
              <w:rPr>
                <w:rFonts w:cs="Arial"/>
                <w:b/>
                <w:color w:val="000000"/>
                <w:sz w:val="13"/>
                <w:szCs w:val="13"/>
              </w:rPr>
            </w:pPr>
            <w:r w:rsidRPr="0088782A">
              <w:rPr>
                <w:rFonts w:cs="Arial"/>
                <w:b/>
                <w:color w:val="000000"/>
                <w:sz w:val="13"/>
                <w:szCs w:val="13"/>
              </w:rPr>
              <w:t xml:space="preserve">164,632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507DAC1" w14:textId="77777777">
            <w:pPr>
              <w:pStyle w:val="tablebody"/>
              <w:jc w:val="right"/>
              <w:rPr>
                <w:rFonts w:cs="Arial"/>
                <w:b/>
                <w:color w:val="000000"/>
                <w:sz w:val="13"/>
                <w:szCs w:val="13"/>
              </w:rPr>
            </w:pPr>
            <w:r w:rsidRPr="0088782A">
              <w:rPr>
                <w:rFonts w:cs="Arial"/>
                <w:b/>
                <w:color w:val="000000"/>
                <w:sz w:val="13"/>
                <w:szCs w:val="13"/>
              </w:rPr>
              <w:t xml:space="preserve">(4,133)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695FCEAA" w14:textId="77777777">
            <w:pPr>
              <w:pStyle w:val="tablebody"/>
              <w:jc w:val="right"/>
              <w:rPr>
                <w:rFonts w:cs="Arial"/>
                <w:b/>
                <w:color w:val="000000"/>
                <w:sz w:val="13"/>
                <w:szCs w:val="13"/>
              </w:rPr>
            </w:pPr>
            <w:r w:rsidRPr="0088782A">
              <w:rPr>
                <w:rFonts w:cs="Arial"/>
                <w:b/>
                <w:color w:val="000000"/>
                <w:sz w:val="13"/>
                <w:szCs w:val="13"/>
              </w:rPr>
              <w:t xml:space="preserve">(7,678)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B884493" w14:textId="77777777">
            <w:pPr>
              <w:pStyle w:val="tablebody"/>
              <w:jc w:val="right"/>
              <w:rPr>
                <w:rFonts w:cs="Arial"/>
                <w:b/>
                <w:color w:val="000000"/>
                <w:sz w:val="13"/>
                <w:szCs w:val="13"/>
              </w:rPr>
            </w:pPr>
            <w:r w:rsidRPr="0088782A">
              <w:rPr>
                <w:rFonts w:cs="Arial"/>
                <w:b/>
                <w:color w:val="000000"/>
                <w:sz w:val="13"/>
                <w:szCs w:val="13"/>
              </w:rPr>
              <w:t xml:space="preserve">(10,807)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55BB75B2" w14:textId="77777777">
            <w:pPr>
              <w:pStyle w:val="tablebody"/>
              <w:jc w:val="right"/>
              <w:rPr>
                <w:rFonts w:cs="Arial"/>
                <w:b/>
                <w:color w:val="000000"/>
                <w:sz w:val="13"/>
                <w:szCs w:val="13"/>
              </w:rPr>
            </w:pPr>
            <w:r w:rsidRPr="0088782A">
              <w:rPr>
                <w:rFonts w:cs="Arial"/>
                <w:b/>
                <w:color w:val="000000"/>
                <w:sz w:val="13"/>
                <w:szCs w:val="13"/>
              </w:rPr>
              <w:t xml:space="preserve">(12,565)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39F13A5" w14:textId="77777777">
            <w:pPr>
              <w:pStyle w:val="tablebody"/>
              <w:jc w:val="right"/>
              <w:rPr>
                <w:rFonts w:cs="Arial"/>
                <w:b/>
                <w:color w:val="000000"/>
                <w:sz w:val="13"/>
                <w:szCs w:val="13"/>
              </w:rPr>
            </w:pPr>
            <w:r w:rsidRPr="0088782A">
              <w:rPr>
                <w:rFonts w:cs="Arial"/>
                <w:b/>
                <w:color w:val="000000"/>
                <w:sz w:val="13"/>
                <w:szCs w:val="13"/>
              </w:rPr>
              <w:t xml:space="preserve">2,243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58C15C95" w14:textId="77777777">
            <w:pPr>
              <w:pStyle w:val="tablebody"/>
              <w:jc w:val="right"/>
              <w:rPr>
                <w:rFonts w:cs="Arial"/>
                <w:b/>
                <w:color w:val="000000"/>
                <w:sz w:val="13"/>
                <w:szCs w:val="13"/>
              </w:rPr>
            </w:pPr>
            <w:r w:rsidRPr="0088782A">
              <w:rPr>
                <w:rFonts w:cs="Arial"/>
                <w:b/>
                <w:color w:val="000000"/>
                <w:sz w:val="13"/>
                <w:szCs w:val="13"/>
              </w:rPr>
              <w:t xml:space="preserve">8,846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0D09B073" w14:textId="77777777">
            <w:pPr>
              <w:pStyle w:val="tablebody"/>
              <w:jc w:val="right"/>
              <w:rPr>
                <w:rFonts w:cs="Arial"/>
                <w:b/>
                <w:color w:val="000000"/>
                <w:sz w:val="13"/>
                <w:szCs w:val="13"/>
              </w:rPr>
            </w:pPr>
            <w:r w:rsidRPr="0088782A">
              <w:rPr>
                <w:rFonts w:cs="Arial"/>
                <w:b/>
                <w:color w:val="000000"/>
                <w:sz w:val="13"/>
                <w:szCs w:val="13"/>
              </w:rPr>
              <w:t xml:space="preserve">(133,011)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47C2E9F8" w14:textId="77777777">
            <w:pPr>
              <w:pStyle w:val="tablebody"/>
              <w:jc w:val="right"/>
              <w:rPr>
                <w:rFonts w:cs="Arial"/>
                <w:b/>
                <w:color w:val="000000"/>
                <w:sz w:val="13"/>
                <w:szCs w:val="13"/>
              </w:rPr>
            </w:pPr>
            <w:r w:rsidRPr="0088782A">
              <w:rPr>
                <w:rFonts w:cs="Arial"/>
                <w:b/>
                <w:color w:val="000000"/>
                <w:sz w:val="13"/>
                <w:szCs w:val="13"/>
              </w:rPr>
              <w:t xml:space="preserve">137,498 </w:t>
            </w:r>
          </w:p>
        </w:tc>
      </w:tr>
      <w:tr w:rsidRPr="0088782A" w:rsidR="00A96D3F" w:rsidTr="0088782A" w14:paraId="326E0C9E" w14:textId="77777777">
        <w:trPr>
          <w:trHeight w:val="113"/>
        </w:trPr>
        <w:tc>
          <w:tcPr>
            <w:tcW w:w="3686"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C7CFA45" w14:textId="77777777">
            <w:pPr>
              <w:pStyle w:val="tablebody"/>
              <w:rPr>
                <w:rFonts w:cs="Arial"/>
                <w:b/>
                <w:color w:val="000000"/>
                <w:sz w:val="13"/>
                <w:szCs w:val="13"/>
              </w:rPr>
            </w:pPr>
            <w:r w:rsidRPr="0088782A">
              <w:rPr>
                <w:rFonts w:cs="Arial"/>
                <w:b/>
                <w:color w:val="000000"/>
                <w:sz w:val="13"/>
                <w:szCs w:val="13"/>
              </w:rPr>
              <w:t>Administered assets</w:t>
            </w:r>
          </w:p>
        </w:tc>
        <w:tc>
          <w:tcPr>
            <w:tcW w:w="481"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619A2CDD"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2B8079A"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19089FAD" w14:textId="77777777">
            <w:pPr>
              <w:pStyle w:val="tablebody"/>
              <w:rPr>
                <w:rFonts w:cs="Arial"/>
                <w:b/>
                <w:sz w:val="13"/>
                <w:szCs w:val="13"/>
                <w:lang w:val="en-US"/>
              </w:rPr>
            </w:pPr>
          </w:p>
        </w:tc>
        <w:tc>
          <w:tcPr>
            <w:tcW w:w="793"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AE265B8"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5A6534AF"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7A30CB1" w14:textId="77777777">
            <w:pPr>
              <w:pStyle w:val="tablebody"/>
              <w:rPr>
                <w:rFonts w:cs="Arial"/>
                <w:b/>
                <w:sz w:val="13"/>
                <w:szCs w:val="13"/>
                <w:lang w:val="en-US"/>
              </w:rPr>
            </w:pPr>
          </w:p>
        </w:tc>
        <w:tc>
          <w:tcPr>
            <w:tcW w:w="793"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452ACA73"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15A58A34"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0AB39A00"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2727B2D1" w14:textId="77777777">
            <w:pPr>
              <w:pStyle w:val="tablebody"/>
              <w:rPr>
                <w:rFonts w:cs="Arial"/>
                <w:b/>
                <w:sz w:val="13"/>
                <w:szCs w:val="13"/>
                <w:lang w:val="en-US"/>
              </w:rPr>
            </w:pPr>
          </w:p>
        </w:tc>
        <w:tc>
          <w:tcPr>
            <w:tcW w:w="793"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3903B3F9"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5E1C2C33"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9D88B12" w14:textId="77777777">
            <w:pPr>
              <w:pStyle w:val="tablebody"/>
              <w:rPr>
                <w:rFonts w:cs="Arial"/>
                <w:b/>
                <w:sz w:val="13"/>
                <w:szCs w:val="13"/>
                <w:lang w:val="en-US"/>
              </w:rPr>
            </w:pPr>
          </w:p>
        </w:tc>
        <w:tc>
          <w:tcPr>
            <w:tcW w:w="793"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035C3CFC"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049C4460" w14:textId="77777777">
            <w:pPr>
              <w:pStyle w:val="tablebody"/>
              <w:rPr>
                <w:rFonts w:cs="Arial"/>
                <w:b/>
                <w:sz w:val="13"/>
                <w:szCs w:val="13"/>
                <w:lang w:val="en-US"/>
              </w:rPr>
            </w:pPr>
          </w:p>
        </w:tc>
        <w:tc>
          <w:tcPr>
            <w:tcW w:w="794" w:type="dxa"/>
            <w:tcBorders>
              <w:top w:val="single" w:color="000000" w:sz="12" w:space="0"/>
              <w:left w:val="nil"/>
              <w:bottom w:val="nil"/>
              <w:right w:val="nil"/>
            </w:tcBorders>
            <w:tcMar>
              <w:top w:w="0" w:type="dxa"/>
              <w:left w:w="0" w:type="dxa"/>
              <w:bottom w:w="17" w:type="dxa"/>
              <w:right w:w="0" w:type="dxa"/>
            </w:tcMar>
          </w:tcPr>
          <w:p w:rsidRPr="0088782A" w:rsidR="00A96D3F" w:rsidP="00A96D3F" w:rsidRDefault="00A96D3F" w14:paraId="79F7CC85" w14:textId="77777777">
            <w:pPr>
              <w:pStyle w:val="tablebody"/>
              <w:rPr>
                <w:rFonts w:cs="Arial"/>
                <w:b/>
                <w:sz w:val="13"/>
                <w:szCs w:val="13"/>
                <w:lang w:val="en-US"/>
              </w:rPr>
            </w:pPr>
          </w:p>
        </w:tc>
      </w:tr>
      <w:tr w:rsidRPr="00293DB6" w:rsidR="00A96D3F" w:rsidTr="0088782A" w14:paraId="1AFF385A"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42E6DE71" w14:textId="77777777">
            <w:pPr>
              <w:pStyle w:val="tablebody"/>
              <w:rPr>
                <w:rFonts w:cs="Arial"/>
                <w:color w:val="000000"/>
                <w:sz w:val="13"/>
                <w:szCs w:val="13"/>
              </w:rPr>
            </w:pPr>
            <w:r w:rsidRPr="00293DB6">
              <w:rPr>
                <w:rFonts w:cs="Arial"/>
                <w:color w:val="000000"/>
                <w:sz w:val="13"/>
                <w:szCs w:val="13"/>
              </w:rPr>
              <w:t>Cash and deposits</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2DF0751C" w14:textId="77777777">
            <w:pPr>
              <w:pStyle w:val="tablebody"/>
              <w:jc w:val="right"/>
              <w:rPr>
                <w:rFonts w:cs="Arial"/>
                <w:color w:val="000000"/>
                <w:sz w:val="13"/>
                <w:szCs w:val="13"/>
              </w:rPr>
            </w:pPr>
            <w:r w:rsidRPr="00293DB6">
              <w:rPr>
                <w:rFonts w:cs="Arial"/>
                <w:color w:val="000000"/>
                <w:sz w:val="13"/>
                <w:szCs w:val="13"/>
              </w:rPr>
              <w:t xml:space="preserve">51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CC987C3" w14:textId="77777777">
            <w:pPr>
              <w:pStyle w:val="tablebody"/>
              <w:jc w:val="right"/>
              <w:rPr>
                <w:rFonts w:cs="Arial"/>
                <w:color w:val="000000"/>
                <w:sz w:val="13"/>
                <w:szCs w:val="13"/>
              </w:rPr>
            </w:pPr>
            <w:r w:rsidRPr="00293DB6">
              <w:rPr>
                <w:rFonts w:cs="Arial"/>
                <w:color w:val="000000"/>
                <w:sz w:val="13"/>
                <w:szCs w:val="13"/>
              </w:rPr>
              <w:t xml:space="preserve">53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A6A46D0" w14:textId="77777777">
            <w:pPr>
              <w:pStyle w:val="tablebody"/>
              <w:jc w:val="right"/>
              <w:rPr>
                <w:rFonts w:cs="Arial"/>
                <w:color w:val="000000"/>
                <w:sz w:val="13"/>
                <w:szCs w:val="13"/>
              </w:rPr>
            </w:pPr>
            <w:r w:rsidRPr="00293DB6">
              <w:rPr>
                <w:rFonts w:cs="Arial"/>
                <w:color w:val="000000"/>
                <w:sz w:val="13"/>
                <w:szCs w:val="13"/>
              </w:rPr>
              <w:t xml:space="preserve">12,120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A2B86E2" w14:textId="77777777">
            <w:pPr>
              <w:pStyle w:val="tablebody"/>
              <w:jc w:val="right"/>
              <w:rPr>
                <w:rFonts w:cs="Arial"/>
                <w:color w:val="000000"/>
                <w:sz w:val="13"/>
                <w:szCs w:val="13"/>
              </w:rPr>
            </w:pPr>
            <w:r w:rsidRPr="00293DB6">
              <w:rPr>
                <w:rFonts w:cs="Arial"/>
                <w:color w:val="000000"/>
                <w:sz w:val="13"/>
                <w:szCs w:val="13"/>
              </w:rPr>
              <w:t xml:space="preserve">12,778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2E26677" w14:textId="77777777">
            <w:pPr>
              <w:pStyle w:val="tablebody"/>
              <w:jc w:val="right"/>
              <w:rPr>
                <w:rFonts w:cs="Arial"/>
                <w:color w:val="000000"/>
                <w:sz w:val="13"/>
                <w:szCs w:val="13"/>
              </w:rPr>
            </w:pPr>
            <w:r w:rsidRPr="00293DB6">
              <w:rPr>
                <w:rFonts w:cs="Arial"/>
                <w:color w:val="000000"/>
                <w:sz w:val="13"/>
                <w:szCs w:val="13"/>
              </w:rPr>
              <w:t xml:space="preserve">478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281BF52" w14:textId="77777777">
            <w:pPr>
              <w:pStyle w:val="tablebody"/>
              <w:jc w:val="right"/>
              <w:rPr>
                <w:rFonts w:cs="Arial"/>
                <w:color w:val="000000"/>
                <w:sz w:val="13"/>
                <w:szCs w:val="13"/>
              </w:rPr>
            </w:pPr>
            <w:r w:rsidRPr="00293DB6">
              <w:rPr>
                <w:rFonts w:cs="Arial"/>
                <w:color w:val="000000"/>
                <w:sz w:val="13"/>
                <w:szCs w:val="13"/>
              </w:rPr>
              <w:t xml:space="preserve">16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6956955" w14:textId="77777777">
            <w:pPr>
              <w:pStyle w:val="tablebody"/>
              <w:jc w:val="right"/>
              <w:rPr>
                <w:rFonts w:cs="Arial"/>
                <w:color w:val="000000"/>
                <w:sz w:val="13"/>
                <w:szCs w:val="13"/>
              </w:rPr>
            </w:pPr>
            <w:r w:rsidRPr="00293DB6">
              <w:rPr>
                <w:rFonts w:cs="Arial"/>
                <w:color w:val="000000"/>
                <w:sz w:val="13"/>
                <w:szCs w:val="13"/>
              </w:rPr>
              <w:t xml:space="preserve">8,953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CF6B2BB" w14:textId="77777777">
            <w:pPr>
              <w:pStyle w:val="tablebody"/>
              <w:jc w:val="right"/>
              <w:rPr>
                <w:rFonts w:cs="Arial"/>
                <w:color w:val="000000"/>
                <w:sz w:val="13"/>
                <w:szCs w:val="13"/>
              </w:rPr>
            </w:pPr>
            <w:r w:rsidRPr="00293DB6">
              <w:rPr>
                <w:rFonts w:cs="Arial"/>
                <w:color w:val="000000"/>
                <w:sz w:val="13"/>
                <w:szCs w:val="13"/>
              </w:rPr>
              <w:t xml:space="preserve">8,186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F336309" w14:textId="77777777">
            <w:pPr>
              <w:pStyle w:val="tablebody"/>
              <w:jc w:val="right"/>
              <w:rPr>
                <w:rFonts w:cs="Arial"/>
                <w:color w:val="000000"/>
                <w:sz w:val="13"/>
                <w:szCs w:val="13"/>
              </w:rPr>
            </w:pPr>
            <w:r w:rsidRPr="00293DB6">
              <w:rPr>
                <w:rFonts w:cs="Arial"/>
                <w:color w:val="000000"/>
                <w:sz w:val="13"/>
                <w:szCs w:val="13"/>
              </w:rPr>
              <w:t xml:space="preserve">54,647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16B2577" w14:textId="77777777">
            <w:pPr>
              <w:pStyle w:val="tablebody"/>
              <w:jc w:val="right"/>
              <w:rPr>
                <w:rFonts w:cs="Arial"/>
                <w:color w:val="000000"/>
                <w:sz w:val="13"/>
                <w:szCs w:val="13"/>
              </w:rPr>
            </w:pPr>
            <w:r w:rsidRPr="00293DB6">
              <w:rPr>
                <w:rFonts w:cs="Arial"/>
                <w:color w:val="000000"/>
                <w:sz w:val="13"/>
                <w:szCs w:val="13"/>
              </w:rPr>
              <w:t xml:space="preserve">5,603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6890DDC" w14:textId="77777777">
            <w:pPr>
              <w:pStyle w:val="tablebody"/>
              <w:jc w:val="right"/>
              <w:rPr>
                <w:rFonts w:cs="Arial"/>
                <w:color w:val="000000"/>
                <w:sz w:val="13"/>
                <w:szCs w:val="13"/>
              </w:rPr>
            </w:pPr>
            <w:r w:rsidRPr="00293DB6">
              <w:rPr>
                <w:rFonts w:cs="Arial"/>
                <w:color w:val="000000"/>
                <w:sz w:val="13"/>
                <w:szCs w:val="13"/>
              </w:rPr>
              <w:t xml:space="preserve">1,236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2E5A3A4" w14:textId="77777777">
            <w:pPr>
              <w:pStyle w:val="tablebody"/>
              <w:jc w:val="right"/>
              <w:rPr>
                <w:rFonts w:cs="Arial"/>
                <w:color w:val="000000"/>
                <w:sz w:val="13"/>
                <w:szCs w:val="13"/>
              </w:rPr>
            </w:pPr>
            <w:r w:rsidRPr="00293DB6">
              <w:rPr>
                <w:rFonts w:cs="Arial"/>
                <w:color w:val="000000"/>
                <w:sz w:val="13"/>
                <w:szCs w:val="13"/>
              </w:rPr>
              <w:t xml:space="preserve">1,578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EC381A7" w14:textId="77777777">
            <w:pPr>
              <w:pStyle w:val="tablebody"/>
              <w:jc w:val="right"/>
              <w:rPr>
                <w:rFonts w:cs="Arial"/>
                <w:color w:val="000000"/>
                <w:sz w:val="13"/>
                <w:szCs w:val="13"/>
              </w:rPr>
            </w:pPr>
            <w:r w:rsidRPr="00293DB6">
              <w:rPr>
                <w:rFonts w:cs="Arial"/>
                <w:color w:val="000000"/>
                <w:sz w:val="13"/>
                <w:szCs w:val="13"/>
              </w:rPr>
              <w:t xml:space="preserve">381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D51AA8D" w14:textId="77777777">
            <w:pPr>
              <w:pStyle w:val="tablebody"/>
              <w:jc w:val="right"/>
              <w:rPr>
                <w:rFonts w:cs="Arial"/>
                <w:color w:val="000000"/>
                <w:sz w:val="13"/>
                <w:szCs w:val="13"/>
              </w:rPr>
            </w:pPr>
            <w:r w:rsidRPr="00293DB6">
              <w:rPr>
                <w:rFonts w:cs="Arial"/>
                <w:color w:val="000000"/>
                <w:sz w:val="13"/>
                <w:szCs w:val="13"/>
              </w:rPr>
              <w:t xml:space="preserve">476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108CD9E" w14:textId="77777777">
            <w:pPr>
              <w:pStyle w:val="tablebody"/>
              <w:jc w:val="right"/>
              <w:rPr>
                <w:rFonts w:cs="Arial"/>
                <w:color w:val="000000"/>
                <w:sz w:val="13"/>
                <w:szCs w:val="13"/>
              </w:rPr>
            </w:pPr>
            <w:r w:rsidRPr="00293DB6">
              <w:rPr>
                <w:rFonts w:cs="Arial"/>
                <w:color w:val="000000"/>
                <w:sz w:val="13"/>
                <w:szCs w:val="13"/>
              </w:rPr>
              <w:t xml:space="preserve">77,866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9C523E6" w14:textId="77777777">
            <w:pPr>
              <w:pStyle w:val="tablebody"/>
              <w:jc w:val="right"/>
              <w:rPr>
                <w:rFonts w:cs="Arial"/>
                <w:color w:val="000000"/>
                <w:sz w:val="13"/>
                <w:szCs w:val="13"/>
              </w:rPr>
            </w:pPr>
            <w:r w:rsidRPr="00293DB6">
              <w:rPr>
                <w:rFonts w:cs="Arial"/>
                <w:color w:val="000000"/>
                <w:sz w:val="13"/>
                <w:szCs w:val="13"/>
              </w:rPr>
              <w:t xml:space="preserve">28,690 </w:t>
            </w:r>
          </w:p>
        </w:tc>
      </w:tr>
      <w:tr w:rsidRPr="00293DB6" w:rsidR="00A96D3F" w:rsidTr="0088782A" w14:paraId="1C09433C"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4C2189AB" w14:textId="77777777">
            <w:pPr>
              <w:pStyle w:val="tablebody"/>
              <w:rPr>
                <w:rFonts w:cs="Arial"/>
                <w:color w:val="000000"/>
                <w:sz w:val="13"/>
                <w:szCs w:val="13"/>
              </w:rPr>
            </w:pPr>
            <w:r w:rsidRPr="00293DB6">
              <w:rPr>
                <w:rFonts w:cs="Arial"/>
                <w:color w:val="000000"/>
                <w:sz w:val="13"/>
                <w:szCs w:val="13"/>
              </w:rPr>
              <w:t>Receivables</w:t>
            </w:r>
            <w:r w:rsidRPr="00293DB6">
              <w:rPr>
                <w:rFonts w:cs="Arial"/>
                <w:color w:val="000000"/>
                <w:sz w:val="13"/>
                <w:szCs w:val="13"/>
                <w:vertAlign w:val="superscript"/>
              </w:rPr>
              <w:t xml:space="preserve"> (i)</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3DAB4F12" w14:textId="77777777">
            <w:pPr>
              <w:pStyle w:val="tablebody"/>
              <w:jc w:val="right"/>
              <w:rPr>
                <w:rFonts w:cs="Arial"/>
                <w:color w:val="000000"/>
                <w:sz w:val="13"/>
                <w:szCs w:val="13"/>
              </w:rPr>
            </w:pPr>
            <w:r w:rsidRPr="00293DB6">
              <w:rPr>
                <w:rFonts w:cs="Arial"/>
                <w:color w:val="000000"/>
                <w:sz w:val="13"/>
                <w:szCs w:val="13"/>
              </w:rPr>
              <w:t xml:space="preserve">23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005393B"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3718885" w14:textId="77777777">
            <w:pPr>
              <w:pStyle w:val="tablebody"/>
              <w:jc w:val="right"/>
              <w:rPr>
                <w:rFonts w:cs="Arial"/>
                <w:color w:val="000000"/>
                <w:sz w:val="13"/>
                <w:szCs w:val="13"/>
              </w:rPr>
            </w:pPr>
            <w:r w:rsidRPr="00293DB6">
              <w:rPr>
                <w:rFonts w:cs="Arial"/>
                <w:color w:val="000000"/>
                <w:sz w:val="13"/>
                <w:szCs w:val="13"/>
              </w:rPr>
              <w:t xml:space="preserve">2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058F0201"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A4C8FDE"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63817A2"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70EF6F7A" w14:textId="77777777">
            <w:pPr>
              <w:pStyle w:val="tablebody"/>
              <w:jc w:val="right"/>
              <w:rPr>
                <w:rFonts w:cs="Arial"/>
                <w:color w:val="000000"/>
                <w:sz w:val="13"/>
                <w:szCs w:val="13"/>
              </w:rPr>
            </w:pPr>
            <w:r w:rsidRPr="00293DB6">
              <w:rPr>
                <w:rFonts w:cs="Arial"/>
                <w:color w:val="000000"/>
                <w:sz w:val="13"/>
                <w:szCs w:val="13"/>
              </w:rPr>
              <w:t xml:space="preserve">1,269,564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C947C0E" w14:textId="77777777">
            <w:pPr>
              <w:pStyle w:val="tablebody"/>
              <w:jc w:val="right"/>
              <w:rPr>
                <w:rFonts w:cs="Arial"/>
                <w:color w:val="000000"/>
                <w:sz w:val="13"/>
                <w:szCs w:val="13"/>
              </w:rPr>
            </w:pPr>
            <w:r w:rsidRPr="00293DB6">
              <w:rPr>
                <w:rFonts w:cs="Arial"/>
                <w:color w:val="000000"/>
                <w:sz w:val="13"/>
                <w:szCs w:val="13"/>
              </w:rPr>
              <w:t xml:space="preserve">1,418,371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767EBBE" w14:textId="77777777">
            <w:pPr>
              <w:pStyle w:val="tablebody"/>
              <w:jc w:val="right"/>
              <w:rPr>
                <w:rFonts w:cs="Arial"/>
                <w:color w:val="000000"/>
                <w:sz w:val="13"/>
                <w:szCs w:val="13"/>
              </w:rPr>
            </w:pPr>
            <w:r w:rsidRPr="00293DB6">
              <w:rPr>
                <w:rFonts w:cs="Arial"/>
                <w:color w:val="000000"/>
                <w:sz w:val="13"/>
                <w:szCs w:val="13"/>
              </w:rPr>
              <w:t xml:space="preserve">14,787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8CBBCE0" w14:textId="77777777">
            <w:pPr>
              <w:pStyle w:val="tablebody"/>
              <w:jc w:val="right"/>
              <w:rPr>
                <w:rFonts w:cs="Arial"/>
                <w:color w:val="000000"/>
                <w:sz w:val="13"/>
                <w:szCs w:val="13"/>
              </w:rPr>
            </w:pPr>
            <w:r w:rsidRPr="00293DB6">
              <w:rPr>
                <w:rFonts w:cs="Arial"/>
                <w:color w:val="000000"/>
                <w:sz w:val="13"/>
                <w:szCs w:val="13"/>
              </w:rPr>
              <w:t xml:space="preserve">8,008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4B19C9F2" w14:textId="77777777">
            <w:pPr>
              <w:pStyle w:val="tablebody"/>
              <w:jc w:val="right"/>
              <w:rPr>
                <w:rFonts w:cs="Arial"/>
                <w:color w:val="000000"/>
                <w:sz w:val="13"/>
                <w:szCs w:val="13"/>
              </w:rPr>
            </w:pPr>
            <w:r w:rsidRPr="00293DB6">
              <w:rPr>
                <w:rFonts w:cs="Arial"/>
                <w:color w:val="000000"/>
                <w:sz w:val="13"/>
                <w:szCs w:val="13"/>
              </w:rPr>
              <w:t xml:space="preserve">9,873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7652A52" w14:textId="77777777">
            <w:pPr>
              <w:pStyle w:val="tablebody"/>
              <w:jc w:val="right"/>
              <w:rPr>
                <w:rFonts w:cs="Arial"/>
                <w:color w:val="000000"/>
                <w:sz w:val="13"/>
                <w:szCs w:val="13"/>
              </w:rPr>
            </w:pPr>
            <w:r w:rsidRPr="00293DB6">
              <w:rPr>
                <w:rFonts w:cs="Arial"/>
                <w:color w:val="000000"/>
                <w:sz w:val="13"/>
                <w:szCs w:val="13"/>
              </w:rPr>
              <w:t xml:space="preserve">1,981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F156AB9"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33AC1A5E"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C7C55D9" w14:textId="77777777">
            <w:pPr>
              <w:pStyle w:val="tablebody"/>
              <w:jc w:val="right"/>
              <w:rPr>
                <w:rFonts w:cs="Arial"/>
                <w:color w:val="000000"/>
                <w:sz w:val="13"/>
                <w:szCs w:val="13"/>
              </w:rPr>
            </w:pPr>
            <w:r w:rsidRPr="00293DB6">
              <w:rPr>
                <w:rFonts w:cs="Arial"/>
                <w:color w:val="000000"/>
                <w:sz w:val="13"/>
                <w:szCs w:val="13"/>
              </w:rPr>
              <w:t xml:space="preserve">1,294,249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8F64D88" w14:textId="77777777">
            <w:pPr>
              <w:pStyle w:val="tablebody"/>
              <w:jc w:val="right"/>
              <w:rPr>
                <w:rFonts w:cs="Arial"/>
                <w:color w:val="000000"/>
                <w:sz w:val="13"/>
                <w:szCs w:val="13"/>
              </w:rPr>
            </w:pPr>
            <w:r w:rsidRPr="00293DB6">
              <w:rPr>
                <w:rFonts w:cs="Arial"/>
                <w:color w:val="000000"/>
                <w:sz w:val="13"/>
                <w:szCs w:val="13"/>
              </w:rPr>
              <w:t xml:space="preserve">1,428,360 </w:t>
            </w:r>
          </w:p>
        </w:tc>
      </w:tr>
      <w:tr w:rsidRPr="00293DB6" w:rsidR="00A96D3F" w:rsidTr="0088782A" w14:paraId="0AC53E8C" w14:textId="77777777">
        <w:trPr>
          <w:trHeight w:val="113"/>
        </w:trPr>
        <w:tc>
          <w:tcPr>
            <w:tcW w:w="3686"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A650CC5" w14:textId="77777777">
            <w:pPr>
              <w:pStyle w:val="tablebody"/>
              <w:rPr>
                <w:rFonts w:cs="Arial"/>
                <w:color w:val="000000"/>
                <w:sz w:val="13"/>
                <w:szCs w:val="13"/>
              </w:rPr>
            </w:pPr>
            <w:r w:rsidRPr="00293DB6">
              <w:rPr>
                <w:rFonts w:cs="Arial"/>
                <w:color w:val="000000"/>
                <w:sz w:val="13"/>
                <w:szCs w:val="13"/>
              </w:rPr>
              <w:t>Equity investments in other justice portfolio entities</w:t>
            </w:r>
          </w:p>
        </w:tc>
        <w:tc>
          <w:tcPr>
            <w:tcW w:w="481"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1A7AF59"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18FE8B47"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831E122"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C96BF7D"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E3CF075"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2E18E5E"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21FB27E" w14:textId="77777777">
            <w:pPr>
              <w:pStyle w:val="tablebody"/>
              <w:jc w:val="right"/>
              <w:rPr>
                <w:rFonts w:cs="Arial"/>
                <w:color w:val="000000"/>
                <w:sz w:val="13"/>
                <w:szCs w:val="13"/>
              </w:rPr>
            </w:pPr>
            <w:r w:rsidRPr="00293DB6">
              <w:rPr>
                <w:rFonts w:cs="Arial"/>
                <w:color w:val="000000"/>
                <w:sz w:val="13"/>
                <w:szCs w:val="13"/>
              </w:rPr>
              <w:t xml:space="preserve">43,395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50F7FD7" w14:textId="77777777">
            <w:pPr>
              <w:pStyle w:val="tablebody"/>
              <w:jc w:val="right"/>
              <w:rPr>
                <w:rFonts w:cs="Arial"/>
                <w:color w:val="000000"/>
                <w:sz w:val="13"/>
                <w:szCs w:val="13"/>
              </w:rPr>
            </w:pPr>
            <w:r w:rsidRPr="00293DB6">
              <w:rPr>
                <w:rFonts w:cs="Arial"/>
                <w:color w:val="000000"/>
                <w:sz w:val="13"/>
                <w:szCs w:val="13"/>
              </w:rPr>
              <w:t xml:space="preserve">43,395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EA81C71" w14:textId="77777777">
            <w:pPr>
              <w:pStyle w:val="tablebody"/>
              <w:jc w:val="right"/>
              <w:rPr>
                <w:rFonts w:cs="Arial"/>
                <w:color w:val="000000"/>
                <w:sz w:val="13"/>
                <w:szCs w:val="13"/>
              </w:rPr>
            </w:pPr>
            <w:r w:rsidRPr="00293DB6">
              <w:rPr>
                <w:rFonts w:cs="Arial"/>
                <w:color w:val="000000"/>
                <w:sz w:val="13"/>
                <w:szCs w:val="13"/>
              </w:rPr>
              <w:t xml:space="preserve">29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25803DF" w14:textId="77777777">
            <w:pPr>
              <w:pStyle w:val="tablebody"/>
              <w:jc w:val="right"/>
              <w:rPr>
                <w:rFonts w:cs="Arial"/>
                <w:color w:val="000000"/>
                <w:sz w:val="13"/>
                <w:szCs w:val="13"/>
              </w:rPr>
            </w:pPr>
            <w:r w:rsidRPr="00293DB6">
              <w:rPr>
                <w:rFonts w:cs="Arial"/>
                <w:color w:val="000000"/>
                <w:sz w:val="13"/>
                <w:szCs w:val="13"/>
              </w:rPr>
              <w:t xml:space="preserve">29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359986A3" w14:textId="77777777">
            <w:pPr>
              <w:pStyle w:val="tablebody"/>
              <w:jc w:val="right"/>
              <w:rPr>
                <w:rFonts w:cs="Arial"/>
                <w:color w:val="000000"/>
                <w:sz w:val="13"/>
                <w:szCs w:val="13"/>
              </w:rPr>
            </w:pPr>
            <w:r w:rsidRPr="00293DB6">
              <w:rPr>
                <w:rFonts w:cs="Arial"/>
                <w:color w:val="000000"/>
                <w:sz w:val="13"/>
                <w:szCs w:val="13"/>
              </w:rPr>
              <w:t xml:space="preserve">714,041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DCEE22C" w14:textId="77777777">
            <w:pPr>
              <w:pStyle w:val="tablebody"/>
              <w:jc w:val="right"/>
              <w:rPr>
                <w:rFonts w:cs="Arial"/>
                <w:color w:val="000000"/>
                <w:sz w:val="13"/>
                <w:szCs w:val="13"/>
              </w:rPr>
            </w:pPr>
            <w:r w:rsidRPr="00293DB6">
              <w:rPr>
                <w:rFonts w:cs="Arial"/>
                <w:color w:val="000000"/>
                <w:sz w:val="13"/>
                <w:szCs w:val="13"/>
              </w:rPr>
              <w:t xml:space="preserve">660,405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4C78C59"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6600E6B" w14:textId="77777777">
            <w:pPr>
              <w:pStyle w:val="tablebody"/>
              <w:jc w:val="right"/>
              <w:rPr>
                <w:rFonts w:cs="Arial"/>
                <w:color w:val="000000"/>
                <w:sz w:val="13"/>
                <w:szCs w:val="13"/>
              </w:rPr>
            </w:pPr>
            <w:r w:rsidRPr="00293DB6">
              <w:rPr>
                <w:rFonts w:cs="Arial"/>
                <w:color w:val="000000"/>
                <w:sz w:val="13"/>
                <w:szCs w:val="13"/>
              </w:rPr>
              <w:t xml:space="preserve">11,098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3E1601C7" w14:textId="77777777">
            <w:pPr>
              <w:pStyle w:val="tablebody"/>
              <w:jc w:val="right"/>
              <w:rPr>
                <w:rFonts w:cs="Arial"/>
                <w:color w:val="000000"/>
                <w:sz w:val="13"/>
                <w:szCs w:val="13"/>
              </w:rPr>
            </w:pPr>
            <w:r w:rsidRPr="00293DB6">
              <w:rPr>
                <w:rFonts w:cs="Arial"/>
                <w:color w:val="000000"/>
                <w:sz w:val="13"/>
                <w:szCs w:val="13"/>
              </w:rPr>
              <w:t xml:space="preserve">757,465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D4F0023" w14:textId="77777777">
            <w:pPr>
              <w:pStyle w:val="tablebody"/>
              <w:jc w:val="right"/>
              <w:rPr>
                <w:rFonts w:cs="Arial"/>
                <w:color w:val="000000"/>
                <w:sz w:val="13"/>
                <w:szCs w:val="13"/>
              </w:rPr>
            </w:pPr>
            <w:r w:rsidRPr="00293DB6">
              <w:rPr>
                <w:rFonts w:cs="Arial"/>
                <w:color w:val="000000"/>
                <w:sz w:val="13"/>
                <w:szCs w:val="13"/>
              </w:rPr>
              <w:t xml:space="preserve">714,927 </w:t>
            </w:r>
          </w:p>
        </w:tc>
      </w:tr>
      <w:tr w:rsidRPr="0088782A" w:rsidR="00A96D3F" w:rsidTr="0088782A" w14:paraId="7F1B743A" w14:textId="77777777">
        <w:trPr>
          <w:trHeight w:val="113"/>
        </w:trPr>
        <w:tc>
          <w:tcPr>
            <w:tcW w:w="3686"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BFD2FD7" w14:textId="77777777">
            <w:pPr>
              <w:pStyle w:val="tablebody"/>
              <w:rPr>
                <w:rFonts w:cs="Arial"/>
                <w:b/>
                <w:color w:val="000000"/>
                <w:sz w:val="13"/>
                <w:szCs w:val="13"/>
              </w:rPr>
            </w:pPr>
            <w:r w:rsidRPr="0088782A">
              <w:rPr>
                <w:rFonts w:cs="Arial"/>
                <w:b/>
                <w:color w:val="000000"/>
                <w:sz w:val="13"/>
                <w:szCs w:val="13"/>
              </w:rPr>
              <w:t>Total administered assets</w:t>
            </w:r>
          </w:p>
        </w:tc>
        <w:tc>
          <w:tcPr>
            <w:tcW w:w="481"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B2120AC" w14:textId="77777777">
            <w:pPr>
              <w:pStyle w:val="tablebody"/>
              <w:jc w:val="right"/>
              <w:rPr>
                <w:rFonts w:cs="Arial"/>
                <w:b/>
                <w:color w:val="000000"/>
                <w:sz w:val="13"/>
                <w:szCs w:val="13"/>
              </w:rPr>
            </w:pPr>
            <w:r w:rsidRPr="0088782A">
              <w:rPr>
                <w:rFonts w:cs="Arial"/>
                <w:b/>
                <w:color w:val="000000"/>
                <w:sz w:val="13"/>
                <w:szCs w:val="13"/>
              </w:rPr>
              <w:t xml:space="preserve">74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0EF50F5" w14:textId="77777777">
            <w:pPr>
              <w:pStyle w:val="tablebody"/>
              <w:jc w:val="right"/>
              <w:rPr>
                <w:rFonts w:cs="Arial"/>
                <w:b/>
                <w:color w:val="000000"/>
                <w:sz w:val="13"/>
                <w:szCs w:val="13"/>
              </w:rPr>
            </w:pPr>
            <w:r w:rsidRPr="0088782A">
              <w:rPr>
                <w:rFonts w:cs="Arial"/>
                <w:b/>
                <w:color w:val="000000"/>
                <w:sz w:val="13"/>
                <w:szCs w:val="13"/>
              </w:rPr>
              <w:t xml:space="preserve">53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0801A51E" w14:textId="77777777">
            <w:pPr>
              <w:pStyle w:val="tablebody"/>
              <w:jc w:val="right"/>
              <w:rPr>
                <w:rFonts w:cs="Arial"/>
                <w:b/>
                <w:color w:val="000000"/>
                <w:sz w:val="13"/>
                <w:szCs w:val="13"/>
              </w:rPr>
            </w:pPr>
            <w:r w:rsidRPr="0088782A">
              <w:rPr>
                <w:rFonts w:cs="Arial"/>
                <w:b/>
                <w:color w:val="000000"/>
                <w:sz w:val="13"/>
                <w:szCs w:val="13"/>
              </w:rPr>
              <w:t xml:space="preserve">12,122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22828C5" w14:textId="77777777">
            <w:pPr>
              <w:pStyle w:val="tablebody"/>
              <w:jc w:val="right"/>
              <w:rPr>
                <w:rFonts w:cs="Arial"/>
                <w:b/>
                <w:color w:val="000000"/>
                <w:sz w:val="13"/>
                <w:szCs w:val="13"/>
              </w:rPr>
            </w:pPr>
            <w:r w:rsidRPr="0088782A">
              <w:rPr>
                <w:rFonts w:cs="Arial"/>
                <w:b/>
                <w:color w:val="000000"/>
                <w:sz w:val="13"/>
                <w:szCs w:val="13"/>
              </w:rPr>
              <w:t xml:space="preserve">12,778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9B0E23D" w14:textId="77777777">
            <w:pPr>
              <w:pStyle w:val="tablebody"/>
              <w:jc w:val="right"/>
              <w:rPr>
                <w:rFonts w:cs="Arial"/>
                <w:b/>
                <w:color w:val="000000"/>
                <w:sz w:val="13"/>
                <w:szCs w:val="13"/>
              </w:rPr>
            </w:pPr>
            <w:r w:rsidRPr="0088782A">
              <w:rPr>
                <w:rFonts w:cs="Arial"/>
                <w:b/>
                <w:color w:val="000000"/>
                <w:sz w:val="13"/>
                <w:szCs w:val="13"/>
              </w:rPr>
              <w:t xml:space="preserve">478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1E3FB61" w14:textId="77777777">
            <w:pPr>
              <w:pStyle w:val="tablebody"/>
              <w:jc w:val="right"/>
              <w:rPr>
                <w:rFonts w:cs="Arial"/>
                <w:b/>
                <w:color w:val="000000"/>
                <w:sz w:val="13"/>
                <w:szCs w:val="13"/>
              </w:rPr>
            </w:pPr>
            <w:r w:rsidRPr="0088782A">
              <w:rPr>
                <w:rFonts w:cs="Arial"/>
                <w:b/>
                <w:color w:val="000000"/>
                <w:sz w:val="13"/>
                <w:szCs w:val="13"/>
              </w:rPr>
              <w:t xml:space="preserve">16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22F7B14" w14:textId="77777777">
            <w:pPr>
              <w:pStyle w:val="tablebody"/>
              <w:jc w:val="right"/>
              <w:rPr>
                <w:rFonts w:cs="Arial"/>
                <w:b/>
                <w:color w:val="000000"/>
                <w:sz w:val="13"/>
                <w:szCs w:val="13"/>
              </w:rPr>
            </w:pPr>
            <w:r w:rsidRPr="0088782A">
              <w:rPr>
                <w:rFonts w:cs="Arial"/>
                <w:b/>
                <w:color w:val="000000"/>
                <w:sz w:val="13"/>
                <w:szCs w:val="13"/>
              </w:rPr>
              <w:t xml:space="preserve">1,321,912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29162A4" w14:textId="77777777">
            <w:pPr>
              <w:pStyle w:val="tablebody"/>
              <w:jc w:val="right"/>
              <w:rPr>
                <w:rFonts w:cs="Arial"/>
                <w:b/>
                <w:color w:val="000000"/>
                <w:sz w:val="13"/>
                <w:szCs w:val="13"/>
              </w:rPr>
            </w:pPr>
            <w:r w:rsidRPr="0088782A">
              <w:rPr>
                <w:rFonts w:cs="Arial"/>
                <w:b/>
                <w:color w:val="000000"/>
                <w:sz w:val="13"/>
                <w:szCs w:val="13"/>
              </w:rPr>
              <w:t xml:space="preserve">1,469,952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E820624" w14:textId="77777777">
            <w:pPr>
              <w:pStyle w:val="tablebody"/>
              <w:jc w:val="right"/>
              <w:rPr>
                <w:rFonts w:cs="Arial"/>
                <w:b/>
                <w:color w:val="000000"/>
                <w:sz w:val="13"/>
                <w:szCs w:val="13"/>
              </w:rPr>
            </w:pPr>
            <w:r w:rsidRPr="0088782A">
              <w:rPr>
                <w:rFonts w:cs="Arial"/>
                <w:b/>
                <w:color w:val="000000"/>
                <w:sz w:val="13"/>
                <w:szCs w:val="13"/>
              </w:rPr>
              <w:t xml:space="preserve">69,463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3D3287BE" w14:textId="77777777">
            <w:pPr>
              <w:pStyle w:val="tablebody"/>
              <w:jc w:val="right"/>
              <w:rPr>
                <w:rFonts w:cs="Arial"/>
                <w:b/>
                <w:color w:val="000000"/>
                <w:sz w:val="13"/>
                <w:szCs w:val="13"/>
              </w:rPr>
            </w:pPr>
            <w:r w:rsidRPr="0088782A">
              <w:rPr>
                <w:rFonts w:cs="Arial"/>
                <w:b/>
                <w:color w:val="000000"/>
                <w:sz w:val="13"/>
                <w:szCs w:val="13"/>
              </w:rPr>
              <w:t xml:space="preserve">13,640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68E56BE" w14:textId="77777777">
            <w:pPr>
              <w:pStyle w:val="tablebody"/>
              <w:jc w:val="right"/>
              <w:rPr>
                <w:rFonts w:cs="Arial"/>
                <w:b/>
                <w:color w:val="000000"/>
                <w:sz w:val="13"/>
                <w:szCs w:val="13"/>
              </w:rPr>
            </w:pPr>
            <w:r w:rsidRPr="0088782A">
              <w:rPr>
                <w:rFonts w:cs="Arial"/>
                <w:b/>
                <w:color w:val="000000"/>
                <w:sz w:val="13"/>
                <w:szCs w:val="13"/>
              </w:rPr>
              <w:t xml:space="preserve">725,150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2DA2A53F" w14:textId="77777777">
            <w:pPr>
              <w:pStyle w:val="tablebody"/>
              <w:jc w:val="right"/>
              <w:rPr>
                <w:rFonts w:cs="Arial"/>
                <w:b/>
                <w:color w:val="000000"/>
                <w:sz w:val="13"/>
                <w:szCs w:val="13"/>
              </w:rPr>
            </w:pPr>
            <w:r w:rsidRPr="0088782A">
              <w:rPr>
                <w:rFonts w:cs="Arial"/>
                <w:b/>
                <w:color w:val="000000"/>
                <w:sz w:val="13"/>
                <w:szCs w:val="13"/>
              </w:rPr>
              <w:t xml:space="preserve">663,964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53AA1CC8" w14:textId="77777777">
            <w:pPr>
              <w:pStyle w:val="tablebody"/>
              <w:jc w:val="right"/>
              <w:rPr>
                <w:rFonts w:cs="Arial"/>
                <w:b/>
                <w:color w:val="000000"/>
                <w:sz w:val="13"/>
                <w:szCs w:val="13"/>
              </w:rPr>
            </w:pPr>
            <w:r w:rsidRPr="0088782A">
              <w:rPr>
                <w:rFonts w:cs="Arial"/>
                <w:b/>
                <w:color w:val="000000"/>
                <w:sz w:val="13"/>
                <w:szCs w:val="13"/>
              </w:rPr>
              <w:t xml:space="preserve">381 </w:t>
            </w:r>
          </w:p>
        </w:tc>
        <w:tc>
          <w:tcPr>
            <w:tcW w:w="793"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401EF5A7" w14:textId="77777777">
            <w:pPr>
              <w:pStyle w:val="tablebody"/>
              <w:jc w:val="right"/>
              <w:rPr>
                <w:rFonts w:cs="Arial"/>
                <w:b/>
                <w:color w:val="000000"/>
                <w:sz w:val="13"/>
                <w:szCs w:val="13"/>
              </w:rPr>
            </w:pPr>
            <w:r w:rsidRPr="0088782A">
              <w:rPr>
                <w:rFonts w:cs="Arial"/>
                <w:b/>
                <w:color w:val="000000"/>
                <w:sz w:val="13"/>
                <w:szCs w:val="13"/>
              </w:rPr>
              <w:t xml:space="preserve">11,574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7EC2EF11" w14:textId="77777777">
            <w:pPr>
              <w:pStyle w:val="tablebody"/>
              <w:jc w:val="right"/>
              <w:rPr>
                <w:rFonts w:cs="Arial"/>
                <w:b/>
                <w:color w:val="000000"/>
                <w:sz w:val="13"/>
                <w:szCs w:val="13"/>
              </w:rPr>
            </w:pPr>
            <w:r w:rsidRPr="0088782A">
              <w:rPr>
                <w:rFonts w:cs="Arial"/>
                <w:b/>
                <w:color w:val="000000"/>
                <w:sz w:val="13"/>
                <w:szCs w:val="13"/>
              </w:rPr>
              <w:t xml:space="preserve">2,129,580 </w:t>
            </w:r>
          </w:p>
        </w:tc>
        <w:tc>
          <w:tcPr>
            <w:tcW w:w="794" w:type="dxa"/>
            <w:tcBorders>
              <w:top w:val="single" w:color="000000" w:sz="6" w:space="0"/>
              <w:left w:val="nil"/>
              <w:bottom w:val="single" w:color="000000" w:sz="6" w:space="0"/>
              <w:right w:val="nil"/>
            </w:tcBorders>
            <w:tcMar>
              <w:top w:w="0" w:type="dxa"/>
              <w:left w:w="0" w:type="dxa"/>
              <w:bottom w:w="17" w:type="dxa"/>
              <w:right w:w="0" w:type="dxa"/>
            </w:tcMar>
          </w:tcPr>
          <w:p w:rsidRPr="0088782A" w:rsidR="00A96D3F" w:rsidP="00A96D3F" w:rsidRDefault="00A96D3F" w14:paraId="175A527E" w14:textId="77777777">
            <w:pPr>
              <w:pStyle w:val="tablebody"/>
              <w:jc w:val="right"/>
              <w:rPr>
                <w:rFonts w:cs="Arial"/>
                <w:b/>
                <w:color w:val="000000"/>
                <w:sz w:val="13"/>
                <w:szCs w:val="13"/>
              </w:rPr>
            </w:pPr>
            <w:r w:rsidRPr="0088782A">
              <w:rPr>
                <w:rFonts w:cs="Arial"/>
                <w:b/>
                <w:color w:val="000000"/>
                <w:sz w:val="13"/>
                <w:szCs w:val="13"/>
              </w:rPr>
              <w:t xml:space="preserve">2,171,977 </w:t>
            </w:r>
          </w:p>
        </w:tc>
      </w:tr>
      <w:tr w:rsidRPr="0088782A" w:rsidR="00A96D3F" w:rsidTr="0088782A" w14:paraId="446E046D" w14:textId="77777777">
        <w:trPr>
          <w:trHeight w:val="113"/>
        </w:trPr>
        <w:tc>
          <w:tcPr>
            <w:tcW w:w="3686"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B46C7B6" w14:textId="77777777">
            <w:pPr>
              <w:pStyle w:val="tablebody"/>
              <w:rPr>
                <w:rFonts w:cs="Arial"/>
                <w:b/>
                <w:color w:val="000000"/>
                <w:sz w:val="13"/>
                <w:szCs w:val="13"/>
              </w:rPr>
            </w:pPr>
            <w:r w:rsidRPr="0088782A">
              <w:rPr>
                <w:rFonts w:cs="Arial"/>
                <w:b/>
                <w:color w:val="000000"/>
                <w:sz w:val="13"/>
                <w:szCs w:val="13"/>
              </w:rPr>
              <w:t>Administered liabilities</w:t>
            </w:r>
          </w:p>
        </w:tc>
        <w:tc>
          <w:tcPr>
            <w:tcW w:w="481"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456867A9"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15D905E"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0D78350D" w14:textId="77777777">
            <w:pPr>
              <w:pStyle w:val="tablebody"/>
              <w:jc w:val="right"/>
              <w:rPr>
                <w:rFonts w:cs="Arial"/>
                <w:b/>
                <w:sz w:val="13"/>
                <w:szCs w:val="13"/>
                <w:lang w:val="en-US"/>
              </w:rPr>
            </w:pPr>
          </w:p>
        </w:tc>
        <w:tc>
          <w:tcPr>
            <w:tcW w:w="793"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797F176"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7B172F7A"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438565F0" w14:textId="77777777">
            <w:pPr>
              <w:pStyle w:val="tablebody"/>
              <w:jc w:val="right"/>
              <w:rPr>
                <w:rFonts w:cs="Arial"/>
                <w:b/>
                <w:sz w:val="13"/>
                <w:szCs w:val="13"/>
                <w:lang w:val="en-US"/>
              </w:rPr>
            </w:pPr>
          </w:p>
        </w:tc>
        <w:tc>
          <w:tcPr>
            <w:tcW w:w="793"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6FA48386"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155695A2"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35B71556"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4BBA4188" w14:textId="77777777">
            <w:pPr>
              <w:pStyle w:val="tablebody"/>
              <w:jc w:val="right"/>
              <w:rPr>
                <w:rFonts w:cs="Arial"/>
                <w:b/>
                <w:sz w:val="13"/>
                <w:szCs w:val="13"/>
                <w:lang w:val="en-US"/>
              </w:rPr>
            </w:pPr>
          </w:p>
        </w:tc>
        <w:tc>
          <w:tcPr>
            <w:tcW w:w="793"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4370EE93"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E7D5405"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090D1CC3" w14:textId="77777777">
            <w:pPr>
              <w:pStyle w:val="tablebody"/>
              <w:jc w:val="right"/>
              <w:rPr>
                <w:rFonts w:cs="Arial"/>
                <w:b/>
                <w:sz w:val="13"/>
                <w:szCs w:val="13"/>
                <w:lang w:val="en-US"/>
              </w:rPr>
            </w:pPr>
          </w:p>
        </w:tc>
        <w:tc>
          <w:tcPr>
            <w:tcW w:w="793"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7150941"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5D10E717" w14:textId="77777777">
            <w:pPr>
              <w:pStyle w:val="tablebody"/>
              <w:jc w:val="right"/>
              <w:rPr>
                <w:rFonts w:cs="Arial"/>
                <w:b/>
                <w:sz w:val="13"/>
                <w:szCs w:val="13"/>
                <w:lang w:val="en-US"/>
              </w:rPr>
            </w:pPr>
          </w:p>
        </w:tc>
        <w:tc>
          <w:tcPr>
            <w:tcW w:w="794" w:type="dxa"/>
            <w:tcBorders>
              <w:top w:val="single" w:color="000000" w:sz="6" w:space="0"/>
              <w:left w:val="nil"/>
              <w:bottom w:val="nil"/>
              <w:right w:val="nil"/>
            </w:tcBorders>
            <w:tcMar>
              <w:top w:w="0" w:type="dxa"/>
              <w:left w:w="0" w:type="dxa"/>
              <w:bottom w:w="17" w:type="dxa"/>
              <w:right w:w="0" w:type="dxa"/>
            </w:tcMar>
          </w:tcPr>
          <w:p w:rsidRPr="0088782A" w:rsidR="00A96D3F" w:rsidP="00A96D3F" w:rsidRDefault="00A96D3F" w14:paraId="6C7E4D72" w14:textId="77777777">
            <w:pPr>
              <w:pStyle w:val="tablebody"/>
              <w:jc w:val="right"/>
              <w:rPr>
                <w:rFonts w:cs="Arial"/>
                <w:b/>
                <w:sz w:val="13"/>
                <w:szCs w:val="13"/>
                <w:lang w:val="en-US"/>
              </w:rPr>
            </w:pPr>
          </w:p>
        </w:tc>
      </w:tr>
      <w:tr w:rsidRPr="00293DB6" w:rsidR="00A96D3F" w:rsidTr="0088782A" w14:paraId="7A6E5822"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4BACA6BC" w14:textId="77777777">
            <w:pPr>
              <w:pStyle w:val="tablebody"/>
              <w:rPr>
                <w:rFonts w:cs="Arial"/>
                <w:color w:val="000000"/>
                <w:sz w:val="13"/>
                <w:szCs w:val="13"/>
              </w:rPr>
            </w:pPr>
            <w:r w:rsidRPr="00293DB6">
              <w:rPr>
                <w:rFonts w:cs="Arial"/>
                <w:color w:val="000000"/>
                <w:sz w:val="13"/>
                <w:szCs w:val="13"/>
              </w:rPr>
              <w:t>Creditors and accruals</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39854BAB"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9B4C30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6A9B5B6" w14:textId="77777777">
            <w:pPr>
              <w:pStyle w:val="tablebody"/>
              <w:jc w:val="right"/>
              <w:rPr>
                <w:rFonts w:cs="Arial"/>
                <w:color w:val="000000"/>
                <w:sz w:val="13"/>
                <w:szCs w:val="13"/>
              </w:rPr>
            </w:pPr>
            <w:r w:rsidRPr="00293DB6">
              <w:rPr>
                <w:rFonts w:cs="Arial"/>
                <w:color w:val="000000"/>
                <w:sz w:val="13"/>
                <w:szCs w:val="13"/>
              </w:rPr>
              <w:t xml:space="preserve">2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7ACD15F" w14:textId="77777777">
            <w:pPr>
              <w:pStyle w:val="tablebody"/>
              <w:jc w:val="right"/>
              <w:rPr>
                <w:rFonts w:cs="Arial"/>
                <w:color w:val="000000"/>
                <w:sz w:val="13"/>
                <w:szCs w:val="13"/>
              </w:rPr>
            </w:pPr>
            <w:r w:rsidRPr="00293DB6">
              <w:rPr>
                <w:rFonts w:cs="Arial"/>
                <w:color w:val="000000"/>
                <w:sz w:val="13"/>
                <w:szCs w:val="13"/>
              </w:rPr>
              <w:t xml:space="preserve">49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BE90394"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253B04FB"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43ADE35" w14:textId="77777777">
            <w:pPr>
              <w:pStyle w:val="tablebody"/>
              <w:jc w:val="right"/>
              <w:rPr>
                <w:rFonts w:cs="Arial"/>
                <w:color w:val="000000"/>
                <w:sz w:val="13"/>
                <w:szCs w:val="13"/>
              </w:rPr>
            </w:pPr>
            <w:r w:rsidRPr="00293DB6">
              <w:rPr>
                <w:rFonts w:cs="Arial"/>
                <w:color w:val="000000"/>
                <w:sz w:val="13"/>
                <w:szCs w:val="13"/>
              </w:rPr>
              <w:t xml:space="preserve">4,954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16B8CF7" w14:textId="77777777">
            <w:pPr>
              <w:pStyle w:val="tablebody"/>
              <w:jc w:val="right"/>
              <w:rPr>
                <w:rFonts w:cs="Arial"/>
                <w:color w:val="000000"/>
                <w:sz w:val="13"/>
                <w:szCs w:val="13"/>
              </w:rPr>
            </w:pPr>
            <w:r w:rsidRPr="00293DB6">
              <w:rPr>
                <w:rFonts w:cs="Arial"/>
                <w:color w:val="000000"/>
                <w:sz w:val="13"/>
                <w:szCs w:val="13"/>
              </w:rPr>
              <w:t xml:space="preserve">11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60BC748" w14:textId="77777777">
            <w:pPr>
              <w:pStyle w:val="tablebody"/>
              <w:jc w:val="right"/>
              <w:rPr>
                <w:rFonts w:cs="Arial"/>
                <w:color w:val="000000"/>
                <w:sz w:val="13"/>
                <w:szCs w:val="13"/>
              </w:rPr>
            </w:pPr>
            <w:r w:rsidRPr="00293DB6">
              <w:rPr>
                <w:rFonts w:cs="Arial"/>
                <w:color w:val="000000"/>
                <w:sz w:val="13"/>
                <w:szCs w:val="13"/>
              </w:rPr>
              <w:t xml:space="preserve">410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CE8F00C" w14:textId="77777777">
            <w:pPr>
              <w:pStyle w:val="tablebody"/>
              <w:jc w:val="right"/>
              <w:rPr>
                <w:rFonts w:cs="Arial"/>
                <w:color w:val="000000"/>
                <w:sz w:val="13"/>
                <w:szCs w:val="13"/>
              </w:rPr>
            </w:pPr>
            <w:r w:rsidRPr="00293DB6">
              <w:rPr>
                <w:rFonts w:cs="Arial"/>
                <w:color w:val="000000"/>
                <w:sz w:val="13"/>
                <w:szCs w:val="13"/>
              </w:rPr>
              <w:t xml:space="preserve">782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2F4DBC80"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445408F"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FCA816A"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6D3CD0D"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66E23D8" w14:textId="77777777">
            <w:pPr>
              <w:pStyle w:val="tablebody"/>
              <w:jc w:val="right"/>
              <w:rPr>
                <w:rFonts w:cs="Arial"/>
                <w:color w:val="000000"/>
                <w:sz w:val="13"/>
                <w:szCs w:val="13"/>
              </w:rPr>
            </w:pPr>
            <w:r w:rsidRPr="00293DB6">
              <w:rPr>
                <w:rFonts w:cs="Arial"/>
                <w:color w:val="000000"/>
                <w:sz w:val="13"/>
                <w:szCs w:val="13"/>
              </w:rPr>
              <w:t xml:space="preserve">5,366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5A61F12E" w14:textId="77777777">
            <w:pPr>
              <w:pStyle w:val="tablebody"/>
              <w:jc w:val="right"/>
              <w:rPr>
                <w:rFonts w:cs="Arial"/>
                <w:color w:val="000000"/>
                <w:sz w:val="13"/>
                <w:szCs w:val="13"/>
              </w:rPr>
            </w:pPr>
            <w:r w:rsidRPr="00293DB6">
              <w:rPr>
                <w:rFonts w:cs="Arial"/>
                <w:color w:val="000000"/>
                <w:sz w:val="13"/>
                <w:szCs w:val="13"/>
              </w:rPr>
              <w:t xml:space="preserve">842 </w:t>
            </w:r>
          </w:p>
        </w:tc>
      </w:tr>
      <w:tr w:rsidRPr="00293DB6" w:rsidR="00A96D3F" w:rsidTr="0088782A" w14:paraId="36EFDCA1" w14:textId="77777777">
        <w:trPr>
          <w:trHeight w:val="113"/>
        </w:trPr>
        <w:tc>
          <w:tcPr>
            <w:tcW w:w="3686" w:type="dxa"/>
            <w:tcBorders>
              <w:top w:val="nil"/>
              <w:left w:val="nil"/>
              <w:bottom w:val="nil"/>
              <w:right w:val="nil"/>
            </w:tcBorders>
            <w:tcMar>
              <w:top w:w="0" w:type="dxa"/>
              <w:left w:w="0" w:type="dxa"/>
              <w:bottom w:w="17" w:type="dxa"/>
              <w:right w:w="0" w:type="dxa"/>
            </w:tcMar>
          </w:tcPr>
          <w:p w:rsidRPr="00293DB6" w:rsidR="00A96D3F" w:rsidP="00A96D3F" w:rsidRDefault="00A96D3F" w14:paraId="76381C2A" w14:textId="77777777">
            <w:pPr>
              <w:pStyle w:val="tablebody"/>
              <w:rPr>
                <w:rFonts w:cs="Arial"/>
                <w:color w:val="000000"/>
                <w:sz w:val="13"/>
                <w:szCs w:val="13"/>
              </w:rPr>
            </w:pPr>
            <w:r w:rsidRPr="00293DB6">
              <w:rPr>
                <w:rFonts w:cs="Arial"/>
                <w:color w:val="000000"/>
                <w:sz w:val="13"/>
                <w:szCs w:val="13"/>
              </w:rPr>
              <w:t>Deposits payable</w:t>
            </w:r>
          </w:p>
        </w:tc>
        <w:tc>
          <w:tcPr>
            <w:tcW w:w="481" w:type="dxa"/>
            <w:tcBorders>
              <w:top w:val="nil"/>
              <w:left w:val="nil"/>
              <w:bottom w:val="nil"/>
              <w:right w:val="nil"/>
            </w:tcBorders>
            <w:tcMar>
              <w:top w:w="0" w:type="dxa"/>
              <w:left w:w="0" w:type="dxa"/>
              <w:bottom w:w="17" w:type="dxa"/>
              <w:right w:w="0" w:type="dxa"/>
            </w:tcMar>
          </w:tcPr>
          <w:p w:rsidRPr="00293DB6" w:rsidR="00A96D3F" w:rsidP="00A96D3F" w:rsidRDefault="00A96D3F" w14:paraId="619D755C" w14:textId="77777777">
            <w:pPr>
              <w:pStyle w:val="tablebody"/>
              <w:jc w:val="right"/>
              <w:rPr>
                <w:rFonts w:cs="Arial"/>
                <w:color w:val="000000"/>
                <w:sz w:val="13"/>
                <w:szCs w:val="13"/>
              </w:rPr>
            </w:pPr>
            <w:r w:rsidRPr="00293DB6">
              <w:rPr>
                <w:rFonts w:cs="Arial"/>
                <w:color w:val="000000"/>
                <w:sz w:val="13"/>
                <w:szCs w:val="13"/>
              </w:rPr>
              <w:t xml:space="preserve">52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0AC3F3C" w14:textId="77777777">
            <w:pPr>
              <w:pStyle w:val="tablebody"/>
              <w:jc w:val="right"/>
              <w:rPr>
                <w:rFonts w:cs="Arial"/>
                <w:color w:val="000000"/>
                <w:sz w:val="13"/>
                <w:szCs w:val="13"/>
              </w:rPr>
            </w:pPr>
            <w:r w:rsidRPr="00293DB6">
              <w:rPr>
                <w:rFonts w:cs="Arial"/>
                <w:color w:val="000000"/>
                <w:sz w:val="13"/>
                <w:szCs w:val="13"/>
              </w:rPr>
              <w:t xml:space="preserve">49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B02C175" w14:textId="77777777">
            <w:pPr>
              <w:pStyle w:val="tablebody"/>
              <w:jc w:val="right"/>
              <w:rPr>
                <w:rFonts w:cs="Arial"/>
                <w:color w:val="000000"/>
                <w:sz w:val="13"/>
                <w:szCs w:val="13"/>
              </w:rPr>
            </w:pPr>
            <w:r w:rsidRPr="00293DB6">
              <w:rPr>
                <w:rFonts w:cs="Arial"/>
                <w:color w:val="000000"/>
                <w:sz w:val="13"/>
                <w:szCs w:val="13"/>
              </w:rPr>
              <w:t xml:space="preserve">10,126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53C46544" w14:textId="77777777">
            <w:pPr>
              <w:pStyle w:val="tablebody"/>
              <w:jc w:val="right"/>
              <w:rPr>
                <w:rFonts w:cs="Arial"/>
                <w:color w:val="000000"/>
                <w:sz w:val="13"/>
                <w:szCs w:val="13"/>
              </w:rPr>
            </w:pPr>
            <w:r w:rsidRPr="00293DB6">
              <w:rPr>
                <w:rFonts w:cs="Arial"/>
                <w:color w:val="000000"/>
                <w:sz w:val="13"/>
                <w:szCs w:val="13"/>
              </w:rPr>
              <w:t xml:space="preserve">10,200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06DD1A6" w14:textId="77777777">
            <w:pPr>
              <w:pStyle w:val="tablebody"/>
              <w:jc w:val="right"/>
              <w:rPr>
                <w:rFonts w:cs="Arial"/>
                <w:color w:val="000000"/>
                <w:sz w:val="13"/>
                <w:szCs w:val="13"/>
              </w:rPr>
            </w:pPr>
            <w:r w:rsidRPr="00293DB6">
              <w:rPr>
                <w:rFonts w:cs="Arial"/>
                <w:color w:val="000000"/>
                <w:sz w:val="13"/>
                <w:szCs w:val="13"/>
              </w:rPr>
              <w:t xml:space="preserve">481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00108F05" w14:textId="77777777">
            <w:pPr>
              <w:pStyle w:val="tablebody"/>
              <w:jc w:val="right"/>
              <w:rPr>
                <w:rFonts w:cs="Arial"/>
                <w:color w:val="000000"/>
                <w:sz w:val="13"/>
                <w:szCs w:val="13"/>
              </w:rPr>
            </w:pPr>
            <w:r w:rsidRPr="00293DB6">
              <w:rPr>
                <w:rFonts w:cs="Arial"/>
                <w:color w:val="000000"/>
                <w:sz w:val="13"/>
                <w:szCs w:val="13"/>
              </w:rPr>
              <w:t xml:space="preserve">16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64B71C2" w14:textId="77777777">
            <w:pPr>
              <w:pStyle w:val="tablebody"/>
              <w:jc w:val="right"/>
              <w:rPr>
                <w:rFonts w:cs="Arial"/>
                <w:color w:val="000000"/>
                <w:sz w:val="13"/>
                <w:szCs w:val="13"/>
              </w:rPr>
            </w:pPr>
            <w:r w:rsidRPr="00293DB6">
              <w:rPr>
                <w:rFonts w:cs="Arial"/>
                <w:color w:val="000000"/>
                <w:sz w:val="13"/>
                <w:szCs w:val="13"/>
              </w:rPr>
              <w:t xml:space="preserve">7,632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757E921" w14:textId="77777777">
            <w:pPr>
              <w:pStyle w:val="tablebody"/>
              <w:jc w:val="right"/>
              <w:rPr>
                <w:rFonts w:cs="Arial"/>
                <w:color w:val="000000"/>
                <w:sz w:val="13"/>
                <w:szCs w:val="13"/>
              </w:rPr>
            </w:pPr>
            <w:r w:rsidRPr="00293DB6">
              <w:rPr>
                <w:rFonts w:cs="Arial"/>
                <w:color w:val="000000"/>
                <w:sz w:val="13"/>
                <w:szCs w:val="13"/>
              </w:rPr>
              <w:t xml:space="preserve">7,075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329793B0" w14:textId="77777777">
            <w:pPr>
              <w:pStyle w:val="tablebody"/>
              <w:jc w:val="right"/>
              <w:rPr>
                <w:rFonts w:cs="Arial"/>
                <w:color w:val="000000"/>
                <w:sz w:val="13"/>
                <w:szCs w:val="13"/>
              </w:rPr>
            </w:pPr>
            <w:r w:rsidRPr="00293DB6">
              <w:rPr>
                <w:rFonts w:cs="Arial"/>
                <w:color w:val="000000"/>
                <w:sz w:val="13"/>
                <w:szCs w:val="13"/>
              </w:rPr>
              <w:t xml:space="preserve">55,041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7C09A27F" w14:textId="77777777">
            <w:pPr>
              <w:pStyle w:val="tablebody"/>
              <w:jc w:val="right"/>
              <w:rPr>
                <w:rFonts w:cs="Arial"/>
                <w:color w:val="000000"/>
                <w:sz w:val="13"/>
                <w:szCs w:val="13"/>
              </w:rPr>
            </w:pPr>
            <w:r w:rsidRPr="00293DB6">
              <w:rPr>
                <w:rFonts w:cs="Arial"/>
                <w:color w:val="000000"/>
                <w:sz w:val="13"/>
                <w:szCs w:val="13"/>
              </w:rPr>
              <w:t xml:space="preserve">5,965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18ABE0FE" w14:textId="77777777">
            <w:pPr>
              <w:pStyle w:val="tablebody"/>
              <w:jc w:val="right"/>
              <w:rPr>
                <w:rFonts w:cs="Arial"/>
                <w:color w:val="000000"/>
                <w:sz w:val="13"/>
                <w:szCs w:val="13"/>
              </w:rPr>
            </w:pPr>
            <w:r w:rsidRPr="00293DB6">
              <w:rPr>
                <w:rFonts w:cs="Arial"/>
                <w:color w:val="000000"/>
                <w:sz w:val="13"/>
                <w:szCs w:val="13"/>
              </w:rPr>
              <w:t xml:space="preserve">1,246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4E337AF" w14:textId="77777777">
            <w:pPr>
              <w:pStyle w:val="tablebody"/>
              <w:jc w:val="right"/>
              <w:rPr>
                <w:rFonts w:cs="Arial"/>
                <w:color w:val="000000"/>
                <w:sz w:val="13"/>
                <w:szCs w:val="13"/>
              </w:rPr>
            </w:pPr>
            <w:r w:rsidRPr="00293DB6">
              <w:rPr>
                <w:rFonts w:cs="Arial"/>
                <w:color w:val="000000"/>
                <w:sz w:val="13"/>
                <w:szCs w:val="13"/>
              </w:rPr>
              <w:t xml:space="preserve">1,458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6BDBEC05" w14:textId="77777777">
            <w:pPr>
              <w:pStyle w:val="tablebody"/>
              <w:jc w:val="right"/>
              <w:rPr>
                <w:rFonts w:cs="Arial"/>
                <w:color w:val="000000"/>
                <w:sz w:val="13"/>
                <w:szCs w:val="13"/>
              </w:rPr>
            </w:pPr>
            <w:r w:rsidRPr="00293DB6">
              <w:rPr>
                <w:rFonts w:cs="Arial"/>
                <w:color w:val="000000"/>
                <w:sz w:val="13"/>
                <w:szCs w:val="13"/>
              </w:rPr>
              <w:t xml:space="preserve">379 </w:t>
            </w:r>
          </w:p>
        </w:tc>
        <w:tc>
          <w:tcPr>
            <w:tcW w:w="793" w:type="dxa"/>
            <w:tcBorders>
              <w:top w:val="nil"/>
              <w:left w:val="nil"/>
              <w:bottom w:val="nil"/>
              <w:right w:val="nil"/>
            </w:tcBorders>
            <w:tcMar>
              <w:top w:w="0" w:type="dxa"/>
              <w:left w:w="0" w:type="dxa"/>
              <w:bottom w:w="17" w:type="dxa"/>
              <w:right w:w="0" w:type="dxa"/>
            </w:tcMar>
          </w:tcPr>
          <w:p w:rsidRPr="00293DB6" w:rsidR="00A96D3F" w:rsidP="00A96D3F" w:rsidRDefault="00A96D3F" w14:paraId="6EFA658A" w14:textId="77777777">
            <w:pPr>
              <w:pStyle w:val="tablebody"/>
              <w:jc w:val="right"/>
              <w:rPr>
                <w:rFonts w:cs="Arial"/>
                <w:color w:val="000000"/>
                <w:sz w:val="13"/>
                <w:szCs w:val="13"/>
              </w:rPr>
            </w:pPr>
            <w:r w:rsidRPr="00293DB6">
              <w:rPr>
                <w:rFonts w:cs="Arial"/>
                <w:color w:val="000000"/>
                <w:sz w:val="13"/>
                <w:szCs w:val="13"/>
              </w:rPr>
              <w:t xml:space="preserve">438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1716445D" w14:textId="77777777">
            <w:pPr>
              <w:pStyle w:val="tablebody"/>
              <w:jc w:val="right"/>
              <w:rPr>
                <w:rFonts w:cs="Arial"/>
                <w:color w:val="000000"/>
                <w:sz w:val="13"/>
                <w:szCs w:val="13"/>
              </w:rPr>
            </w:pPr>
            <w:r w:rsidRPr="00293DB6">
              <w:rPr>
                <w:rFonts w:cs="Arial"/>
                <w:color w:val="000000"/>
                <w:sz w:val="13"/>
                <w:szCs w:val="13"/>
              </w:rPr>
              <w:t xml:space="preserve">74,957 </w:t>
            </w:r>
          </w:p>
        </w:tc>
        <w:tc>
          <w:tcPr>
            <w:tcW w:w="794" w:type="dxa"/>
            <w:tcBorders>
              <w:top w:val="nil"/>
              <w:left w:val="nil"/>
              <w:bottom w:val="nil"/>
              <w:right w:val="nil"/>
            </w:tcBorders>
            <w:tcMar>
              <w:top w:w="0" w:type="dxa"/>
              <w:left w:w="0" w:type="dxa"/>
              <w:bottom w:w="17" w:type="dxa"/>
              <w:right w:w="0" w:type="dxa"/>
            </w:tcMar>
          </w:tcPr>
          <w:p w:rsidRPr="00293DB6" w:rsidR="00A96D3F" w:rsidP="00A96D3F" w:rsidRDefault="00A96D3F" w14:paraId="4C49668C" w14:textId="77777777">
            <w:pPr>
              <w:pStyle w:val="tablebody"/>
              <w:jc w:val="right"/>
              <w:rPr>
                <w:rFonts w:cs="Arial"/>
                <w:color w:val="000000"/>
                <w:sz w:val="13"/>
                <w:szCs w:val="13"/>
              </w:rPr>
            </w:pPr>
            <w:r w:rsidRPr="00293DB6">
              <w:rPr>
                <w:rFonts w:cs="Arial"/>
                <w:color w:val="000000"/>
                <w:sz w:val="13"/>
                <w:szCs w:val="13"/>
              </w:rPr>
              <w:t xml:space="preserve">25,201 </w:t>
            </w:r>
          </w:p>
        </w:tc>
      </w:tr>
      <w:tr w:rsidRPr="00293DB6" w:rsidR="00A96D3F" w:rsidTr="0088782A" w14:paraId="02EC4F94" w14:textId="77777777">
        <w:trPr>
          <w:trHeight w:val="113"/>
        </w:trPr>
        <w:tc>
          <w:tcPr>
            <w:tcW w:w="3686"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AEFE92D" w14:textId="77777777">
            <w:pPr>
              <w:pStyle w:val="tablebody"/>
              <w:rPr>
                <w:rFonts w:cs="Arial"/>
                <w:color w:val="000000"/>
                <w:sz w:val="13"/>
                <w:szCs w:val="13"/>
              </w:rPr>
            </w:pPr>
            <w:r w:rsidRPr="00293DB6">
              <w:rPr>
                <w:rFonts w:cs="Arial"/>
                <w:color w:val="000000"/>
                <w:sz w:val="13"/>
                <w:szCs w:val="13"/>
              </w:rPr>
              <w:t>Unearned revenue</w:t>
            </w:r>
          </w:p>
        </w:tc>
        <w:tc>
          <w:tcPr>
            <w:tcW w:w="481"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0D13146" w14:textId="77777777">
            <w:pPr>
              <w:pStyle w:val="tablebody"/>
              <w:jc w:val="right"/>
              <w:rPr>
                <w:rFonts w:cs="Arial"/>
                <w:color w:val="000000"/>
                <w:sz w:val="13"/>
                <w:szCs w:val="13"/>
              </w:rPr>
            </w:pPr>
            <w:r w:rsidRPr="00293DB6">
              <w:rPr>
                <w:rFonts w:cs="Arial"/>
                <w:color w:val="000000"/>
                <w:sz w:val="13"/>
                <w:szCs w:val="13"/>
              </w:rPr>
              <w:t xml:space="preserve">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45C20AD" w14:textId="77777777">
            <w:pPr>
              <w:pStyle w:val="tablebody"/>
              <w:jc w:val="right"/>
              <w:rPr>
                <w:rFonts w:cs="Arial"/>
                <w:color w:val="000000"/>
                <w:sz w:val="13"/>
                <w:szCs w:val="13"/>
              </w:rPr>
            </w:pPr>
            <w:r w:rsidRPr="00293DB6">
              <w:rPr>
                <w:rFonts w:cs="Arial"/>
                <w:color w:val="000000"/>
                <w:sz w:val="13"/>
                <w:szCs w:val="13"/>
              </w:rPr>
              <w:t xml:space="preserve">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D5E42F2" w14:textId="77777777">
            <w:pPr>
              <w:pStyle w:val="tablebody"/>
              <w:jc w:val="right"/>
              <w:rPr>
                <w:rFonts w:cs="Arial"/>
                <w:color w:val="000000"/>
                <w:sz w:val="13"/>
                <w:szCs w:val="13"/>
              </w:rPr>
            </w:pPr>
            <w:r w:rsidRPr="00293DB6">
              <w:rPr>
                <w:rFonts w:cs="Arial"/>
                <w:color w:val="000000"/>
                <w:sz w:val="13"/>
                <w:szCs w:val="13"/>
              </w:rPr>
              <w:t xml:space="preserve">7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43B1D4D" w14:textId="77777777">
            <w:pPr>
              <w:pStyle w:val="tablebody"/>
              <w:jc w:val="right"/>
              <w:rPr>
                <w:rFonts w:cs="Arial"/>
                <w:color w:val="000000"/>
                <w:sz w:val="13"/>
                <w:szCs w:val="13"/>
              </w:rPr>
            </w:pPr>
            <w:r w:rsidRPr="00293DB6">
              <w:rPr>
                <w:rFonts w:cs="Arial"/>
                <w:color w:val="000000"/>
                <w:sz w:val="13"/>
                <w:szCs w:val="13"/>
              </w:rPr>
              <w:t xml:space="preserve">242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ADFCF36" w14:textId="77777777">
            <w:pPr>
              <w:pStyle w:val="tablebody"/>
              <w:jc w:val="right"/>
              <w:rPr>
                <w:rFonts w:cs="Arial"/>
                <w:color w:val="000000"/>
                <w:sz w:val="13"/>
                <w:szCs w:val="13"/>
              </w:rPr>
            </w:pPr>
            <w:r w:rsidRPr="00293DB6">
              <w:rPr>
                <w:rFonts w:cs="Arial"/>
                <w:color w:val="000000"/>
                <w:sz w:val="13"/>
                <w:szCs w:val="13"/>
              </w:rPr>
              <w:t xml:space="preserve">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71D4C52" w14:textId="77777777">
            <w:pPr>
              <w:pStyle w:val="tablebody"/>
              <w:jc w:val="right"/>
              <w:rPr>
                <w:rFonts w:cs="Arial"/>
                <w:color w:val="000000"/>
                <w:sz w:val="13"/>
                <w:szCs w:val="13"/>
              </w:rPr>
            </w:pPr>
            <w:r w:rsidRPr="00293DB6">
              <w:rPr>
                <w:rFonts w:cs="Arial"/>
                <w:color w:val="000000"/>
                <w:sz w:val="13"/>
                <w:szCs w:val="13"/>
              </w:rPr>
              <w:t xml:space="preserve">0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A05A973" w14:textId="77777777">
            <w:pPr>
              <w:pStyle w:val="tablebody"/>
              <w:jc w:val="right"/>
              <w:rPr>
                <w:rFonts w:cs="Arial"/>
                <w:color w:val="000000"/>
                <w:sz w:val="13"/>
                <w:szCs w:val="13"/>
              </w:rPr>
            </w:pPr>
            <w:r w:rsidRPr="00293DB6">
              <w:rPr>
                <w:rFonts w:cs="Arial"/>
                <w:color w:val="000000"/>
                <w:sz w:val="13"/>
                <w:szCs w:val="13"/>
              </w:rPr>
              <w:t xml:space="preserve">1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36427B71" w14:textId="77777777">
            <w:pPr>
              <w:pStyle w:val="tablebody"/>
              <w:jc w:val="right"/>
              <w:rPr>
                <w:rFonts w:cs="Arial"/>
                <w:color w:val="000000"/>
                <w:sz w:val="13"/>
                <w:szCs w:val="13"/>
              </w:rPr>
            </w:pPr>
            <w:r w:rsidRPr="00293DB6">
              <w:rPr>
                <w:rFonts w:cs="Arial"/>
                <w:color w:val="000000"/>
                <w:sz w:val="13"/>
                <w:szCs w:val="13"/>
              </w:rPr>
              <w:t xml:space="preserve">70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2F866FA6" w14:textId="77777777">
            <w:pPr>
              <w:pStyle w:val="tablebody"/>
              <w:jc w:val="right"/>
              <w:rPr>
                <w:rFonts w:cs="Arial"/>
                <w:color w:val="000000"/>
                <w:sz w:val="13"/>
                <w:szCs w:val="13"/>
              </w:rPr>
            </w:pPr>
            <w:r w:rsidRPr="00293DB6">
              <w:rPr>
                <w:rFonts w:cs="Arial"/>
                <w:color w:val="000000"/>
                <w:sz w:val="13"/>
                <w:szCs w:val="13"/>
              </w:rPr>
              <w:t xml:space="preserve">638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537605BA" w14:textId="77777777">
            <w:pPr>
              <w:pStyle w:val="tablebody"/>
              <w:jc w:val="right"/>
              <w:rPr>
                <w:rFonts w:cs="Arial"/>
                <w:color w:val="000000"/>
                <w:sz w:val="13"/>
                <w:szCs w:val="13"/>
              </w:rPr>
            </w:pPr>
            <w:r w:rsidRPr="00293DB6">
              <w:rPr>
                <w:rFonts w:cs="Arial"/>
                <w:color w:val="000000"/>
                <w:sz w:val="13"/>
                <w:szCs w:val="13"/>
              </w:rPr>
              <w:t xml:space="preserve">992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1C682EA" w14:textId="77777777">
            <w:pPr>
              <w:pStyle w:val="tablebody"/>
              <w:jc w:val="right"/>
              <w:rPr>
                <w:rFonts w:cs="Arial"/>
                <w:color w:val="000000"/>
                <w:sz w:val="13"/>
                <w:szCs w:val="13"/>
              </w:rPr>
            </w:pPr>
            <w:r w:rsidRPr="00293DB6">
              <w:rPr>
                <w:rFonts w:cs="Arial"/>
                <w:color w:val="000000"/>
                <w:sz w:val="13"/>
                <w:szCs w:val="13"/>
              </w:rPr>
              <w:t xml:space="preserve">2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7993CBF" w14:textId="77777777">
            <w:pPr>
              <w:pStyle w:val="tablebody"/>
              <w:jc w:val="right"/>
              <w:rPr>
                <w:rFonts w:cs="Arial"/>
                <w:color w:val="000000"/>
                <w:sz w:val="13"/>
                <w:szCs w:val="13"/>
              </w:rPr>
            </w:pPr>
            <w:r w:rsidRPr="00293DB6">
              <w:rPr>
                <w:rFonts w:cs="Arial"/>
                <w:color w:val="000000"/>
                <w:sz w:val="13"/>
                <w:szCs w:val="13"/>
              </w:rPr>
              <w:t xml:space="preserve">139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CBC6165" w14:textId="77777777">
            <w:pPr>
              <w:pStyle w:val="tablebody"/>
              <w:jc w:val="right"/>
              <w:rPr>
                <w:rFonts w:cs="Arial"/>
                <w:color w:val="000000"/>
                <w:sz w:val="13"/>
                <w:szCs w:val="13"/>
              </w:rPr>
            </w:pPr>
            <w:r w:rsidRPr="00293DB6">
              <w:rPr>
                <w:rFonts w:cs="Arial"/>
                <w:color w:val="000000"/>
                <w:sz w:val="13"/>
                <w:szCs w:val="13"/>
              </w:rPr>
              <w:t xml:space="preserve">1 </w:t>
            </w:r>
          </w:p>
        </w:tc>
        <w:tc>
          <w:tcPr>
            <w:tcW w:w="793"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61F1631D" w14:textId="77777777">
            <w:pPr>
              <w:pStyle w:val="tablebody"/>
              <w:jc w:val="right"/>
              <w:rPr>
                <w:rFonts w:cs="Arial"/>
                <w:color w:val="000000"/>
                <w:sz w:val="13"/>
                <w:szCs w:val="13"/>
              </w:rPr>
            </w:pPr>
            <w:r w:rsidRPr="00293DB6">
              <w:rPr>
                <w:rFonts w:cs="Arial"/>
                <w:color w:val="000000"/>
                <w:sz w:val="13"/>
                <w:szCs w:val="13"/>
              </w:rPr>
              <w:t xml:space="preserve">23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04744075" w14:textId="77777777">
            <w:pPr>
              <w:pStyle w:val="tablebody"/>
              <w:jc w:val="right"/>
              <w:rPr>
                <w:rFonts w:cs="Arial"/>
                <w:color w:val="000000"/>
                <w:sz w:val="13"/>
                <w:szCs w:val="13"/>
              </w:rPr>
            </w:pPr>
            <w:r w:rsidRPr="00293DB6">
              <w:rPr>
                <w:rFonts w:cs="Arial"/>
                <w:color w:val="000000"/>
                <w:sz w:val="13"/>
                <w:szCs w:val="13"/>
              </w:rPr>
              <w:t xml:space="preserve">650 </w:t>
            </w:r>
          </w:p>
        </w:tc>
        <w:tc>
          <w:tcPr>
            <w:tcW w:w="794" w:type="dxa"/>
            <w:tcBorders>
              <w:top w:val="nil"/>
              <w:left w:val="nil"/>
              <w:bottom w:val="single" w:color="000000" w:sz="6" w:space="0"/>
              <w:right w:val="nil"/>
            </w:tcBorders>
            <w:tcMar>
              <w:top w:w="0" w:type="dxa"/>
              <w:left w:w="0" w:type="dxa"/>
              <w:bottom w:w="17" w:type="dxa"/>
              <w:right w:w="0" w:type="dxa"/>
            </w:tcMar>
          </w:tcPr>
          <w:p w:rsidRPr="00293DB6" w:rsidR="00A96D3F" w:rsidP="00A96D3F" w:rsidRDefault="00A96D3F" w14:paraId="7AD971B6" w14:textId="77777777">
            <w:pPr>
              <w:pStyle w:val="tablebody"/>
              <w:jc w:val="right"/>
              <w:rPr>
                <w:rFonts w:cs="Arial"/>
                <w:color w:val="000000"/>
                <w:sz w:val="13"/>
                <w:szCs w:val="13"/>
              </w:rPr>
            </w:pPr>
            <w:r w:rsidRPr="00293DB6">
              <w:rPr>
                <w:rFonts w:cs="Arial"/>
                <w:color w:val="000000"/>
                <w:sz w:val="13"/>
                <w:szCs w:val="13"/>
              </w:rPr>
              <w:t xml:space="preserve">1,469 </w:t>
            </w:r>
          </w:p>
        </w:tc>
      </w:tr>
      <w:tr w:rsidRPr="0088782A" w:rsidR="00A96D3F" w:rsidTr="0088782A" w14:paraId="41CEB9D7" w14:textId="77777777">
        <w:trPr>
          <w:trHeight w:val="113"/>
        </w:trPr>
        <w:tc>
          <w:tcPr>
            <w:tcW w:w="3686"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3EB58901" w14:textId="77777777">
            <w:pPr>
              <w:pStyle w:val="tablebody"/>
              <w:rPr>
                <w:rFonts w:cs="Arial"/>
                <w:b/>
                <w:color w:val="000000"/>
                <w:sz w:val="13"/>
                <w:szCs w:val="13"/>
              </w:rPr>
            </w:pPr>
            <w:r w:rsidRPr="0088782A">
              <w:rPr>
                <w:rFonts w:cs="Arial"/>
                <w:b/>
                <w:color w:val="000000"/>
                <w:sz w:val="13"/>
                <w:szCs w:val="13"/>
              </w:rPr>
              <w:t>Total administered liabilities</w:t>
            </w:r>
          </w:p>
        </w:tc>
        <w:tc>
          <w:tcPr>
            <w:tcW w:w="481"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555B398" w14:textId="77777777">
            <w:pPr>
              <w:pStyle w:val="tablebody"/>
              <w:jc w:val="right"/>
              <w:rPr>
                <w:rFonts w:cs="Arial"/>
                <w:b/>
                <w:color w:val="000000"/>
                <w:sz w:val="13"/>
                <w:szCs w:val="13"/>
              </w:rPr>
            </w:pPr>
            <w:r w:rsidRPr="0088782A">
              <w:rPr>
                <w:rFonts w:cs="Arial"/>
                <w:b/>
                <w:color w:val="000000"/>
                <w:sz w:val="13"/>
                <w:szCs w:val="13"/>
              </w:rPr>
              <w:t xml:space="preserve">52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3D7C2F5" w14:textId="77777777">
            <w:pPr>
              <w:pStyle w:val="tablebody"/>
              <w:jc w:val="right"/>
              <w:rPr>
                <w:rFonts w:cs="Arial"/>
                <w:b/>
                <w:color w:val="000000"/>
                <w:sz w:val="13"/>
                <w:szCs w:val="13"/>
              </w:rPr>
            </w:pPr>
            <w:r w:rsidRPr="0088782A">
              <w:rPr>
                <w:rFonts w:cs="Arial"/>
                <w:b/>
                <w:color w:val="000000"/>
                <w:sz w:val="13"/>
                <w:szCs w:val="13"/>
              </w:rPr>
              <w:t xml:space="preserve">52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75F0AB2" w14:textId="77777777">
            <w:pPr>
              <w:pStyle w:val="tablebody"/>
              <w:jc w:val="right"/>
              <w:rPr>
                <w:rFonts w:cs="Arial"/>
                <w:b/>
                <w:color w:val="000000"/>
                <w:sz w:val="13"/>
                <w:szCs w:val="13"/>
              </w:rPr>
            </w:pPr>
            <w:r w:rsidRPr="0088782A">
              <w:rPr>
                <w:rFonts w:cs="Arial"/>
                <w:b/>
                <w:color w:val="000000"/>
                <w:sz w:val="13"/>
                <w:szCs w:val="13"/>
              </w:rPr>
              <w:t xml:space="preserve">10,135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342A1266" w14:textId="77777777">
            <w:pPr>
              <w:pStyle w:val="tablebody"/>
              <w:jc w:val="right"/>
              <w:rPr>
                <w:rFonts w:cs="Arial"/>
                <w:b/>
                <w:color w:val="000000"/>
                <w:sz w:val="13"/>
                <w:szCs w:val="13"/>
              </w:rPr>
            </w:pPr>
            <w:r w:rsidRPr="0088782A">
              <w:rPr>
                <w:rFonts w:cs="Arial"/>
                <w:b/>
                <w:color w:val="000000"/>
                <w:sz w:val="13"/>
                <w:szCs w:val="13"/>
              </w:rPr>
              <w:t xml:space="preserve">10,491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4D10B4B0" w14:textId="77777777">
            <w:pPr>
              <w:pStyle w:val="tablebody"/>
              <w:jc w:val="right"/>
              <w:rPr>
                <w:rFonts w:cs="Arial"/>
                <w:b/>
                <w:color w:val="000000"/>
                <w:sz w:val="13"/>
                <w:szCs w:val="13"/>
              </w:rPr>
            </w:pPr>
            <w:r w:rsidRPr="0088782A">
              <w:rPr>
                <w:rFonts w:cs="Arial"/>
                <w:b/>
                <w:color w:val="000000"/>
                <w:sz w:val="13"/>
                <w:szCs w:val="13"/>
              </w:rPr>
              <w:t xml:space="preserve">482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14F0916B" w14:textId="77777777">
            <w:pPr>
              <w:pStyle w:val="tablebody"/>
              <w:jc w:val="right"/>
              <w:rPr>
                <w:rFonts w:cs="Arial"/>
                <w:b/>
                <w:color w:val="000000"/>
                <w:sz w:val="13"/>
                <w:szCs w:val="13"/>
              </w:rPr>
            </w:pPr>
            <w:r w:rsidRPr="0088782A">
              <w:rPr>
                <w:rFonts w:cs="Arial"/>
                <w:b/>
                <w:color w:val="000000"/>
                <w:sz w:val="13"/>
                <w:szCs w:val="13"/>
              </w:rPr>
              <w:t xml:space="preserve">16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C07624D" w14:textId="77777777">
            <w:pPr>
              <w:pStyle w:val="tablebody"/>
              <w:jc w:val="right"/>
              <w:rPr>
                <w:rFonts w:cs="Arial"/>
                <w:b/>
                <w:color w:val="000000"/>
                <w:sz w:val="13"/>
                <w:szCs w:val="13"/>
              </w:rPr>
            </w:pPr>
            <w:r w:rsidRPr="0088782A">
              <w:rPr>
                <w:rFonts w:cs="Arial"/>
                <w:b/>
                <w:color w:val="000000"/>
                <w:sz w:val="13"/>
                <w:szCs w:val="13"/>
              </w:rPr>
              <w:t xml:space="preserve">12,587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2531928" w14:textId="77777777">
            <w:pPr>
              <w:pStyle w:val="tablebody"/>
              <w:jc w:val="right"/>
              <w:rPr>
                <w:rFonts w:cs="Arial"/>
                <w:b/>
                <w:color w:val="000000"/>
                <w:sz w:val="13"/>
                <w:szCs w:val="13"/>
              </w:rPr>
            </w:pPr>
            <w:r w:rsidRPr="0088782A">
              <w:rPr>
                <w:rFonts w:cs="Arial"/>
                <w:b/>
                <w:color w:val="000000"/>
                <w:sz w:val="13"/>
                <w:szCs w:val="13"/>
              </w:rPr>
              <w:t xml:space="preserve">7,156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78F91707" w14:textId="77777777">
            <w:pPr>
              <w:pStyle w:val="tablebody"/>
              <w:jc w:val="right"/>
              <w:rPr>
                <w:rFonts w:cs="Arial"/>
                <w:b/>
                <w:color w:val="000000"/>
                <w:sz w:val="13"/>
                <w:szCs w:val="13"/>
              </w:rPr>
            </w:pPr>
            <w:r w:rsidRPr="0088782A">
              <w:rPr>
                <w:rFonts w:cs="Arial"/>
                <w:b/>
                <w:color w:val="000000"/>
                <w:sz w:val="13"/>
                <w:szCs w:val="13"/>
              </w:rPr>
              <w:t xml:space="preserve">56,089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06F55F5B" w14:textId="77777777">
            <w:pPr>
              <w:pStyle w:val="tablebody"/>
              <w:jc w:val="right"/>
              <w:rPr>
                <w:rFonts w:cs="Arial"/>
                <w:b/>
                <w:color w:val="000000"/>
                <w:sz w:val="13"/>
                <w:szCs w:val="13"/>
              </w:rPr>
            </w:pPr>
            <w:r w:rsidRPr="0088782A">
              <w:rPr>
                <w:rFonts w:cs="Arial"/>
                <w:b/>
                <w:color w:val="000000"/>
                <w:sz w:val="13"/>
                <w:szCs w:val="13"/>
              </w:rPr>
              <w:t xml:space="preserve">7,739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0E57EA9F" w14:textId="77777777">
            <w:pPr>
              <w:pStyle w:val="tablebody"/>
              <w:jc w:val="right"/>
              <w:rPr>
                <w:rFonts w:cs="Arial"/>
                <w:b/>
                <w:color w:val="000000"/>
                <w:sz w:val="13"/>
                <w:szCs w:val="13"/>
              </w:rPr>
            </w:pPr>
            <w:r w:rsidRPr="0088782A">
              <w:rPr>
                <w:rFonts w:cs="Arial"/>
                <w:b/>
                <w:color w:val="000000"/>
                <w:sz w:val="13"/>
                <w:szCs w:val="13"/>
              </w:rPr>
              <w:t xml:space="preserve">1,248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5DD090F4" w14:textId="77777777">
            <w:pPr>
              <w:pStyle w:val="tablebody"/>
              <w:jc w:val="right"/>
              <w:rPr>
                <w:rFonts w:cs="Arial"/>
                <w:b/>
                <w:color w:val="000000"/>
                <w:sz w:val="13"/>
                <w:szCs w:val="13"/>
              </w:rPr>
            </w:pPr>
            <w:r w:rsidRPr="0088782A">
              <w:rPr>
                <w:rFonts w:cs="Arial"/>
                <w:b/>
                <w:color w:val="000000"/>
                <w:sz w:val="13"/>
                <w:szCs w:val="13"/>
              </w:rPr>
              <w:t xml:space="preserve">1,597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2555CD83" w14:textId="77777777">
            <w:pPr>
              <w:pStyle w:val="tablebody"/>
              <w:jc w:val="right"/>
              <w:rPr>
                <w:rFonts w:cs="Arial"/>
                <w:b/>
                <w:color w:val="000000"/>
                <w:sz w:val="13"/>
                <w:szCs w:val="13"/>
              </w:rPr>
            </w:pPr>
            <w:r w:rsidRPr="0088782A">
              <w:rPr>
                <w:rFonts w:cs="Arial"/>
                <w:b/>
                <w:color w:val="000000"/>
                <w:sz w:val="13"/>
                <w:szCs w:val="13"/>
              </w:rPr>
              <w:t xml:space="preserve">380 </w:t>
            </w:r>
          </w:p>
        </w:tc>
        <w:tc>
          <w:tcPr>
            <w:tcW w:w="793"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7B9F181" w14:textId="77777777">
            <w:pPr>
              <w:pStyle w:val="tablebody"/>
              <w:jc w:val="right"/>
              <w:rPr>
                <w:rFonts w:cs="Arial"/>
                <w:b/>
                <w:color w:val="000000"/>
                <w:sz w:val="13"/>
                <w:szCs w:val="13"/>
              </w:rPr>
            </w:pPr>
            <w:r w:rsidRPr="0088782A">
              <w:rPr>
                <w:rFonts w:cs="Arial"/>
                <w:b/>
                <w:color w:val="000000"/>
                <w:sz w:val="13"/>
                <w:szCs w:val="13"/>
              </w:rPr>
              <w:t xml:space="preserve">461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6372D6AD" w14:textId="77777777">
            <w:pPr>
              <w:pStyle w:val="tablebody"/>
              <w:jc w:val="right"/>
              <w:rPr>
                <w:rFonts w:cs="Arial"/>
                <w:b/>
                <w:color w:val="000000"/>
                <w:sz w:val="13"/>
                <w:szCs w:val="13"/>
              </w:rPr>
            </w:pPr>
            <w:r w:rsidRPr="0088782A">
              <w:rPr>
                <w:rFonts w:cs="Arial"/>
                <w:b/>
                <w:color w:val="000000"/>
                <w:sz w:val="13"/>
                <w:szCs w:val="13"/>
              </w:rPr>
              <w:t xml:space="preserve">80,973 </w:t>
            </w:r>
          </w:p>
        </w:tc>
        <w:tc>
          <w:tcPr>
            <w:tcW w:w="794" w:type="dxa"/>
            <w:tcBorders>
              <w:top w:val="single" w:color="000000" w:sz="6" w:space="0"/>
              <w:left w:val="nil"/>
              <w:bottom w:val="single" w:color="000000" w:sz="12" w:space="0"/>
              <w:right w:val="nil"/>
            </w:tcBorders>
            <w:tcMar>
              <w:top w:w="0" w:type="dxa"/>
              <w:left w:w="0" w:type="dxa"/>
              <w:bottom w:w="17" w:type="dxa"/>
              <w:right w:w="0" w:type="dxa"/>
            </w:tcMar>
          </w:tcPr>
          <w:p w:rsidRPr="0088782A" w:rsidR="00A96D3F" w:rsidP="00A96D3F" w:rsidRDefault="00A96D3F" w14:paraId="47A28B81" w14:textId="77777777">
            <w:pPr>
              <w:pStyle w:val="tablebody"/>
              <w:jc w:val="right"/>
              <w:rPr>
                <w:rFonts w:cs="Arial"/>
                <w:b/>
                <w:color w:val="000000"/>
                <w:sz w:val="13"/>
                <w:szCs w:val="13"/>
              </w:rPr>
            </w:pPr>
            <w:r w:rsidRPr="0088782A">
              <w:rPr>
                <w:rFonts w:cs="Arial"/>
                <w:b/>
                <w:color w:val="000000"/>
                <w:sz w:val="13"/>
                <w:szCs w:val="13"/>
              </w:rPr>
              <w:t xml:space="preserve">27,512 </w:t>
            </w:r>
          </w:p>
        </w:tc>
      </w:tr>
      <w:tr w:rsidRPr="0088782A" w:rsidR="00A96D3F" w:rsidTr="0088782A" w14:paraId="23508866" w14:textId="77777777">
        <w:trPr>
          <w:trHeight w:val="113"/>
        </w:trPr>
        <w:tc>
          <w:tcPr>
            <w:tcW w:w="3686"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32BC4F1D" w14:textId="77777777">
            <w:pPr>
              <w:pStyle w:val="tablebody"/>
              <w:rPr>
                <w:rFonts w:cs="Arial"/>
                <w:b/>
                <w:color w:val="000000"/>
                <w:sz w:val="13"/>
                <w:szCs w:val="13"/>
              </w:rPr>
            </w:pPr>
            <w:r w:rsidRPr="0088782A">
              <w:rPr>
                <w:rFonts w:cs="Arial"/>
                <w:b/>
                <w:color w:val="000000"/>
                <w:sz w:val="13"/>
                <w:szCs w:val="13"/>
              </w:rPr>
              <w:t>Total administered net assets</w:t>
            </w:r>
          </w:p>
        </w:tc>
        <w:tc>
          <w:tcPr>
            <w:tcW w:w="481"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7D33D57C" w14:textId="77777777">
            <w:pPr>
              <w:pStyle w:val="tablebody"/>
              <w:jc w:val="right"/>
              <w:rPr>
                <w:rFonts w:cs="Arial"/>
                <w:b/>
                <w:color w:val="000000"/>
                <w:sz w:val="13"/>
                <w:szCs w:val="13"/>
              </w:rPr>
            </w:pPr>
            <w:r w:rsidRPr="0088782A">
              <w:rPr>
                <w:rFonts w:cs="Arial"/>
                <w:b/>
                <w:color w:val="000000"/>
                <w:sz w:val="13"/>
                <w:szCs w:val="13"/>
              </w:rPr>
              <w:t xml:space="preserve">22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489200F7" w14:textId="77777777">
            <w:pPr>
              <w:pStyle w:val="tablebody"/>
              <w:jc w:val="right"/>
              <w:rPr>
                <w:rFonts w:cs="Arial"/>
                <w:b/>
                <w:color w:val="000000"/>
                <w:sz w:val="13"/>
                <w:szCs w:val="13"/>
              </w:rPr>
            </w:pPr>
            <w:r w:rsidRPr="0088782A">
              <w:rPr>
                <w:rFonts w:cs="Arial"/>
                <w:b/>
                <w:color w:val="000000"/>
                <w:sz w:val="13"/>
                <w:szCs w:val="13"/>
              </w:rPr>
              <w:t xml:space="preserve">1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243BD495" w14:textId="77777777">
            <w:pPr>
              <w:pStyle w:val="tablebody"/>
              <w:jc w:val="right"/>
              <w:rPr>
                <w:rFonts w:cs="Arial"/>
                <w:b/>
                <w:color w:val="000000"/>
                <w:sz w:val="13"/>
                <w:szCs w:val="13"/>
              </w:rPr>
            </w:pPr>
            <w:r w:rsidRPr="0088782A">
              <w:rPr>
                <w:rFonts w:cs="Arial"/>
                <w:b/>
                <w:color w:val="000000"/>
                <w:sz w:val="13"/>
                <w:szCs w:val="13"/>
              </w:rPr>
              <w:t xml:space="preserve">1,987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26570B3B" w14:textId="77777777">
            <w:pPr>
              <w:pStyle w:val="tablebody"/>
              <w:jc w:val="right"/>
              <w:rPr>
                <w:rFonts w:cs="Arial"/>
                <w:b/>
                <w:color w:val="000000"/>
                <w:sz w:val="13"/>
                <w:szCs w:val="13"/>
              </w:rPr>
            </w:pPr>
            <w:r w:rsidRPr="0088782A">
              <w:rPr>
                <w:rFonts w:cs="Arial"/>
                <w:b/>
                <w:color w:val="000000"/>
                <w:sz w:val="13"/>
                <w:szCs w:val="13"/>
              </w:rPr>
              <w:t xml:space="preserve">2,287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7456ABA0" w14:textId="77777777">
            <w:pPr>
              <w:pStyle w:val="tablebody"/>
              <w:jc w:val="right"/>
              <w:rPr>
                <w:rFonts w:cs="Arial"/>
                <w:b/>
                <w:color w:val="000000"/>
                <w:sz w:val="13"/>
                <w:szCs w:val="13"/>
              </w:rPr>
            </w:pPr>
            <w:r w:rsidRPr="0088782A">
              <w:rPr>
                <w:rFonts w:cs="Arial"/>
                <w:b/>
                <w:color w:val="000000"/>
                <w:sz w:val="13"/>
                <w:szCs w:val="13"/>
              </w:rPr>
              <w:t xml:space="preserve">(4)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3C03071F" w14:textId="77777777">
            <w:pPr>
              <w:pStyle w:val="tablebody"/>
              <w:jc w:val="right"/>
              <w:rPr>
                <w:rFonts w:cs="Arial"/>
                <w:b/>
                <w:color w:val="000000"/>
                <w:sz w:val="13"/>
                <w:szCs w:val="13"/>
              </w:rPr>
            </w:pPr>
            <w:r w:rsidRPr="0088782A">
              <w:rPr>
                <w:rFonts w:cs="Arial"/>
                <w:b/>
                <w:color w:val="000000"/>
                <w:sz w:val="13"/>
                <w:szCs w:val="13"/>
              </w:rPr>
              <w:t xml:space="preserve">0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5B34FC9D" w14:textId="77777777">
            <w:pPr>
              <w:pStyle w:val="tablebody"/>
              <w:jc w:val="right"/>
              <w:rPr>
                <w:rFonts w:cs="Arial"/>
                <w:b/>
                <w:color w:val="000000"/>
                <w:sz w:val="13"/>
                <w:szCs w:val="13"/>
              </w:rPr>
            </w:pPr>
            <w:r w:rsidRPr="0088782A">
              <w:rPr>
                <w:rFonts w:cs="Arial"/>
                <w:b/>
                <w:color w:val="000000"/>
                <w:sz w:val="13"/>
                <w:szCs w:val="13"/>
              </w:rPr>
              <w:t xml:space="preserve">1,309,325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ACBF066" w14:textId="77777777">
            <w:pPr>
              <w:pStyle w:val="tablebody"/>
              <w:jc w:val="right"/>
              <w:rPr>
                <w:rFonts w:cs="Arial"/>
                <w:b/>
                <w:color w:val="000000"/>
                <w:sz w:val="13"/>
                <w:szCs w:val="13"/>
              </w:rPr>
            </w:pPr>
            <w:r w:rsidRPr="0088782A">
              <w:rPr>
                <w:rFonts w:cs="Arial"/>
                <w:b/>
                <w:color w:val="000000"/>
                <w:sz w:val="13"/>
                <w:szCs w:val="13"/>
              </w:rPr>
              <w:t xml:space="preserve">1,462,796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CD238F9" w14:textId="77777777">
            <w:pPr>
              <w:pStyle w:val="tablebody"/>
              <w:jc w:val="right"/>
              <w:rPr>
                <w:rFonts w:cs="Arial"/>
                <w:b/>
                <w:color w:val="000000"/>
                <w:sz w:val="13"/>
                <w:szCs w:val="13"/>
              </w:rPr>
            </w:pPr>
            <w:r w:rsidRPr="0088782A">
              <w:rPr>
                <w:rFonts w:cs="Arial"/>
                <w:b/>
                <w:color w:val="000000"/>
                <w:sz w:val="13"/>
                <w:szCs w:val="13"/>
              </w:rPr>
              <w:t xml:space="preserve">13,374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47E0599C" w14:textId="77777777">
            <w:pPr>
              <w:pStyle w:val="tablebody"/>
              <w:jc w:val="right"/>
              <w:rPr>
                <w:rFonts w:cs="Arial"/>
                <w:b/>
                <w:color w:val="000000"/>
                <w:sz w:val="13"/>
                <w:szCs w:val="13"/>
              </w:rPr>
            </w:pPr>
            <w:r w:rsidRPr="0088782A">
              <w:rPr>
                <w:rFonts w:cs="Arial"/>
                <w:b/>
                <w:color w:val="000000"/>
                <w:sz w:val="13"/>
                <w:szCs w:val="13"/>
              </w:rPr>
              <w:t xml:space="preserve">5,901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04DA9582" w14:textId="77777777">
            <w:pPr>
              <w:pStyle w:val="tablebody"/>
              <w:jc w:val="right"/>
              <w:rPr>
                <w:rFonts w:cs="Arial"/>
                <w:b/>
                <w:color w:val="000000"/>
                <w:sz w:val="13"/>
                <w:szCs w:val="13"/>
              </w:rPr>
            </w:pPr>
            <w:r w:rsidRPr="0088782A">
              <w:rPr>
                <w:rFonts w:cs="Arial"/>
                <w:b/>
                <w:color w:val="000000"/>
                <w:sz w:val="13"/>
                <w:szCs w:val="13"/>
              </w:rPr>
              <w:t xml:space="preserve">723,902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50A65BEA" w14:textId="77777777">
            <w:pPr>
              <w:pStyle w:val="tablebody"/>
              <w:jc w:val="right"/>
              <w:rPr>
                <w:rFonts w:cs="Arial"/>
                <w:b/>
                <w:color w:val="000000"/>
                <w:sz w:val="13"/>
                <w:szCs w:val="13"/>
              </w:rPr>
            </w:pPr>
            <w:r w:rsidRPr="0088782A">
              <w:rPr>
                <w:rFonts w:cs="Arial"/>
                <w:b/>
                <w:color w:val="000000"/>
                <w:sz w:val="13"/>
                <w:szCs w:val="13"/>
              </w:rPr>
              <w:t xml:space="preserve">662,367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92108FC" w14:textId="77777777">
            <w:pPr>
              <w:pStyle w:val="tablebody"/>
              <w:jc w:val="right"/>
              <w:rPr>
                <w:rFonts w:cs="Arial"/>
                <w:b/>
                <w:color w:val="000000"/>
                <w:sz w:val="13"/>
                <w:szCs w:val="13"/>
              </w:rPr>
            </w:pPr>
            <w:r w:rsidRPr="0088782A">
              <w:rPr>
                <w:rFonts w:cs="Arial"/>
                <w:b/>
                <w:color w:val="000000"/>
                <w:sz w:val="13"/>
                <w:szCs w:val="13"/>
              </w:rPr>
              <w:t xml:space="preserve">1 </w:t>
            </w:r>
          </w:p>
        </w:tc>
        <w:tc>
          <w:tcPr>
            <w:tcW w:w="793"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23627162" w14:textId="77777777">
            <w:pPr>
              <w:pStyle w:val="tablebody"/>
              <w:jc w:val="right"/>
              <w:rPr>
                <w:rFonts w:cs="Arial"/>
                <w:b/>
                <w:color w:val="000000"/>
                <w:sz w:val="13"/>
                <w:szCs w:val="13"/>
              </w:rPr>
            </w:pPr>
            <w:r w:rsidRPr="0088782A">
              <w:rPr>
                <w:rFonts w:cs="Arial"/>
                <w:b/>
                <w:color w:val="000000"/>
                <w:sz w:val="13"/>
                <w:szCs w:val="13"/>
              </w:rPr>
              <w:t xml:space="preserve">11,113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12A47B2B" w14:textId="77777777">
            <w:pPr>
              <w:pStyle w:val="tablebody"/>
              <w:jc w:val="right"/>
              <w:rPr>
                <w:rFonts w:cs="Arial"/>
                <w:b/>
                <w:color w:val="000000"/>
                <w:sz w:val="13"/>
                <w:szCs w:val="13"/>
              </w:rPr>
            </w:pPr>
            <w:r w:rsidRPr="0088782A">
              <w:rPr>
                <w:rFonts w:cs="Arial"/>
                <w:b/>
                <w:color w:val="000000"/>
                <w:sz w:val="13"/>
                <w:szCs w:val="13"/>
              </w:rPr>
              <w:t xml:space="preserve">2,048,607 </w:t>
            </w:r>
          </w:p>
        </w:tc>
        <w:tc>
          <w:tcPr>
            <w:tcW w:w="794" w:type="dxa"/>
            <w:tcBorders>
              <w:top w:val="single" w:color="000000" w:sz="12" w:space="0"/>
              <w:left w:val="nil"/>
              <w:bottom w:val="single" w:color="000000" w:sz="12" w:space="0"/>
              <w:right w:val="nil"/>
            </w:tcBorders>
            <w:tcMar>
              <w:top w:w="0" w:type="dxa"/>
              <w:left w:w="0" w:type="dxa"/>
              <w:bottom w:w="17" w:type="dxa"/>
              <w:right w:w="0" w:type="dxa"/>
            </w:tcMar>
          </w:tcPr>
          <w:p w:rsidRPr="0088782A" w:rsidR="00A96D3F" w:rsidP="00A96D3F" w:rsidRDefault="00A96D3F" w14:paraId="4B15EDCC" w14:textId="77777777">
            <w:pPr>
              <w:pStyle w:val="tablebody"/>
              <w:jc w:val="right"/>
              <w:rPr>
                <w:rFonts w:cs="Arial"/>
                <w:b/>
                <w:color w:val="000000"/>
                <w:sz w:val="13"/>
                <w:szCs w:val="13"/>
              </w:rPr>
            </w:pPr>
            <w:r w:rsidRPr="0088782A">
              <w:rPr>
                <w:rFonts w:cs="Arial"/>
                <w:b/>
                <w:color w:val="000000"/>
                <w:sz w:val="13"/>
                <w:szCs w:val="13"/>
              </w:rPr>
              <w:t xml:space="preserve">2,144,465 </w:t>
            </w:r>
          </w:p>
        </w:tc>
      </w:tr>
    </w:tbl>
    <w:p w:rsidRPr="00293DB6" w:rsidR="00A96D3F" w:rsidP="00293DB6" w:rsidRDefault="00A96D3F" w14:paraId="0CE53ED2" w14:textId="2F65DE90">
      <w:pPr>
        <w:pStyle w:val="notes"/>
        <w:numPr>
          <w:ilvl w:val="0"/>
          <w:numId w:val="6"/>
        </w:numPr>
        <w:spacing w:after="0"/>
        <w:ind w:left="-1134" w:right="-335" w:hanging="295"/>
        <w:rPr>
          <w:sz w:val="14"/>
          <w:szCs w:val="14"/>
        </w:rPr>
      </w:pPr>
      <w:r w:rsidRPr="00293DB6">
        <w:rPr>
          <w:sz w:val="14"/>
          <w:szCs w:val="14"/>
        </w:rPr>
        <w:t xml:space="preserve">The department implemented a new infringement management system on 31 December 2017 to coincide with legislative changes made under the </w:t>
      </w:r>
      <w:r w:rsidRPr="00293DB6">
        <w:rPr>
          <w:i/>
          <w:iCs/>
          <w:sz w:val="14"/>
          <w:szCs w:val="14"/>
        </w:rPr>
        <w:t>Fines Reform Act 2014</w:t>
      </w:r>
      <w:r w:rsidRPr="00293DB6">
        <w:rPr>
          <w:sz w:val="14"/>
          <w:szCs w:val="14"/>
        </w:rPr>
        <w:t>.  The new system has had issues producing system generated financial reports.  However, the department has received independent assurance reports over the operations of the new infringement penalty system and a third party has verified the accuracy of the infringement penalty revenue recorded in the system.  The department is working through a number of options to finalise the outstanding financial reports required for its business needs.</w:t>
      </w:r>
    </w:p>
    <w:p w:rsidRPr="00293DB6" w:rsidR="00A96D3F" w:rsidP="00293DB6" w:rsidRDefault="00A96D3F" w14:paraId="51A7C1F3" w14:textId="77777777">
      <w:pPr>
        <w:pStyle w:val="notes"/>
        <w:numPr>
          <w:ilvl w:val="0"/>
          <w:numId w:val="6"/>
        </w:numPr>
        <w:spacing w:after="0"/>
        <w:ind w:left="-1134" w:right="-335" w:hanging="295"/>
        <w:rPr>
          <w:sz w:val="14"/>
          <w:szCs w:val="14"/>
        </w:rPr>
      </w:pPr>
      <w:r w:rsidRPr="00293DB6">
        <w:rPr>
          <w:sz w:val="14"/>
          <w:szCs w:val="14"/>
        </w:rPr>
        <w:t>Administered income from transactions includes fines and fees.  Fines income mainly relates to traffic camera fines and on-the-spot fines issued by Victoria Police, which are recognised upon the issuance of infringement notices.  Fees income mainly relates to the fees charged in association with the collection of infringement notice fines, which are recognised upon the issuance of penalty reminder notices, notices of final demand and enforcement warrants.</w:t>
      </w:r>
    </w:p>
    <w:p w:rsidRPr="00293DB6" w:rsidR="00A96D3F" w:rsidP="00293DB6" w:rsidRDefault="00A96D3F" w14:paraId="2BC861F1" w14:textId="77777777">
      <w:pPr>
        <w:pStyle w:val="notes"/>
        <w:numPr>
          <w:ilvl w:val="0"/>
          <w:numId w:val="6"/>
        </w:numPr>
        <w:spacing w:after="0"/>
        <w:ind w:left="-1134" w:right="-335" w:hanging="295"/>
        <w:rPr>
          <w:sz w:val="14"/>
          <w:szCs w:val="14"/>
        </w:rPr>
      </w:pPr>
      <w:r w:rsidRPr="00293DB6">
        <w:rPr>
          <w:sz w:val="14"/>
          <w:szCs w:val="14"/>
        </w:rPr>
        <w:t xml:space="preserve">Administered expenses from transactions include payments made on behalf of the State and payments into the consolidated fund.  </w:t>
      </w:r>
    </w:p>
    <w:p w:rsidRPr="00293DB6" w:rsidR="00A96D3F" w:rsidP="00293DB6" w:rsidRDefault="00A96D3F" w14:paraId="41622C26" w14:textId="77777777">
      <w:pPr>
        <w:pStyle w:val="notes"/>
        <w:numPr>
          <w:ilvl w:val="0"/>
          <w:numId w:val="6"/>
        </w:numPr>
        <w:spacing w:after="0"/>
        <w:ind w:left="-1134" w:right="-335" w:hanging="295"/>
        <w:rPr>
          <w:sz w:val="14"/>
          <w:szCs w:val="14"/>
        </w:rPr>
      </w:pPr>
      <w:r w:rsidRPr="00293DB6">
        <w:rPr>
          <w:sz w:val="14"/>
          <w:szCs w:val="14"/>
        </w:rPr>
        <w:t>Administered other economic flows included in administered net result includes the net gain/(loss) on financial instruments that mainly relates to movements in the allowance for impairment losses of receivables.</w:t>
      </w:r>
    </w:p>
    <w:p w:rsidRPr="00293DB6" w:rsidR="00A96D3F" w:rsidP="00293DB6" w:rsidRDefault="00A96D3F" w14:paraId="6E448039" w14:textId="77777777">
      <w:pPr>
        <w:pStyle w:val="notes"/>
        <w:numPr>
          <w:ilvl w:val="0"/>
          <w:numId w:val="6"/>
        </w:numPr>
        <w:spacing w:after="0"/>
        <w:ind w:left="-1134" w:right="-335" w:hanging="295"/>
        <w:rPr>
          <w:rFonts w:cs="Times New Roman (Body CS)"/>
          <w:spacing w:val="-3"/>
          <w:sz w:val="14"/>
          <w:szCs w:val="14"/>
        </w:rPr>
      </w:pPr>
      <w:r w:rsidRPr="00293DB6">
        <w:rPr>
          <w:rFonts w:cs="Times New Roman (Body CS)"/>
          <w:spacing w:val="-3"/>
          <w:sz w:val="14"/>
          <w:szCs w:val="14"/>
        </w:rPr>
        <w:t>Administered assets include government income earned but yet to be collected, such as receivables that relate to unpaid fines, fees, sale of goods and services and other income. Some management judgements and estimates have been made for receivables relating to fines revenue, whereby an analysis of third party data, database queries and predictive analysis was undertaken to ensure the completeness and accuracy of debts in the infringement management system, and an allowance for impairment losses has been estimated based on an analysis of clearance rates, recovery rates and aged debts. Administered assets also includes equity investments that represent the State’s capital investment in other justice portfolio entities that are controlled by the State.</w:t>
      </w:r>
    </w:p>
    <w:p w:rsidR="00A96D3F" w:rsidP="00171400" w:rsidRDefault="00A96D3F" w14:paraId="44340D39" w14:textId="0A01AC9C">
      <w:pPr>
        <w:pStyle w:val="notes"/>
        <w:numPr>
          <w:ilvl w:val="0"/>
          <w:numId w:val="6"/>
        </w:numPr>
        <w:spacing w:after="0"/>
        <w:ind w:left="-1134" w:right="-477" w:hanging="284"/>
      </w:pPr>
      <w:r w:rsidRPr="00293DB6">
        <w:rPr>
          <w:sz w:val="14"/>
          <w:szCs w:val="14"/>
        </w:rPr>
        <w:t>Administered liabilities include government expenses incurred but yet to be paid.</w:t>
      </w:r>
    </w:p>
    <w:p w:rsidR="00045808" w:rsidP="00047807" w:rsidRDefault="00045808" w14:paraId="2C678D5A" w14:textId="1BA68067">
      <w:pPr>
        <w:sectPr w:rsidR="00045808" w:rsidSect="00045808">
          <w:headerReference r:id="rId14" w:type="default"/>
          <w:pgSz w:w="16817" w:h="11901" w:orient="landscape"/>
          <w:pgMar w:top="851" w:right="851" w:bottom="851" w:left="1701" w:header="0" w:footer="284" w:gutter="0"/>
          <w:cols w:space="720"/>
          <w:docGrid w:linePitch="360"/>
          <w15:footnoteColumns w:val="1"/>
        </w:sectPr>
      </w:pPr>
    </w:p>
    <w:p w:rsidRPr="00F40F10" w:rsidR="00F40F10" w:rsidP="00F40F10" w:rsidRDefault="00F40F10" w14:paraId="59FF3BC7" w14:textId="1BD39CA9">
      <w:pPr>
        <w:pStyle w:val="Heading3"/>
      </w:pPr>
      <w:r w:rsidRPr="00F40F10">
        <w:lastRenderedPageBreak/>
        <w:t>4.4 Restructuring of administrative arrangements</w:t>
      </w:r>
    </w:p>
    <w:p w:rsidRPr="00F40F10" w:rsidR="00F40F10" w:rsidP="00F40F10" w:rsidRDefault="00F40F10" w14:paraId="2FA5368F" w14:textId="77777777">
      <w:pPr>
        <w:pStyle w:val="Heading4"/>
      </w:pPr>
      <w:r w:rsidRPr="00F40F10">
        <w:t>Transfer of net assets to the Department of Jobs, Precincts and Regions</w:t>
      </w:r>
    </w:p>
    <w:p w:rsidRPr="00F40F10" w:rsidR="00F40F10" w:rsidP="00F40F10" w:rsidRDefault="00F40F10" w14:paraId="702AC9B0" w14:textId="77777777">
      <w:r w:rsidRPr="00F40F10">
        <w:t>On 1 January 2019, the responsibility for the administrative arrangements of racing activities transferred from the Department of Justice and Community Safety to the Department of Jobs, Precincts and Regions, as a result of a machinery of government change, in accordance with the administrative arrangements order (no. 229) 2018.</w:t>
      </w:r>
    </w:p>
    <w:p w:rsidRPr="00F40F10" w:rsidR="00F40F10" w:rsidP="00F40F10" w:rsidRDefault="00F40F10" w14:paraId="6DB9FD8D" w14:textId="202DC4A1">
      <w:r w:rsidRPr="00F40F10">
        <w:t>As a result of the administrative restructure, the following net assets were transferred from the Department of Justice and Community Safety to the Department of Jobs, Precincts and Regions at their carrying amounts at the date of transfer using contributed capital.</w:t>
      </w:r>
    </w:p>
    <w:tbl>
      <w:tblPr>
        <w:tblW w:w="0" w:type="auto"/>
        <w:tblLayout w:type="fixed"/>
        <w:tblCellMar>
          <w:left w:w="0" w:type="dxa"/>
          <w:right w:w="0" w:type="dxa"/>
        </w:tblCellMar>
        <w:tblLook w:firstRow="1" w:lastRow="0" w:firstColumn="0" w:lastColumn="0" w:noHBand="0" w:noVBand="0" w:val="0020"/>
      </w:tblPr>
      <w:tblGrid>
        <w:gridCol w:w="283"/>
        <w:gridCol w:w="8221"/>
        <w:gridCol w:w="1417"/>
      </w:tblGrid>
      <w:tr w:rsidRPr="006623A9" w:rsidR="00F40F10" w:rsidTr="0088782A" w14:paraId="6C71CA33" w14:textId="77777777">
        <w:trPr>
          <w:tblHeader/>
        </w:trPr>
        <w:tc>
          <w:tcPr>
            <w:tcW w:w="283" w:type="dxa"/>
            <w:tcBorders>
              <w:top w:val="nil"/>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1340EC62" w14:textId="77777777">
            <w:pPr>
              <w:pStyle w:val="tablebody"/>
              <w:rPr>
                <w:b/>
                <w:lang w:val="en-US"/>
              </w:rPr>
            </w:pPr>
          </w:p>
        </w:tc>
        <w:tc>
          <w:tcPr>
            <w:tcW w:w="8221" w:type="dxa"/>
            <w:tcBorders>
              <w:top w:val="nil"/>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3CB91D48" w14:textId="77777777">
            <w:pPr>
              <w:pStyle w:val="tablebody"/>
              <w:rPr>
                <w:b/>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24A5170B" w14:textId="77777777">
            <w:pPr>
              <w:pStyle w:val="tablebody"/>
              <w:jc w:val="right"/>
              <w:rPr>
                <w:b/>
              </w:rPr>
            </w:pPr>
            <w:r w:rsidRPr="006623A9">
              <w:rPr>
                <w:b/>
              </w:rPr>
              <w:t>($ thousand)</w:t>
            </w:r>
          </w:p>
        </w:tc>
      </w:tr>
      <w:tr w:rsidRPr="006623A9" w:rsidR="00F40F10" w:rsidTr="0088782A" w14:paraId="0E994D7F"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6466F21F" w14:textId="77777777">
            <w:pPr>
              <w:pStyle w:val="tablebody"/>
              <w:rPr>
                <w:b/>
                <w:lang w:val="en-US"/>
              </w:rPr>
            </w:pPr>
          </w:p>
        </w:tc>
        <w:tc>
          <w:tcPr>
            <w:tcW w:w="822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5C63892B"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719224C3" w14:textId="77777777">
            <w:pPr>
              <w:pStyle w:val="tablebody"/>
              <w:jc w:val="right"/>
              <w:rPr>
                <w:b/>
              </w:rPr>
            </w:pPr>
            <w:r w:rsidRPr="006623A9">
              <w:rPr>
                <w:b/>
              </w:rPr>
              <w:t>2019</w:t>
            </w:r>
          </w:p>
        </w:tc>
      </w:tr>
      <w:tr w:rsidRPr="006623A9" w:rsidR="00F40F10" w:rsidTr="0088782A" w14:paraId="697D9FEC" w14:textId="77777777">
        <w:tc>
          <w:tcPr>
            <w:tcW w:w="8504" w:type="dxa"/>
            <w:gridSpan w:val="2"/>
            <w:tcBorders>
              <w:top w:val="single" w:color="000000" w:sz="6" w:space="0"/>
              <w:left w:val="nil"/>
              <w:bottom w:val="nil"/>
              <w:right w:val="nil"/>
            </w:tcBorders>
            <w:tcMar>
              <w:top w:w="57" w:type="dxa"/>
              <w:left w:w="0" w:type="dxa"/>
              <w:bottom w:w="57" w:type="dxa"/>
              <w:right w:w="0" w:type="dxa"/>
            </w:tcMar>
            <w:vAlign w:val="bottom"/>
          </w:tcPr>
          <w:p w:rsidRPr="006623A9" w:rsidR="00F40F10" w:rsidP="006623A9" w:rsidRDefault="00F40F10" w14:paraId="2A3EAFF8" w14:textId="77777777">
            <w:pPr>
              <w:pStyle w:val="tablebody"/>
              <w:rPr>
                <w:b/>
              </w:rPr>
            </w:pPr>
            <w:r w:rsidRPr="006623A9">
              <w:rPr>
                <w:b/>
              </w:rPr>
              <w:t>Controlled</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6623A9" w:rsidR="00F40F10" w:rsidP="006623A9" w:rsidRDefault="00F40F10" w14:paraId="41F184BA" w14:textId="77777777">
            <w:pPr>
              <w:pStyle w:val="tablebody"/>
              <w:jc w:val="right"/>
              <w:rPr>
                <w:b/>
                <w:lang w:val="en-US"/>
              </w:rPr>
            </w:pPr>
          </w:p>
        </w:tc>
      </w:tr>
      <w:tr w:rsidRPr="006623A9" w:rsidR="00F40F10" w:rsidTr="0088782A" w14:paraId="1CFE4228" w14:textId="77777777">
        <w:tc>
          <w:tcPr>
            <w:tcW w:w="8504" w:type="dxa"/>
            <w:gridSpan w:val="2"/>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136CFE19" w14:textId="77777777">
            <w:pPr>
              <w:pStyle w:val="tablebody"/>
              <w:rPr>
                <w:b/>
              </w:rPr>
            </w:pPr>
            <w:r w:rsidRPr="006623A9">
              <w:rPr>
                <w:b/>
              </w:rPr>
              <w:t>Assets</w:t>
            </w:r>
          </w:p>
        </w:tc>
        <w:tc>
          <w:tcPr>
            <w:tcW w:w="1417" w:type="dxa"/>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575CC4FF" w14:textId="77777777">
            <w:pPr>
              <w:pStyle w:val="tablebody"/>
              <w:jc w:val="right"/>
              <w:rPr>
                <w:b/>
                <w:lang w:val="en-US"/>
              </w:rPr>
            </w:pPr>
          </w:p>
        </w:tc>
      </w:tr>
      <w:tr w:rsidRPr="00F40F10" w:rsidR="00F40F10" w:rsidTr="0088782A" w14:paraId="083D37F0" w14:textId="77777777">
        <w:tc>
          <w:tcPr>
            <w:tcW w:w="283"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613CB200" w14:textId="77777777">
            <w:pPr>
              <w:pStyle w:val="tablebody"/>
              <w:rPr>
                <w:lang w:val="en-US"/>
              </w:rPr>
            </w:pPr>
          </w:p>
        </w:tc>
        <w:tc>
          <w:tcPr>
            <w:tcW w:w="8221"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7085900D" w14:textId="77777777">
            <w:pPr>
              <w:pStyle w:val="tablebody"/>
            </w:pPr>
            <w:r w:rsidRPr="00F40F10">
              <w:t>Receivables</w:t>
            </w:r>
          </w:p>
        </w:tc>
        <w:tc>
          <w:tcPr>
            <w:tcW w:w="1417"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4EF42BB2" w14:textId="77777777">
            <w:pPr>
              <w:pStyle w:val="tablebody"/>
              <w:jc w:val="right"/>
            </w:pPr>
            <w:r w:rsidRPr="00F40F10">
              <w:t xml:space="preserve">390 </w:t>
            </w:r>
          </w:p>
        </w:tc>
      </w:tr>
      <w:tr w:rsidRPr="00F40F10" w:rsidR="00F40F10" w:rsidTr="0088782A" w14:paraId="5B85C8C9" w14:textId="77777777">
        <w:tc>
          <w:tcPr>
            <w:tcW w:w="283"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2F97B7B9" w14:textId="77777777">
            <w:pPr>
              <w:pStyle w:val="tablebody"/>
              <w:rPr>
                <w:lang w:val="en-US"/>
              </w:rPr>
            </w:pPr>
          </w:p>
        </w:tc>
        <w:tc>
          <w:tcPr>
            <w:tcW w:w="8221"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6A6FFD43" w14:textId="77777777">
            <w:pPr>
              <w:pStyle w:val="tablebody"/>
            </w:pPr>
            <w:r w:rsidRPr="00F40F10">
              <w:t>Property, plant and equipment</w:t>
            </w:r>
          </w:p>
        </w:tc>
        <w:tc>
          <w:tcPr>
            <w:tcW w:w="1417"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6553D100" w14:textId="77777777">
            <w:pPr>
              <w:pStyle w:val="tablebody"/>
              <w:jc w:val="right"/>
            </w:pPr>
            <w:r w:rsidRPr="00F40F10">
              <w:t xml:space="preserve">152 </w:t>
            </w:r>
          </w:p>
        </w:tc>
      </w:tr>
      <w:tr w:rsidRPr="006623A9" w:rsidR="00F40F10" w:rsidTr="0088782A" w14:paraId="70173B12" w14:textId="77777777">
        <w:tc>
          <w:tcPr>
            <w:tcW w:w="8504" w:type="dxa"/>
            <w:gridSpan w:val="2"/>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3674B46A" w14:textId="77777777">
            <w:pPr>
              <w:pStyle w:val="tablebody"/>
              <w:rPr>
                <w:b/>
              </w:rPr>
            </w:pPr>
            <w:r w:rsidRPr="006623A9">
              <w:rPr>
                <w:b/>
              </w:rPr>
              <w:t>Liabilities</w:t>
            </w:r>
          </w:p>
        </w:tc>
        <w:tc>
          <w:tcPr>
            <w:tcW w:w="1417" w:type="dxa"/>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363A27D7" w14:textId="77777777">
            <w:pPr>
              <w:pStyle w:val="tablebody"/>
              <w:jc w:val="right"/>
              <w:rPr>
                <w:b/>
                <w:lang w:val="en-US"/>
              </w:rPr>
            </w:pPr>
          </w:p>
        </w:tc>
      </w:tr>
      <w:tr w:rsidRPr="00F40F10" w:rsidR="00F40F10" w:rsidTr="0088782A" w14:paraId="0CA3CFF0" w14:textId="77777777">
        <w:tc>
          <w:tcPr>
            <w:tcW w:w="283"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464204D2" w14:textId="77777777">
            <w:pPr>
              <w:pStyle w:val="tablebody"/>
              <w:rPr>
                <w:lang w:val="en-US"/>
              </w:rPr>
            </w:pPr>
          </w:p>
        </w:tc>
        <w:tc>
          <w:tcPr>
            <w:tcW w:w="8221"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6DBFB9B0" w14:textId="77777777">
            <w:pPr>
              <w:pStyle w:val="tablebody"/>
            </w:pPr>
            <w:r w:rsidRPr="00F40F10">
              <w:t>Payables</w:t>
            </w:r>
          </w:p>
        </w:tc>
        <w:tc>
          <w:tcPr>
            <w:tcW w:w="1417"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6F438720" w14:textId="77777777">
            <w:pPr>
              <w:pStyle w:val="tablebody"/>
              <w:jc w:val="right"/>
            </w:pPr>
            <w:r w:rsidRPr="00F40F10">
              <w:t xml:space="preserve">47 </w:t>
            </w:r>
          </w:p>
        </w:tc>
      </w:tr>
      <w:tr w:rsidRPr="00F40F10" w:rsidR="00F40F10" w:rsidTr="0088782A" w14:paraId="2384E809" w14:textId="77777777">
        <w:tc>
          <w:tcPr>
            <w:tcW w:w="283"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036CE0AA" w14:textId="77777777">
            <w:pPr>
              <w:pStyle w:val="tablebody"/>
              <w:rPr>
                <w:lang w:val="en-US"/>
              </w:rPr>
            </w:pPr>
          </w:p>
        </w:tc>
        <w:tc>
          <w:tcPr>
            <w:tcW w:w="8221"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02F38F43" w14:textId="77777777">
            <w:pPr>
              <w:pStyle w:val="tablebody"/>
            </w:pPr>
            <w:r w:rsidRPr="00F40F10">
              <w:t>Borrowings</w:t>
            </w:r>
          </w:p>
        </w:tc>
        <w:tc>
          <w:tcPr>
            <w:tcW w:w="1417" w:type="dxa"/>
            <w:tcBorders>
              <w:top w:val="nil"/>
              <w:left w:val="nil"/>
              <w:bottom w:val="nil"/>
              <w:right w:val="nil"/>
            </w:tcBorders>
            <w:tcMar>
              <w:top w:w="0" w:type="dxa"/>
              <w:left w:w="0" w:type="dxa"/>
              <w:bottom w:w="57" w:type="dxa"/>
              <w:right w:w="0" w:type="dxa"/>
            </w:tcMar>
            <w:vAlign w:val="bottom"/>
          </w:tcPr>
          <w:p w:rsidRPr="00F40F10" w:rsidR="00F40F10" w:rsidP="006623A9" w:rsidRDefault="00F40F10" w14:paraId="54CBA4FA" w14:textId="77777777">
            <w:pPr>
              <w:pStyle w:val="tablebody"/>
              <w:jc w:val="right"/>
            </w:pPr>
            <w:r w:rsidRPr="00F40F10">
              <w:t xml:space="preserve">39 </w:t>
            </w:r>
          </w:p>
        </w:tc>
      </w:tr>
      <w:tr w:rsidRPr="00F40F10" w:rsidR="00F40F10" w:rsidTr="0088782A" w14:paraId="783D0585" w14:textId="77777777">
        <w:tc>
          <w:tcPr>
            <w:tcW w:w="283"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3CC66A40" w14:textId="77777777">
            <w:pPr>
              <w:pStyle w:val="tablebody"/>
              <w:rPr>
                <w:lang w:val="en-US"/>
              </w:rPr>
            </w:pPr>
          </w:p>
        </w:tc>
        <w:tc>
          <w:tcPr>
            <w:tcW w:w="8221"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22E6EFF2" w14:textId="77777777">
            <w:pPr>
              <w:pStyle w:val="tablebody"/>
            </w:pPr>
            <w:r w:rsidRPr="00F40F10">
              <w:t>Employee benefit provisions</w:t>
            </w: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108FD076" w14:textId="77777777">
            <w:pPr>
              <w:pStyle w:val="tablebody"/>
              <w:jc w:val="right"/>
            </w:pPr>
            <w:r w:rsidRPr="00F40F10">
              <w:t xml:space="preserve">343 </w:t>
            </w:r>
          </w:p>
        </w:tc>
      </w:tr>
      <w:tr w:rsidRPr="00F40F10" w:rsidR="00F40F10" w:rsidTr="0088782A" w14:paraId="7790AAF7"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F40F10" w:rsidR="00F40F10" w:rsidP="006623A9" w:rsidRDefault="00F40F10" w14:paraId="5809CA88" w14:textId="77777777">
            <w:pPr>
              <w:pStyle w:val="tablebody"/>
            </w:pPr>
            <w:r w:rsidRPr="00F40F10">
              <w:t>Controlled net assets transferred</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F40F10" w:rsidR="00F40F10" w:rsidP="006623A9" w:rsidRDefault="00F40F10" w14:paraId="0AABB021" w14:textId="77777777">
            <w:pPr>
              <w:pStyle w:val="tablebody"/>
              <w:jc w:val="right"/>
            </w:pPr>
            <w:r w:rsidRPr="00F40F10">
              <w:t xml:space="preserve">113 </w:t>
            </w:r>
          </w:p>
        </w:tc>
      </w:tr>
      <w:tr w:rsidRPr="006623A9" w:rsidR="00F40F10" w:rsidTr="0088782A" w14:paraId="186AE8FE"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03FBC2CA" w14:textId="77777777">
            <w:pPr>
              <w:pStyle w:val="tablebody"/>
              <w:rPr>
                <w:b/>
              </w:rPr>
            </w:pPr>
            <w:r w:rsidRPr="006623A9">
              <w:rPr>
                <w:b/>
              </w:rPr>
              <w:t>Net capital contribution from the Crown</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6C6C7900" w14:textId="77777777">
            <w:pPr>
              <w:pStyle w:val="tablebody"/>
              <w:jc w:val="right"/>
              <w:rPr>
                <w:b/>
              </w:rPr>
            </w:pPr>
            <w:r w:rsidRPr="006623A9">
              <w:rPr>
                <w:b/>
              </w:rPr>
              <w:t xml:space="preserve">113 </w:t>
            </w:r>
          </w:p>
        </w:tc>
      </w:tr>
      <w:tr w:rsidRPr="006623A9" w:rsidR="00F40F10" w:rsidTr="0088782A" w14:paraId="50199490" w14:textId="77777777">
        <w:tc>
          <w:tcPr>
            <w:tcW w:w="8504" w:type="dxa"/>
            <w:gridSpan w:val="2"/>
            <w:tcBorders>
              <w:top w:val="single" w:color="000000" w:sz="6" w:space="0"/>
              <w:left w:val="nil"/>
              <w:bottom w:val="nil"/>
              <w:right w:val="nil"/>
            </w:tcBorders>
            <w:tcMar>
              <w:top w:w="57" w:type="dxa"/>
              <w:left w:w="0" w:type="dxa"/>
              <w:bottom w:w="57" w:type="dxa"/>
              <w:right w:w="0" w:type="dxa"/>
            </w:tcMar>
            <w:vAlign w:val="bottom"/>
          </w:tcPr>
          <w:p w:rsidRPr="006623A9" w:rsidR="00F40F10" w:rsidP="006623A9" w:rsidRDefault="00F40F10" w14:paraId="587912A4" w14:textId="77777777">
            <w:pPr>
              <w:pStyle w:val="tablebody"/>
              <w:rPr>
                <w:b/>
              </w:rPr>
            </w:pPr>
            <w:r w:rsidRPr="006623A9">
              <w:rPr>
                <w:b/>
              </w:rPr>
              <w:t>Administered</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6623A9" w:rsidR="00F40F10" w:rsidP="006623A9" w:rsidRDefault="00F40F10" w14:paraId="37CD0A86" w14:textId="77777777">
            <w:pPr>
              <w:pStyle w:val="tablebody"/>
              <w:jc w:val="right"/>
              <w:rPr>
                <w:b/>
                <w:lang w:val="en-US"/>
              </w:rPr>
            </w:pPr>
          </w:p>
        </w:tc>
      </w:tr>
      <w:tr w:rsidRPr="006623A9" w:rsidR="00F40F10" w:rsidTr="0088782A" w14:paraId="6B4CE125" w14:textId="77777777">
        <w:tc>
          <w:tcPr>
            <w:tcW w:w="8504" w:type="dxa"/>
            <w:gridSpan w:val="2"/>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00654902" w14:textId="77777777">
            <w:pPr>
              <w:pStyle w:val="tablebody"/>
              <w:rPr>
                <w:b/>
              </w:rPr>
            </w:pPr>
            <w:r w:rsidRPr="006623A9">
              <w:rPr>
                <w:b/>
              </w:rPr>
              <w:t>Assets</w:t>
            </w:r>
          </w:p>
        </w:tc>
        <w:tc>
          <w:tcPr>
            <w:tcW w:w="1417" w:type="dxa"/>
            <w:tcBorders>
              <w:top w:val="nil"/>
              <w:left w:val="nil"/>
              <w:bottom w:val="nil"/>
              <w:right w:val="nil"/>
            </w:tcBorders>
            <w:tcMar>
              <w:top w:w="0" w:type="dxa"/>
              <w:left w:w="0" w:type="dxa"/>
              <w:bottom w:w="57" w:type="dxa"/>
              <w:right w:w="0" w:type="dxa"/>
            </w:tcMar>
            <w:vAlign w:val="bottom"/>
          </w:tcPr>
          <w:p w:rsidRPr="006623A9" w:rsidR="00F40F10" w:rsidP="006623A9" w:rsidRDefault="00F40F10" w14:paraId="48AE8C65" w14:textId="77777777">
            <w:pPr>
              <w:pStyle w:val="tablebody"/>
              <w:jc w:val="right"/>
              <w:rPr>
                <w:b/>
                <w:lang w:val="en-US"/>
              </w:rPr>
            </w:pPr>
          </w:p>
        </w:tc>
      </w:tr>
      <w:tr w:rsidRPr="00F40F10" w:rsidR="00F40F10" w:rsidTr="0088782A" w14:paraId="1BF5FDDC" w14:textId="77777777">
        <w:tc>
          <w:tcPr>
            <w:tcW w:w="283"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7F664A97" w14:textId="77777777">
            <w:pPr>
              <w:pStyle w:val="tablebody"/>
              <w:rPr>
                <w:lang w:val="en-US"/>
              </w:rPr>
            </w:pPr>
          </w:p>
        </w:tc>
        <w:tc>
          <w:tcPr>
            <w:tcW w:w="8221"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12487054" w14:textId="77777777">
            <w:pPr>
              <w:pStyle w:val="tablebody"/>
            </w:pPr>
            <w:r w:rsidRPr="00F40F10">
              <w:t>Equity investments in other State controlled entities</w:t>
            </w: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F40F10" w:rsidR="00F40F10" w:rsidP="006623A9" w:rsidRDefault="00F40F10" w14:paraId="000A0888" w14:textId="77777777">
            <w:pPr>
              <w:pStyle w:val="tablebody"/>
              <w:jc w:val="right"/>
            </w:pPr>
            <w:r w:rsidRPr="00F40F10">
              <w:t xml:space="preserve">11,098 </w:t>
            </w:r>
          </w:p>
        </w:tc>
      </w:tr>
      <w:tr w:rsidRPr="006623A9" w:rsidR="00F40F10" w:rsidTr="0088782A" w14:paraId="42BCF71D"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47189A18" w14:textId="77777777">
            <w:pPr>
              <w:pStyle w:val="tablebody"/>
              <w:rPr>
                <w:b/>
              </w:rPr>
            </w:pPr>
            <w:r w:rsidRPr="006623A9">
              <w:rPr>
                <w:b/>
              </w:rPr>
              <w:t>Administered net assets transferred</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15DC628A" w14:textId="77777777">
            <w:pPr>
              <w:pStyle w:val="tablebody"/>
              <w:jc w:val="right"/>
              <w:rPr>
                <w:b/>
              </w:rPr>
            </w:pPr>
            <w:r w:rsidRPr="006623A9">
              <w:rPr>
                <w:b/>
              </w:rPr>
              <w:t xml:space="preserve">11,098 </w:t>
            </w:r>
          </w:p>
        </w:tc>
      </w:tr>
      <w:tr w:rsidRPr="006623A9" w:rsidR="00F40F10" w:rsidTr="0088782A" w14:paraId="3421397B"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6660E91A" w14:textId="77777777">
            <w:pPr>
              <w:pStyle w:val="tablebody"/>
              <w:rPr>
                <w:b/>
              </w:rPr>
            </w:pPr>
            <w:r w:rsidRPr="006623A9">
              <w:rPr>
                <w:b/>
              </w:rPr>
              <w:t>Net capital contribution from the Crown</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623A9" w:rsidR="00F40F10" w:rsidP="006623A9" w:rsidRDefault="00F40F10" w14:paraId="2EDB74EB" w14:textId="77777777">
            <w:pPr>
              <w:pStyle w:val="tablebody"/>
              <w:jc w:val="right"/>
              <w:rPr>
                <w:b/>
              </w:rPr>
            </w:pPr>
            <w:r w:rsidRPr="006623A9">
              <w:rPr>
                <w:b/>
              </w:rPr>
              <w:t xml:space="preserve">11,098 </w:t>
            </w:r>
          </w:p>
        </w:tc>
      </w:tr>
    </w:tbl>
    <w:p w:rsidRPr="00F40F10" w:rsidR="00F40F10" w:rsidP="00F40F10" w:rsidRDefault="00F40F10" w14:paraId="79A702EA" w14:textId="77777777"/>
    <w:p w:rsidRPr="006623A9" w:rsidR="00F40F10" w:rsidP="006623A9" w:rsidRDefault="00F40F10" w14:paraId="1727C60B" w14:textId="77777777">
      <w:pPr>
        <w:pStyle w:val="Heading4"/>
      </w:pPr>
      <w:r w:rsidRPr="006623A9">
        <w:t>Transfer of net assets from the Department of Health and Human Services</w:t>
      </w:r>
    </w:p>
    <w:p w:rsidRPr="00F40F10" w:rsidR="00F40F10" w:rsidP="00F40F10" w:rsidRDefault="00F40F10" w14:paraId="6BE5515C" w14:textId="77777777">
      <w:r w:rsidRPr="00F40F10">
        <w:t>On 1 January 2019, the responsibility for the administrative arrangements of adoption services activities transferred from the Department of Health and Human Services to the Department of Justice and Community Safety, as a result of a machinery of government change, in accordance with the administrative arrangements order (no. 229) 2018.</w:t>
      </w:r>
    </w:p>
    <w:p w:rsidRPr="00F40F10" w:rsidR="00F40F10" w:rsidP="00F40F10" w:rsidRDefault="00F40F10" w14:paraId="5F339998" w14:textId="7F80AFB8">
      <w:r w:rsidRPr="00F40F10">
        <w:t>The combined income and expenses for the adoption services activities for the reporting period (including those recognised by the Department of Health and Human Services) were as follows.</w:t>
      </w:r>
    </w:p>
    <w:tbl>
      <w:tblPr>
        <w:tblW w:w="0" w:type="auto"/>
        <w:tblLayout w:type="fixed"/>
        <w:tblCellMar>
          <w:left w:w="0" w:type="dxa"/>
          <w:right w:w="0" w:type="dxa"/>
        </w:tblCellMar>
        <w:tblLook w:firstRow="1" w:lastRow="0" w:firstColumn="0" w:lastColumn="0" w:noHBand="0" w:noVBand="0" w:val="0020"/>
      </w:tblPr>
      <w:tblGrid>
        <w:gridCol w:w="2976"/>
        <w:gridCol w:w="2764"/>
        <w:gridCol w:w="2764"/>
        <w:gridCol w:w="1417"/>
      </w:tblGrid>
      <w:tr w:rsidRPr="0088782A" w:rsidR="00F40F10" w:rsidTr="0088782A" w14:paraId="572F10FE" w14:textId="77777777">
        <w:trPr>
          <w:tblHeader/>
        </w:trPr>
        <w:tc>
          <w:tcPr>
            <w:tcW w:w="2976"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59984378" w14:textId="77777777">
            <w:pPr>
              <w:pStyle w:val="tablebody"/>
              <w:jc w:val="right"/>
              <w:rPr>
                <w:b/>
              </w:rPr>
            </w:pPr>
          </w:p>
        </w:tc>
        <w:tc>
          <w:tcPr>
            <w:tcW w:w="2764"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416137F9" w14:textId="77777777">
            <w:pPr>
              <w:pStyle w:val="tablebody"/>
              <w:jc w:val="right"/>
              <w:rPr>
                <w:b/>
              </w:rPr>
            </w:pPr>
          </w:p>
        </w:tc>
        <w:tc>
          <w:tcPr>
            <w:tcW w:w="2764"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49AD1C14" w14:textId="77777777">
            <w:pPr>
              <w:pStyle w:val="tablebody"/>
              <w:jc w:val="right"/>
              <w:rPr>
                <w:b/>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111B1631" w14:textId="77777777">
            <w:pPr>
              <w:pStyle w:val="tablebody"/>
              <w:jc w:val="right"/>
              <w:rPr>
                <w:b/>
              </w:rPr>
            </w:pPr>
            <w:r w:rsidRPr="0088782A">
              <w:rPr>
                <w:b/>
              </w:rPr>
              <w:t>($ thousand)</w:t>
            </w:r>
          </w:p>
        </w:tc>
      </w:tr>
      <w:tr w:rsidRPr="0088782A" w:rsidR="00F40F10" w:rsidTr="0088782A" w14:paraId="151E9B1A" w14:textId="77777777">
        <w:trPr>
          <w:tblHeader/>
        </w:trPr>
        <w:tc>
          <w:tcPr>
            <w:tcW w:w="2976"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43ABCD25" w14:textId="77777777">
            <w:pPr>
              <w:pStyle w:val="tablebody"/>
              <w:jc w:val="right"/>
              <w:rPr>
                <w:b/>
              </w:rPr>
            </w:pPr>
          </w:p>
        </w:tc>
        <w:tc>
          <w:tcPr>
            <w:tcW w:w="276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30E9DB5C" w14:textId="77777777">
            <w:pPr>
              <w:pStyle w:val="tablebody"/>
              <w:jc w:val="right"/>
              <w:rPr>
                <w:b/>
              </w:rPr>
            </w:pPr>
            <w:r w:rsidRPr="0088782A">
              <w:rPr>
                <w:b/>
              </w:rPr>
              <w:t>Department of Health and Human Services</w:t>
            </w:r>
          </w:p>
        </w:tc>
        <w:tc>
          <w:tcPr>
            <w:tcW w:w="276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169126E0" w14:textId="77777777">
            <w:pPr>
              <w:pStyle w:val="tablebody"/>
              <w:jc w:val="right"/>
              <w:rPr>
                <w:b/>
              </w:rPr>
            </w:pPr>
            <w:r w:rsidRPr="0088782A">
              <w:rPr>
                <w:b/>
              </w:rPr>
              <w:t>Department of Justice and Community Safety</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598D19AB" w14:textId="77777777">
            <w:pPr>
              <w:pStyle w:val="tablebody"/>
              <w:jc w:val="right"/>
              <w:rPr>
                <w:b/>
              </w:rPr>
            </w:pPr>
            <w:r w:rsidRPr="0088782A">
              <w:rPr>
                <w:b/>
              </w:rPr>
              <w:t>Total</w:t>
            </w:r>
          </w:p>
        </w:tc>
      </w:tr>
      <w:tr w:rsidRPr="0088782A" w:rsidR="00F40F10" w:rsidTr="0088782A" w14:paraId="4D8D4D97" w14:textId="77777777">
        <w:trPr>
          <w:tblHeader/>
        </w:trPr>
        <w:tc>
          <w:tcPr>
            <w:tcW w:w="2976"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5230F016" w14:textId="77777777">
            <w:pPr>
              <w:pStyle w:val="tablebody"/>
              <w:jc w:val="right"/>
              <w:rPr>
                <w:b/>
              </w:rPr>
            </w:pPr>
          </w:p>
        </w:tc>
        <w:tc>
          <w:tcPr>
            <w:tcW w:w="276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3A776C4F" w14:textId="77777777">
            <w:pPr>
              <w:pStyle w:val="tablebody"/>
              <w:jc w:val="right"/>
              <w:rPr>
                <w:b/>
              </w:rPr>
            </w:pPr>
            <w:r w:rsidRPr="0088782A">
              <w:rPr>
                <w:b/>
              </w:rPr>
              <w:t>(1 July 2018 to 31 December 2018)</w:t>
            </w:r>
          </w:p>
        </w:tc>
        <w:tc>
          <w:tcPr>
            <w:tcW w:w="276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1282F742" w14:textId="77777777">
            <w:pPr>
              <w:pStyle w:val="tablebody"/>
              <w:jc w:val="right"/>
              <w:rPr>
                <w:b/>
              </w:rPr>
            </w:pPr>
            <w:r w:rsidRPr="0088782A">
              <w:rPr>
                <w:b/>
              </w:rPr>
              <w:t>(1 January 2019 to 30 June 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45544950" w14:textId="77777777">
            <w:pPr>
              <w:pStyle w:val="tablebody"/>
              <w:jc w:val="right"/>
              <w:rPr>
                <w:b/>
              </w:rPr>
            </w:pPr>
          </w:p>
        </w:tc>
      </w:tr>
      <w:tr w:rsidRPr="0088782A" w:rsidR="00F40F10" w:rsidTr="0088782A" w14:paraId="126DC2BC" w14:textId="77777777">
        <w:tc>
          <w:tcPr>
            <w:tcW w:w="2976" w:type="dxa"/>
            <w:tcBorders>
              <w:top w:val="single" w:color="000000" w:sz="6" w:space="0"/>
              <w:left w:val="nil"/>
              <w:bottom w:val="nil"/>
              <w:right w:val="nil"/>
            </w:tcBorders>
            <w:tcMar>
              <w:top w:w="57" w:type="dxa"/>
              <w:left w:w="0" w:type="dxa"/>
              <w:bottom w:w="57" w:type="dxa"/>
              <w:right w:w="0" w:type="dxa"/>
            </w:tcMar>
          </w:tcPr>
          <w:p w:rsidRPr="0088782A" w:rsidR="00F40F10" w:rsidP="006623A9" w:rsidRDefault="00F40F10" w14:paraId="40E6774B" w14:textId="77777777">
            <w:pPr>
              <w:pStyle w:val="tablebody"/>
              <w:rPr>
                <w:b/>
              </w:rPr>
            </w:pPr>
            <w:r w:rsidRPr="0088782A">
              <w:rPr>
                <w:b/>
              </w:rPr>
              <w:t>Controlled income and expenses</w:t>
            </w:r>
          </w:p>
        </w:tc>
        <w:tc>
          <w:tcPr>
            <w:tcW w:w="2764"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647B3F20" w14:textId="77777777">
            <w:pPr>
              <w:pStyle w:val="tablebody"/>
              <w:jc w:val="right"/>
              <w:rPr>
                <w:b/>
              </w:rPr>
            </w:pPr>
          </w:p>
        </w:tc>
        <w:tc>
          <w:tcPr>
            <w:tcW w:w="2764"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6731A862" w14:textId="77777777">
            <w:pPr>
              <w:pStyle w:val="tablebody"/>
              <w:jc w:val="right"/>
              <w:rPr>
                <w:b/>
              </w:rPr>
            </w:pPr>
          </w:p>
        </w:tc>
        <w:tc>
          <w:tcPr>
            <w:tcW w:w="1417"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771597CE" w14:textId="77777777">
            <w:pPr>
              <w:pStyle w:val="tablebody"/>
              <w:jc w:val="right"/>
              <w:rPr>
                <w:b/>
              </w:rPr>
            </w:pPr>
          </w:p>
        </w:tc>
      </w:tr>
      <w:tr w:rsidRPr="006623A9" w:rsidR="00F40F10" w:rsidTr="0088782A" w14:paraId="5353B0C7" w14:textId="77777777">
        <w:tc>
          <w:tcPr>
            <w:tcW w:w="2976" w:type="dxa"/>
            <w:tcBorders>
              <w:top w:val="nil"/>
              <w:left w:val="nil"/>
              <w:bottom w:val="nil"/>
              <w:right w:val="nil"/>
            </w:tcBorders>
            <w:tcMar>
              <w:top w:w="0" w:type="dxa"/>
              <w:left w:w="0" w:type="dxa"/>
              <w:bottom w:w="57" w:type="dxa"/>
              <w:right w:w="0" w:type="dxa"/>
            </w:tcMar>
          </w:tcPr>
          <w:p w:rsidRPr="006623A9" w:rsidR="00F40F10" w:rsidP="006623A9" w:rsidRDefault="00F40F10" w14:paraId="17D45461" w14:textId="77777777">
            <w:pPr>
              <w:pStyle w:val="tablebody"/>
            </w:pPr>
            <w:r w:rsidRPr="006623A9">
              <w:t>Income</w:t>
            </w:r>
          </w:p>
        </w:tc>
        <w:tc>
          <w:tcPr>
            <w:tcW w:w="2764" w:type="dxa"/>
            <w:tcBorders>
              <w:top w:val="nil"/>
              <w:left w:val="nil"/>
              <w:bottom w:val="nil"/>
              <w:right w:val="nil"/>
            </w:tcBorders>
            <w:tcMar>
              <w:top w:w="0" w:type="dxa"/>
              <w:left w:w="0" w:type="dxa"/>
              <w:bottom w:w="57" w:type="dxa"/>
              <w:right w:w="0" w:type="dxa"/>
            </w:tcMar>
          </w:tcPr>
          <w:p w:rsidRPr="006623A9" w:rsidR="00F40F10" w:rsidP="0088782A" w:rsidRDefault="00F40F10" w14:paraId="47B5DBEA" w14:textId="77777777">
            <w:pPr>
              <w:pStyle w:val="tablebody"/>
              <w:jc w:val="right"/>
            </w:pPr>
            <w:r w:rsidRPr="006623A9">
              <w:t xml:space="preserve">2,779 </w:t>
            </w:r>
          </w:p>
        </w:tc>
        <w:tc>
          <w:tcPr>
            <w:tcW w:w="2764" w:type="dxa"/>
            <w:tcBorders>
              <w:top w:val="nil"/>
              <w:left w:val="nil"/>
              <w:bottom w:val="nil"/>
              <w:right w:val="nil"/>
            </w:tcBorders>
            <w:tcMar>
              <w:top w:w="0" w:type="dxa"/>
              <w:left w:w="0" w:type="dxa"/>
              <w:bottom w:w="57" w:type="dxa"/>
              <w:right w:w="0" w:type="dxa"/>
            </w:tcMar>
          </w:tcPr>
          <w:p w:rsidRPr="006623A9" w:rsidR="00F40F10" w:rsidP="0088782A" w:rsidRDefault="00F40F10" w14:paraId="26C26F35" w14:textId="77777777">
            <w:pPr>
              <w:pStyle w:val="tablebody"/>
              <w:jc w:val="right"/>
            </w:pPr>
            <w:r w:rsidRPr="006623A9">
              <w:t xml:space="preserve">3,102 </w:t>
            </w:r>
          </w:p>
        </w:tc>
        <w:tc>
          <w:tcPr>
            <w:tcW w:w="1417" w:type="dxa"/>
            <w:tcBorders>
              <w:top w:val="nil"/>
              <w:left w:val="nil"/>
              <w:bottom w:val="nil"/>
              <w:right w:val="nil"/>
            </w:tcBorders>
            <w:tcMar>
              <w:top w:w="0" w:type="dxa"/>
              <w:left w:w="0" w:type="dxa"/>
              <w:bottom w:w="57" w:type="dxa"/>
              <w:right w:w="0" w:type="dxa"/>
            </w:tcMar>
          </w:tcPr>
          <w:p w:rsidRPr="006623A9" w:rsidR="00F40F10" w:rsidP="0088782A" w:rsidRDefault="00F40F10" w14:paraId="0C311DDF" w14:textId="77777777">
            <w:pPr>
              <w:pStyle w:val="tablebody"/>
              <w:jc w:val="right"/>
            </w:pPr>
            <w:r w:rsidRPr="006623A9">
              <w:t xml:space="preserve">5,881 </w:t>
            </w:r>
          </w:p>
        </w:tc>
      </w:tr>
      <w:tr w:rsidRPr="006623A9" w:rsidR="00F40F10" w:rsidTr="0088782A" w14:paraId="164C3821" w14:textId="77777777">
        <w:tc>
          <w:tcPr>
            <w:tcW w:w="2976" w:type="dxa"/>
            <w:tcBorders>
              <w:top w:val="nil"/>
              <w:left w:val="nil"/>
              <w:bottom w:val="single" w:color="000000" w:sz="6" w:space="0"/>
              <w:right w:val="nil"/>
            </w:tcBorders>
            <w:tcMar>
              <w:top w:w="0" w:type="dxa"/>
              <w:left w:w="0" w:type="dxa"/>
              <w:bottom w:w="57" w:type="dxa"/>
              <w:right w:w="0" w:type="dxa"/>
            </w:tcMar>
          </w:tcPr>
          <w:p w:rsidRPr="006623A9" w:rsidR="00F40F10" w:rsidP="006623A9" w:rsidRDefault="00F40F10" w14:paraId="4CB1A80C" w14:textId="77777777">
            <w:pPr>
              <w:pStyle w:val="tablebody"/>
            </w:pPr>
            <w:r w:rsidRPr="006623A9">
              <w:t>Expenses</w:t>
            </w:r>
          </w:p>
        </w:tc>
        <w:tc>
          <w:tcPr>
            <w:tcW w:w="2764" w:type="dxa"/>
            <w:tcBorders>
              <w:top w:val="nil"/>
              <w:left w:val="nil"/>
              <w:bottom w:val="single" w:color="000000" w:sz="6" w:space="0"/>
              <w:right w:val="nil"/>
            </w:tcBorders>
            <w:tcMar>
              <w:top w:w="0" w:type="dxa"/>
              <w:left w:w="0" w:type="dxa"/>
              <w:bottom w:w="57" w:type="dxa"/>
              <w:right w:w="0" w:type="dxa"/>
            </w:tcMar>
          </w:tcPr>
          <w:p w:rsidRPr="006623A9" w:rsidR="00F40F10" w:rsidP="0088782A" w:rsidRDefault="00F40F10" w14:paraId="5688A176" w14:textId="77777777">
            <w:pPr>
              <w:pStyle w:val="tablebody"/>
              <w:jc w:val="right"/>
            </w:pPr>
            <w:r w:rsidRPr="006623A9">
              <w:t xml:space="preserve">2,779 </w:t>
            </w:r>
          </w:p>
        </w:tc>
        <w:tc>
          <w:tcPr>
            <w:tcW w:w="2764" w:type="dxa"/>
            <w:tcBorders>
              <w:top w:val="nil"/>
              <w:left w:val="nil"/>
              <w:bottom w:val="single" w:color="000000" w:sz="6" w:space="0"/>
              <w:right w:val="nil"/>
            </w:tcBorders>
            <w:tcMar>
              <w:top w:w="0" w:type="dxa"/>
              <w:left w:w="0" w:type="dxa"/>
              <w:bottom w:w="57" w:type="dxa"/>
              <w:right w:w="0" w:type="dxa"/>
            </w:tcMar>
          </w:tcPr>
          <w:p w:rsidRPr="006623A9" w:rsidR="00F40F10" w:rsidP="0088782A" w:rsidRDefault="00F40F10" w14:paraId="52A7022F" w14:textId="77777777">
            <w:pPr>
              <w:pStyle w:val="tablebody"/>
              <w:jc w:val="right"/>
            </w:pPr>
            <w:r w:rsidRPr="006623A9">
              <w:t xml:space="preserve">3,102 </w:t>
            </w:r>
          </w:p>
        </w:tc>
        <w:tc>
          <w:tcPr>
            <w:tcW w:w="1417" w:type="dxa"/>
            <w:tcBorders>
              <w:top w:val="nil"/>
              <w:left w:val="nil"/>
              <w:bottom w:val="single" w:color="000000" w:sz="6" w:space="0"/>
              <w:right w:val="nil"/>
            </w:tcBorders>
            <w:tcMar>
              <w:top w:w="0" w:type="dxa"/>
              <w:left w:w="0" w:type="dxa"/>
              <w:bottom w:w="57" w:type="dxa"/>
              <w:right w:w="0" w:type="dxa"/>
            </w:tcMar>
          </w:tcPr>
          <w:p w:rsidRPr="006623A9" w:rsidR="00F40F10" w:rsidP="0088782A" w:rsidRDefault="00F40F10" w14:paraId="6C0BA880" w14:textId="77777777">
            <w:pPr>
              <w:pStyle w:val="tablebody"/>
              <w:jc w:val="right"/>
            </w:pPr>
            <w:r w:rsidRPr="006623A9">
              <w:t xml:space="preserve">5,881 </w:t>
            </w:r>
          </w:p>
        </w:tc>
      </w:tr>
    </w:tbl>
    <w:p w:rsidRPr="00F40F10" w:rsidR="00F40F10" w:rsidP="00F40F10" w:rsidRDefault="00F40F10" w14:paraId="051206C2" w14:textId="77777777"/>
    <w:p w:rsidRPr="0088782A" w:rsidR="00F40F10" w:rsidP="00F40F10" w:rsidRDefault="00F40F10" w14:paraId="13980012" w14:textId="3444C7FE">
      <w:pPr>
        <w:rPr>
          <w:rFonts w:cs="Times New Roman (Body CS)"/>
          <w:spacing w:val="-2"/>
        </w:rPr>
      </w:pPr>
      <w:r w:rsidRPr="0088782A">
        <w:rPr>
          <w:rFonts w:cs="Times New Roman (Body CS)"/>
          <w:spacing w:val="-2"/>
        </w:rPr>
        <w:t>The following net assets were assumed by the Department of Justice and Community Safety for the adoption services activities as a result of the administrative restructure and were recognised at the carrying amount of those net assets at the date of transfer.</w:t>
      </w:r>
    </w:p>
    <w:tbl>
      <w:tblPr>
        <w:tblW w:w="0" w:type="auto"/>
        <w:tblLayout w:type="fixed"/>
        <w:tblCellMar>
          <w:left w:w="0" w:type="dxa"/>
          <w:right w:w="0" w:type="dxa"/>
        </w:tblCellMar>
        <w:tblLook w:firstRow="1" w:lastRow="0" w:firstColumn="0" w:lastColumn="0" w:noHBand="0" w:noVBand="0" w:val="0020"/>
      </w:tblPr>
      <w:tblGrid>
        <w:gridCol w:w="283"/>
        <w:gridCol w:w="8221"/>
        <w:gridCol w:w="1417"/>
      </w:tblGrid>
      <w:tr w:rsidRPr="0088782A" w:rsidR="00F40F10" w:rsidTr="0088782A" w14:paraId="77B973A1" w14:textId="77777777">
        <w:trPr>
          <w:tblHeader/>
        </w:trPr>
        <w:tc>
          <w:tcPr>
            <w:tcW w:w="283"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49476F9B" w14:textId="77777777">
            <w:pPr>
              <w:pStyle w:val="tablebody"/>
              <w:rPr>
                <w:b/>
              </w:rPr>
            </w:pPr>
          </w:p>
        </w:tc>
        <w:tc>
          <w:tcPr>
            <w:tcW w:w="8221"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54916892" w14:textId="77777777">
            <w:pPr>
              <w:pStyle w:val="tablebody"/>
              <w:rPr>
                <w:b/>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69658C04" w14:textId="77777777">
            <w:pPr>
              <w:pStyle w:val="tablebody"/>
              <w:jc w:val="right"/>
              <w:rPr>
                <w:b/>
              </w:rPr>
            </w:pPr>
            <w:r w:rsidRPr="0088782A">
              <w:rPr>
                <w:b/>
              </w:rPr>
              <w:t>($ thousand)</w:t>
            </w:r>
          </w:p>
        </w:tc>
      </w:tr>
      <w:tr w:rsidRPr="0088782A" w:rsidR="00F40F10" w:rsidTr="0088782A" w14:paraId="0163A7C9"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2095E332" w14:textId="77777777">
            <w:pPr>
              <w:pStyle w:val="tablebody"/>
              <w:rPr>
                <w:b/>
              </w:rPr>
            </w:pPr>
          </w:p>
        </w:tc>
        <w:tc>
          <w:tcPr>
            <w:tcW w:w="822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3139CACF" w14:textId="77777777">
            <w:pPr>
              <w:pStyle w:val="tablebody"/>
              <w:rPr>
                <w:b/>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11263248" w14:textId="77777777">
            <w:pPr>
              <w:pStyle w:val="tablebody"/>
              <w:jc w:val="right"/>
              <w:rPr>
                <w:b/>
              </w:rPr>
            </w:pPr>
            <w:r w:rsidRPr="0088782A">
              <w:rPr>
                <w:b/>
              </w:rPr>
              <w:t>2019</w:t>
            </w:r>
          </w:p>
        </w:tc>
      </w:tr>
      <w:tr w:rsidRPr="0088782A" w:rsidR="00F40F10" w:rsidTr="0088782A" w14:paraId="184098DB" w14:textId="77777777">
        <w:tc>
          <w:tcPr>
            <w:tcW w:w="9921" w:type="dxa"/>
            <w:gridSpan w:val="3"/>
            <w:tcBorders>
              <w:top w:val="single" w:color="000000" w:sz="6" w:space="0"/>
              <w:left w:val="nil"/>
              <w:bottom w:val="nil"/>
              <w:right w:val="nil"/>
            </w:tcBorders>
            <w:tcMar>
              <w:top w:w="57" w:type="dxa"/>
              <w:left w:w="0" w:type="dxa"/>
              <w:bottom w:w="57" w:type="dxa"/>
              <w:right w:w="0" w:type="dxa"/>
            </w:tcMar>
            <w:vAlign w:val="bottom"/>
          </w:tcPr>
          <w:p w:rsidRPr="0088782A" w:rsidR="00F40F10" w:rsidP="0088782A" w:rsidRDefault="00F40F10" w14:paraId="67288343" w14:textId="77777777">
            <w:pPr>
              <w:pStyle w:val="tablebody"/>
              <w:rPr>
                <w:b/>
              </w:rPr>
            </w:pPr>
            <w:r w:rsidRPr="0088782A">
              <w:rPr>
                <w:b/>
              </w:rPr>
              <w:t>Controlled</w:t>
            </w:r>
          </w:p>
        </w:tc>
      </w:tr>
      <w:tr w:rsidRPr="0088782A" w:rsidR="00F40F10" w:rsidTr="0088782A" w14:paraId="5F5BD2E8" w14:textId="77777777">
        <w:tc>
          <w:tcPr>
            <w:tcW w:w="9921" w:type="dxa"/>
            <w:gridSpan w:val="3"/>
            <w:tcBorders>
              <w:top w:val="nil"/>
              <w:left w:val="nil"/>
              <w:bottom w:val="nil"/>
              <w:right w:val="nil"/>
            </w:tcBorders>
            <w:tcMar>
              <w:top w:w="0" w:type="dxa"/>
              <w:left w:w="0" w:type="dxa"/>
              <w:bottom w:w="57" w:type="dxa"/>
              <w:right w:w="0" w:type="dxa"/>
            </w:tcMar>
            <w:vAlign w:val="bottom"/>
          </w:tcPr>
          <w:p w:rsidRPr="0088782A" w:rsidR="00F40F10" w:rsidP="0088782A" w:rsidRDefault="00F40F10" w14:paraId="0134BDA3" w14:textId="77777777">
            <w:pPr>
              <w:pStyle w:val="tablebody"/>
              <w:rPr>
                <w:b/>
              </w:rPr>
            </w:pPr>
            <w:r w:rsidRPr="0088782A">
              <w:rPr>
                <w:b/>
              </w:rPr>
              <w:t>Assets</w:t>
            </w:r>
          </w:p>
        </w:tc>
      </w:tr>
      <w:tr w:rsidRPr="0088782A" w:rsidR="00F40F10" w:rsidTr="0088782A" w14:paraId="2666F2DD" w14:textId="77777777">
        <w:tc>
          <w:tcPr>
            <w:tcW w:w="283" w:type="dxa"/>
            <w:tcBorders>
              <w:top w:val="nil"/>
              <w:left w:val="nil"/>
              <w:bottom w:val="nil"/>
              <w:right w:val="nil"/>
            </w:tcBorders>
            <w:tcMar>
              <w:top w:w="0" w:type="dxa"/>
              <w:left w:w="0" w:type="dxa"/>
              <w:bottom w:w="57" w:type="dxa"/>
              <w:right w:w="0" w:type="dxa"/>
            </w:tcMar>
            <w:vAlign w:val="bottom"/>
          </w:tcPr>
          <w:p w:rsidRPr="0088782A" w:rsidR="00F40F10" w:rsidP="0088782A" w:rsidRDefault="00F40F10" w14:paraId="60B6ED11" w14:textId="77777777">
            <w:pPr>
              <w:pStyle w:val="tablebody"/>
            </w:pPr>
          </w:p>
        </w:tc>
        <w:tc>
          <w:tcPr>
            <w:tcW w:w="8221" w:type="dxa"/>
            <w:tcBorders>
              <w:top w:val="nil"/>
              <w:left w:val="nil"/>
              <w:bottom w:val="nil"/>
              <w:right w:val="nil"/>
            </w:tcBorders>
            <w:tcMar>
              <w:top w:w="0" w:type="dxa"/>
              <w:left w:w="0" w:type="dxa"/>
              <w:bottom w:w="57" w:type="dxa"/>
              <w:right w:w="0" w:type="dxa"/>
            </w:tcMar>
            <w:vAlign w:val="bottom"/>
          </w:tcPr>
          <w:p w:rsidRPr="0088782A" w:rsidR="00F40F10" w:rsidP="0088782A" w:rsidRDefault="00F40F10" w14:paraId="64B181DC" w14:textId="77777777">
            <w:pPr>
              <w:pStyle w:val="tablebody"/>
            </w:pPr>
            <w:r w:rsidRPr="0088782A">
              <w:t>Receivables</w:t>
            </w:r>
          </w:p>
        </w:tc>
        <w:tc>
          <w:tcPr>
            <w:tcW w:w="1417" w:type="dxa"/>
            <w:tcBorders>
              <w:top w:val="nil"/>
              <w:left w:val="nil"/>
              <w:bottom w:val="nil"/>
              <w:right w:val="nil"/>
            </w:tcBorders>
            <w:tcMar>
              <w:top w:w="0" w:type="dxa"/>
              <w:left w:w="0" w:type="dxa"/>
              <w:bottom w:w="57" w:type="dxa"/>
              <w:right w:w="0" w:type="dxa"/>
            </w:tcMar>
            <w:vAlign w:val="bottom"/>
          </w:tcPr>
          <w:p w:rsidRPr="0088782A" w:rsidR="00F40F10" w:rsidP="0088782A" w:rsidRDefault="00F40F10" w14:paraId="08CFC937" w14:textId="77777777">
            <w:pPr>
              <w:pStyle w:val="tablebody"/>
              <w:jc w:val="right"/>
            </w:pPr>
            <w:r w:rsidRPr="0088782A">
              <w:t xml:space="preserve">732 </w:t>
            </w:r>
          </w:p>
        </w:tc>
      </w:tr>
      <w:tr w:rsidRPr="0088782A" w:rsidR="00F40F10" w:rsidTr="0088782A" w14:paraId="7DB794FB" w14:textId="77777777">
        <w:tc>
          <w:tcPr>
            <w:tcW w:w="9921" w:type="dxa"/>
            <w:gridSpan w:val="3"/>
            <w:tcBorders>
              <w:top w:val="nil"/>
              <w:left w:val="nil"/>
              <w:bottom w:val="nil"/>
              <w:right w:val="nil"/>
            </w:tcBorders>
            <w:tcMar>
              <w:top w:w="0" w:type="dxa"/>
              <w:left w:w="0" w:type="dxa"/>
              <w:bottom w:w="57" w:type="dxa"/>
              <w:right w:w="0" w:type="dxa"/>
            </w:tcMar>
            <w:vAlign w:val="bottom"/>
          </w:tcPr>
          <w:p w:rsidRPr="0088782A" w:rsidR="00F40F10" w:rsidP="0088782A" w:rsidRDefault="00F40F10" w14:paraId="567FBE62" w14:textId="77777777">
            <w:pPr>
              <w:pStyle w:val="tablebody"/>
              <w:rPr>
                <w:b/>
              </w:rPr>
            </w:pPr>
            <w:r w:rsidRPr="0088782A">
              <w:rPr>
                <w:b/>
              </w:rPr>
              <w:t>Liabilities</w:t>
            </w:r>
          </w:p>
        </w:tc>
      </w:tr>
      <w:tr w:rsidRPr="0088782A" w:rsidR="00F40F10" w:rsidTr="0088782A" w14:paraId="47052242" w14:textId="77777777">
        <w:tc>
          <w:tcPr>
            <w:tcW w:w="283" w:type="dxa"/>
            <w:tcBorders>
              <w:top w:val="nil"/>
              <w:left w:val="nil"/>
              <w:bottom w:val="single" w:color="000000" w:sz="6" w:space="0"/>
              <w:right w:val="nil"/>
            </w:tcBorders>
            <w:tcMar>
              <w:top w:w="0" w:type="dxa"/>
              <w:left w:w="0" w:type="dxa"/>
              <w:bottom w:w="57" w:type="dxa"/>
              <w:right w:w="0" w:type="dxa"/>
            </w:tcMar>
            <w:vAlign w:val="bottom"/>
          </w:tcPr>
          <w:p w:rsidRPr="0088782A" w:rsidR="00F40F10" w:rsidP="0088782A" w:rsidRDefault="00F40F10" w14:paraId="06DB6A28" w14:textId="77777777">
            <w:pPr>
              <w:pStyle w:val="tablebody"/>
            </w:pPr>
          </w:p>
        </w:tc>
        <w:tc>
          <w:tcPr>
            <w:tcW w:w="8221" w:type="dxa"/>
            <w:tcBorders>
              <w:top w:val="nil"/>
              <w:left w:val="nil"/>
              <w:bottom w:val="single" w:color="000000" w:sz="6" w:space="0"/>
              <w:right w:val="nil"/>
            </w:tcBorders>
            <w:tcMar>
              <w:top w:w="0" w:type="dxa"/>
              <w:left w:w="0" w:type="dxa"/>
              <w:bottom w:w="57" w:type="dxa"/>
              <w:right w:w="0" w:type="dxa"/>
            </w:tcMar>
            <w:vAlign w:val="bottom"/>
          </w:tcPr>
          <w:p w:rsidRPr="0088782A" w:rsidR="00F40F10" w:rsidP="0088782A" w:rsidRDefault="00F40F10" w14:paraId="2A843582" w14:textId="77777777">
            <w:pPr>
              <w:pStyle w:val="tablebody"/>
            </w:pPr>
            <w:r w:rsidRPr="0088782A">
              <w:t>Employee benefit provisions</w:t>
            </w: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88782A" w:rsidR="00F40F10" w:rsidP="0088782A" w:rsidRDefault="00F40F10" w14:paraId="2D057FD0" w14:textId="77777777">
            <w:pPr>
              <w:pStyle w:val="tablebody"/>
              <w:jc w:val="right"/>
            </w:pPr>
            <w:r w:rsidRPr="0088782A">
              <w:t xml:space="preserve">732 </w:t>
            </w:r>
          </w:p>
        </w:tc>
      </w:tr>
      <w:tr w:rsidRPr="0088782A" w:rsidR="00F40F10" w:rsidTr="0088782A" w14:paraId="534ACCFC"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2B0013B2" w14:textId="77777777">
            <w:pPr>
              <w:pStyle w:val="tablebody"/>
              <w:rPr>
                <w:b/>
              </w:rPr>
            </w:pPr>
            <w:r w:rsidRPr="0088782A">
              <w:rPr>
                <w:b/>
              </w:rPr>
              <w:t>Controlled net assets recognised</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3D0065B6" w14:textId="77777777">
            <w:pPr>
              <w:pStyle w:val="tablebody"/>
              <w:jc w:val="right"/>
              <w:rPr>
                <w:b/>
              </w:rPr>
            </w:pPr>
            <w:r w:rsidRPr="0088782A">
              <w:rPr>
                <w:b/>
              </w:rPr>
              <w:t xml:space="preserve">0 </w:t>
            </w:r>
          </w:p>
        </w:tc>
      </w:tr>
      <w:tr w:rsidRPr="0088782A" w:rsidR="00F40F10" w:rsidTr="0088782A" w14:paraId="71051DA3" w14:textId="77777777">
        <w:tc>
          <w:tcPr>
            <w:tcW w:w="8504"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77A6BF87" w14:textId="77777777">
            <w:pPr>
              <w:pStyle w:val="tablebody"/>
              <w:rPr>
                <w:b/>
              </w:rPr>
            </w:pPr>
            <w:r w:rsidRPr="0088782A">
              <w:rPr>
                <w:b/>
              </w:rPr>
              <w:t>Net capital contribution from the Crown</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88782A" w:rsidR="00F40F10" w:rsidP="0088782A" w:rsidRDefault="00F40F10" w14:paraId="530E9208" w14:textId="77777777">
            <w:pPr>
              <w:pStyle w:val="tablebody"/>
              <w:jc w:val="right"/>
              <w:rPr>
                <w:b/>
              </w:rPr>
            </w:pPr>
            <w:r w:rsidRPr="0088782A">
              <w:rPr>
                <w:b/>
              </w:rPr>
              <w:t xml:space="preserve">0 </w:t>
            </w:r>
          </w:p>
        </w:tc>
      </w:tr>
    </w:tbl>
    <w:p w:rsidRPr="00F40F10" w:rsidR="00F40F10" w:rsidP="00F40F10" w:rsidRDefault="00F40F10" w14:paraId="6C4EE329" w14:textId="77777777"/>
    <w:p w:rsidRPr="0088782A" w:rsidR="00F40F10" w:rsidP="0088782A" w:rsidRDefault="00F40F10" w14:paraId="296D79EE" w14:textId="77777777">
      <w:pPr>
        <w:pStyle w:val="Heading4"/>
      </w:pPr>
      <w:r w:rsidRPr="0088782A">
        <w:lastRenderedPageBreak/>
        <w:t>Transfer of net assets from the Department of Premier and Cabinet</w:t>
      </w:r>
    </w:p>
    <w:p w:rsidRPr="00F40F10" w:rsidR="00F40F10" w:rsidP="00F40F10" w:rsidRDefault="00F40F10" w14:paraId="67EB77CD" w14:textId="77777777">
      <w:r w:rsidRPr="00F40F10">
        <w:t>On 11 February 2019, the responsibility for the administrative arrangements of countering violent extremism activities transferred from the Department of Premier and Cabinet to the Department of Justice and Community Safety, as a result of a machinery of government change.</w:t>
      </w:r>
    </w:p>
    <w:p w:rsidRPr="00F40F10" w:rsidR="00F40F10" w:rsidP="00F40F10" w:rsidRDefault="00F40F10" w14:paraId="2A375D85" w14:textId="4DB93782">
      <w:r w:rsidRPr="00F40F10">
        <w:t>The combined income and expenses for the countering violent extremism activities for the reporting period (including those recognised by the Department of Premier and Cabinet) were as follows.</w:t>
      </w:r>
    </w:p>
    <w:tbl>
      <w:tblPr>
        <w:tblW w:w="0" w:type="auto"/>
        <w:tblLayout w:type="fixed"/>
        <w:tblCellMar>
          <w:left w:w="0" w:type="dxa"/>
          <w:right w:w="0" w:type="dxa"/>
        </w:tblCellMar>
        <w:tblLook w:firstRow="1" w:lastRow="0" w:firstColumn="0" w:lastColumn="0" w:noHBand="0" w:noVBand="0" w:val="0020"/>
      </w:tblPr>
      <w:tblGrid>
        <w:gridCol w:w="3402"/>
        <w:gridCol w:w="2552"/>
        <w:gridCol w:w="2835"/>
        <w:gridCol w:w="1132"/>
      </w:tblGrid>
      <w:tr w:rsidRPr="0088782A" w:rsidR="00F40F10" w:rsidTr="0088782A" w14:paraId="28F66143" w14:textId="77777777">
        <w:trPr>
          <w:tblHeader/>
        </w:trPr>
        <w:tc>
          <w:tcPr>
            <w:tcW w:w="3402" w:type="dxa"/>
            <w:tcBorders>
              <w:top w:val="nil"/>
              <w:left w:val="nil"/>
              <w:bottom w:val="single" w:color="000000" w:sz="6" w:space="0"/>
              <w:right w:val="nil"/>
            </w:tcBorders>
            <w:tcMar>
              <w:top w:w="57" w:type="dxa"/>
              <w:left w:w="0" w:type="dxa"/>
              <w:bottom w:w="57" w:type="dxa"/>
              <w:right w:w="0" w:type="dxa"/>
            </w:tcMar>
          </w:tcPr>
          <w:p w:rsidRPr="0088782A" w:rsidR="00F40F10" w:rsidP="0088782A" w:rsidRDefault="00F40F10" w14:paraId="290B7E0D" w14:textId="77777777">
            <w:pPr>
              <w:pStyle w:val="tablebody"/>
              <w:rPr>
                <w:b/>
                <w:lang w:val="en-US"/>
              </w:rPr>
            </w:pPr>
          </w:p>
        </w:tc>
        <w:tc>
          <w:tcPr>
            <w:tcW w:w="2552" w:type="dxa"/>
            <w:tcBorders>
              <w:top w:val="nil"/>
              <w:left w:val="nil"/>
              <w:bottom w:val="single" w:color="000000" w:sz="6" w:space="0"/>
              <w:right w:val="nil"/>
            </w:tcBorders>
            <w:tcMar>
              <w:top w:w="57" w:type="dxa"/>
              <w:left w:w="0" w:type="dxa"/>
              <w:bottom w:w="57" w:type="dxa"/>
              <w:right w:w="0" w:type="dxa"/>
            </w:tcMar>
          </w:tcPr>
          <w:p w:rsidRPr="0088782A" w:rsidR="00F40F10" w:rsidP="0088782A" w:rsidRDefault="00F40F10" w14:paraId="38EF7E2F" w14:textId="77777777">
            <w:pPr>
              <w:pStyle w:val="tablebody"/>
              <w:jc w:val="right"/>
              <w:rPr>
                <w:b/>
                <w:lang w:val="en-US"/>
              </w:rPr>
            </w:pPr>
          </w:p>
        </w:tc>
        <w:tc>
          <w:tcPr>
            <w:tcW w:w="2835" w:type="dxa"/>
            <w:tcBorders>
              <w:top w:val="nil"/>
              <w:left w:val="nil"/>
              <w:bottom w:val="single" w:color="000000" w:sz="6" w:space="0"/>
              <w:right w:val="nil"/>
            </w:tcBorders>
            <w:tcMar>
              <w:top w:w="57" w:type="dxa"/>
              <w:left w:w="0" w:type="dxa"/>
              <w:bottom w:w="57" w:type="dxa"/>
              <w:right w:w="0" w:type="dxa"/>
            </w:tcMar>
          </w:tcPr>
          <w:p w:rsidRPr="0088782A" w:rsidR="00F40F10" w:rsidP="0088782A" w:rsidRDefault="00F40F10" w14:paraId="56C89329" w14:textId="77777777">
            <w:pPr>
              <w:pStyle w:val="tablebody"/>
              <w:jc w:val="right"/>
              <w:rPr>
                <w:b/>
                <w:lang w:val="en-US"/>
              </w:rPr>
            </w:pPr>
          </w:p>
        </w:tc>
        <w:tc>
          <w:tcPr>
            <w:tcW w:w="1132" w:type="dxa"/>
            <w:tcBorders>
              <w:top w:val="nil"/>
              <w:left w:val="nil"/>
              <w:bottom w:val="single" w:color="000000" w:sz="6" w:space="0"/>
              <w:right w:val="nil"/>
            </w:tcBorders>
            <w:tcMar>
              <w:top w:w="57" w:type="dxa"/>
              <w:left w:w="0" w:type="dxa"/>
              <w:bottom w:w="57" w:type="dxa"/>
              <w:right w:w="0" w:type="dxa"/>
            </w:tcMar>
          </w:tcPr>
          <w:p w:rsidRPr="0088782A" w:rsidR="00F40F10" w:rsidP="0088782A" w:rsidRDefault="00F40F10" w14:paraId="67C26DAD" w14:textId="77777777">
            <w:pPr>
              <w:pStyle w:val="tablebody"/>
              <w:jc w:val="right"/>
              <w:rPr>
                <w:b/>
              </w:rPr>
            </w:pPr>
            <w:r w:rsidRPr="0088782A">
              <w:rPr>
                <w:b/>
              </w:rPr>
              <w:t>($ thousand)</w:t>
            </w:r>
          </w:p>
        </w:tc>
      </w:tr>
      <w:tr w:rsidRPr="0088782A" w:rsidR="00F40F10" w:rsidTr="0088782A" w14:paraId="61BB47FA" w14:textId="77777777">
        <w:trPr>
          <w:tblHeader/>
        </w:trPr>
        <w:tc>
          <w:tcPr>
            <w:tcW w:w="340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0EFE11E6" w14:textId="77777777">
            <w:pPr>
              <w:pStyle w:val="tablebody"/>
              <w:rPr>
                <w:b/>
                <w:lang w:val="en-US"/>
              </w:rPr>
            </w:pPr>
          </w:p>
        </w:tc>
        <w:tc>
          <w:tcPr>
            <w:tcW w:w="255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44014DC4" w14:textId="77777777">
            <w:pPr>
              <w:pStyle w:val="tablebody"/>
              <w:jc w:val="right"/>
              <w:rPr>
                <w:b/>
              </w:rPr>
            </w:pPr>
            <w:r w:rsidRPr="0088782A">
              <w:rPr>
                <w:b/>
              </w:rPr>
              <w:t>Department of Premier and Cabinet</w:t>
            </w:r>
          </w:p>
        </w:tc>
        <w:tc>
          <w:tcPr>
            <w:tcW w:w="2835"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01112E4D" w14:textId="77777777">
            <w:pPr>
              <w:pStyle w:val="tablebody"/>
              <w:jc w:val="right"/>
              <w:rPr>
                <w:b/>
              </w:rPr>
            </w:pPr>
            <w:r w:rsidRPr="0088782A">
              <w:rPr>
                <w:b/>
              </w:rPr>
              <w:t>Department of Justice and Community Safety</w:t>
            </w:r>
          </w:p>
        </w:tc>
        <w:tc>
          <w:tcPr>
            <w:tcW w:w="113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0B29E823" w14:textId="77777777">
            <w:pPr>
              <w:pStyle w:val="tablebody"/>
              <w:jc w:val="right"/>
              <w:rPr>
                <w:b/>
              </w:rPr>
            </w:pPr>
            <w:r w:rsidRPr="0088782A">
              <w:rPr>
                <w:b/>
              </w:rPr>
              <w:t>Total</w:t>
            </w:r>
          </w:p>
        </w:tc>
      </w:tr>
      <w:tr w:rsidRPr="0088782A" w:rsidR="00F40F10" w:rsidTr="0088782A" w14:paraId="1608C211" w14:textId="77777777">
        <w:trPr>
          <w:tblHeader/>
        </w:trPr>
        <w:tc>
          <w:tcPr>
            <w:tcW w:w="340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68C52F2D" w14:textId="77777777">
            <w:pPr>
              <w:pStyle w:val="tablebody"/>
              <w:rPr>
                <w:b/>
                <w:lang w:val="en-US"/>
              </w:rPr>
            </w:pPr>
          </w:p>
        </w:tc>
        <w:tc>
          <w:tcPr>
            <w:tcW w:w="255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6FAFC256" w14:textId="77777777">
            <w:pPr>
              <w:pStyle w:val="tablebody"/>
              <w:jc w:val="right"/>
              <w:rPr>
                <w:b/>
              </w:rPr>
            </w:pPr>
            <w:r w:rsidRPr="0088782A">
              <w:rPr>
                <w:b/>
              </w:rPr>
              <w:t>(1 July 2018 to 10 February 2019)</w:t>
            </w:r>
          </w:p>
        </w:tc>
        <w:tc>
          <w:tcPr>
            <w:tcW w:w="2835"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44BF5A26" w14:textId="77777777">
            <w:pPr>
              <w:pStyle w:val="tablebody"/>
              <w:jc w:val="right"/>
              <w:rPr>
                <w:b/>
              </w:rPr>
            </w:pPr>
            <w:r w:rsidRPr="0088782A">
              <w:rPr>
                <w:b/>
              </w:rPr>
              <w:t>(11 February 2019 to 30 June 2019)</w:t>
            </w:r>
          </w:p>
        </w:tc>
        <w:tc>
          <w:tcPr>
            <w:tcW w:w="1132" w:type="dxa"/>
            <w:tcBorders>
              <w:top w:val="single" w:color="000000" w:sz="6" w:space="0"/>
              <w:left w:val="nil"/>
              <w:bottom w:val="single" w:color="000000" w:sz="6" w:space="0"/>
              <w:right w:val="nil"/>
            </w:tcBorders>
            <w:tcMar>
              <w:top w:w="57" w:type="dxa"/>
              <w:left w:w="0" w:type="dxa"/>
              <w:bottom w:w="57" w:type="dxa"/>
              <w:right w:w="0" w:type="dxa"/>
            </w:tcMar>
          </w:tcPr>
          <w:p w:rsidRPr="0088782A" w:rsidR="00F40F10" w:rsidP="0088782A" w:rsidRDefault="00F40F10" w14:paraId="7BF235D9" w14:textId="77777777">
            <w:pPr>
              <w:pStyle w:val="tablebody"/>
              <w:jc w:val="right"/>
              <w:rPr>
                <w:b/>
                <w:lang w:val="en-US"/>
              </w:rPr>
            </w:pPr>
          </w:p>
        </w:tc>
      </w:tr>
      <w:tr w:rsidRPr="0088782A" w:rsidR="00F40F10" w:rsidTr="0088782A" w14:paraId="281DBC09" w14:textId="77777777">
        <w:tc>
          <w:tcPr>
            <w:tcW w:w="3402"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6909BFF1" w14:textId="77777777">
            <w:pPr>
              <w:pStyle w:val="tablebody"/>
              <w:rPr>
                <w:b/>
              </w:rPr>
            </w:pPr>
            <w:r w:rsidRPr="0088782A">
              <w:rPr>
                <w:b/>
              </w:rPr>
              <w:t>Controlled income and expenses</w:t>
            </w:r>
          </w:p>
        </w:tc>
        <w:tc>
          <w:tcPr>
            <w:tcW w:w="2552"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3615827A" w14:textId="77777777">
            <w:pPr>
              <w:pStyle w:val="tablebody"/>
              <w:jc w:val="right"/>
              <w:rPr>
                <w:b/>
                <w:lang w:val="en-US"/>
              </w:rPr>
            </w:pPr>
          </w:p>
        </w:tc>
        <w:tc>
          <w:tcPr>
            <w:tcW w:w="2835"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723B5ACF" w14:textId="77777777">
            <w:pPr>
              <w:pStyle w:val="tablebody"/>
              <w:jc w:val="right"/>
              <w:rPr>
                <w:b/>
                <w:lang w:val="en-US"/>
              </w:rPr>
            </w:pPr>
          </w:p>
        </w:tc>
        <w:tc>
          <w:tcPr>
            <w:tcW w:w="1132" w:type="dxa"/>
            <w:tcBorders>
              <w:top w:val="single" w:color="000000" w:sz="6" w:space="0"/>
              <w:left w:val="nil"/>
              <w:bottom w:val="nil"/>
              <w:right w:val="nil"/>
            </w:tcBorders>
            <w:tcMar>
              <w:top w:w="57" w:type="dxa"/>
              <w:left w:w="0" w:type="dxa"/>
              <w:bottom w:w="57" w:type="dxa"/>
              <w:right w:w="0" w:type="dxa"/>
            </w:tcMar>
          </w:tcPr>
          <w:p w:rsidRPr="0088782A" w:rsidR="00F40F10" w:rsidP="0088782A" w:rsidRDefault="00F40F10" w14:paraId="6A17A4E4" w14:textId="77777777">
            <w:pPr>
              <w:pStyle w:val="tablebody"/>
              <w:jc w:val="right"/>
              <w:rPr>
                <w:b/>
                <w:lang w:val="en-US"/>
              </w:rPr>
            </w:pPr>
          </w:p>
        </w:tc>
      </w:tr>
      <w:tr w:rsidRPr="00F40F10" w:rsidR="00F40F10" w:rsidTr="0088782A" w14:paraId="68A53B27" w14:textId="77777777">
        <w:tc>
          <w:tcPr>
            <w:tcW w:w="3402" w:type="dxa"/>
            <w:tcBorders>
              <w:top w:val="nil"/>
              <w:left w:val="nil"/>
              <w:bottom w:val="nil"/>
              <w:right w:val="nil"/>
            </w:tcBorders>
            <w:tcMar>
              <w:top w:w="57" w:type="dxa"/>
              <w:left w:w="0" w:type="dxa"/>
              <w:bottom w:w="57" w:type="dxa"/>
              <w:right w:w="0" w:type="dxa"/>
            </w:tcMar>
          </w:tcPr>
          <w:p w:rsidRPr="00F40F10" w:rsidR="00F40F10" w:rsidP="0088782A" w:rsidRDefault="00F40F10" w14:paraId="17C36CC1" w14:textId="77777777">
            <w:pPr>
              <w:pStyle w:val="tablebody"/>
            </w:pPr>
            <w:r w:rsidRPr="00F40F10">
              <w:t>Income</w:t>
            </w:r>
          </w:p>
        </w:tc>
        <w:tc>
          <w:tcPr>
            <w:tcW w:w="2552" w:type="dxa"/>
            <w:tcBorders>
              <w:top w:val="nil"/>
              <w:left w:val="nil"/>
              <w:bottom w:val="nil"/>
              <w:right w:val="nil"/>
            </w:tcBorders>
            <w:tcMar>
              <w:top w:w="57" w:type="dxa"/>
              <w:left w:w="0" w:type="dxa"/>
              <w:bottom w:w="57" w:type="dxa"/>
              <w:right w:w="0" w:type="dxa"/>
            </w:tcMar>
          </w:tcPr>
          <w:p w:rsidRPr="00F40F10" w:rsidR="00F40F10" w:rsidP="0088782A" w:rsidRDefault="00F40F10" w14:paraId="3F2FE687" w14:textId="77777777">
            <w:pPr>
              <w:pStyle w:val="tablebody"/>
              <w:jc w:val="right"/>
            </w:pPr>
            <w:r w:rsidRPr="00F40F10">
              <w:t xml:space="preserve">4,360 </w:t>
            </w:r>
          </w:p>
        </w:tc>
        <w:tc>
          <w:tcPr>
            <w:tcW w:w="2835" w:type="dxa"/>
            <w:tcBorders>
              <w:top w:val="nil"/>
              <w:left w:val="nil"/>
              <w:bottom w:val="nil"/>
              <w:right w:val="nil"/>
            </w:tcBorders>
            <w:tcMar>
              <w:top w:w="57" w:type="dxa"/>
              <w:left w:w="0" w:type="dxa"/>
              <w:bottom w:w="57" w:type="dxa"/>
              <w:right w:w="0" w:type="dxa"/>
            </w:tcMar>
          </w:tcPr>
          <w:p w:rsidRPr="00F40F10" w:rsidR="00F40F10" w:rsidP="0088782A" w:rsidRDefault="00F40F10" w14:paraId="2BABAEA6" w14:textId="77777777">
            <w:pPr>
              <w:pStyle w:val="tablebody"/>
              <w:jc w:val="right"/>
            </w:pPr>
            <w:r w:rsidRPr="00F40F10">
              <w:t xml:space="preserve">4,812 </w:t>
            </w:r>
          </w:p>
        </w:tc>
        <w:tc>
          <w:tcPr>
            <w:tcW w:w="1132" w:type="dxa"/>
            <w:tcBorders>
              <w:top w:val="nil"/>
              <w:left w:val="nil"/>
              <w:bottom w:val="nil"/>
              <w:right w:val="nil"/>
            </w:tcBorders>
            <w:tcMar>
              <w:top w:w="57" w:type="dxa"/>
              <w:left w:w="0" w:type="dxa"/>
              <w:bottom w:w="57" w:type="dxa"/>
              <w:right w:w="0" w:type="dxa"/>
            </w:tcMar>
          </w:tcPr>
          <w:p w:rsidRPr="00F40F10" w:rsidR="00F40F10" w:rsidP="0088782A" w:rsidRDefault="00F40F10" w14:paraId="7457D577" w14:textId="77777777">
            <w:pPr>
              <w:pStyle w:val="tablebody"/>
              <w:jc w:val="right"/>
            </w:pPr>
            <w:r w:rsidRPr="00F40F10">
              <w:t xml:space="preserve">9,172 </w:t>
            </w:r>
          </w:p>
        </w:tc>
      </w:tr>
      <w:tr w:rsidRPr="00F40F10" w:rsidR="00F40F10" w:rsidTr="0088782A" w14:paraId="1F27039D" w14:textId="77777777">
        <w:tc>
          <w:tcPr>
            <w:tcW w:w="3402" w:type="dxa"/>
            <w:tcBorders>
              <w:top w:val="nil"/>
              <w:left w:val="nil"/>
              <w:bottom w:val="single" w:color="000000" w:sz="6" w:space="0"/>
              <w:right w:val="nil"/>
            </w:tcBorders>
            <w:tcMar>
              <w:top w:w="57" w:type="dxa"/>
              <w:left w:w="0" w:type="dxa"/>
              <w:bottom w:w="57" w:type="dxa"/>
              <w:right w:w="0" w:type="dxa"/>
            </w:tcMar>
          </w:tcPr>
          <w:p w:rsidRPr="00F40F10" w:rsidR="00F40F10" w:rsidP="0088782A" w:rsidRDefault="00F40F10" w14:paraId="25DB2A00" w14:textId="77777777">
            <w:pPr>
              <w:pStyle w:val="tablebody"/>
            </w:pPr>
            <w:r w:rsidRPr="00F40F10">
              <w:t>Expenses</w:t>
            </w:r>
          </w:p>
        </w:tc>
        <w:tc>
          <w:tcPr>
            <w:tcW w:w="2552" w:type="dxa"/>
            <w:tcBorders>
              <w:top w:val="nil"/>
              <w:left w:val="nil"/>
              <w:bottom w:val="single" w:color="000000" w:sz="6" w:space="0"/>
              <w:right w:val="nil"/>
            </w:tcBorders>
            <w:tcMar>
              <w:top w:w="57" w:type="dxa"/>
              <w:left w:w="0" w:type="dxa"/>
              <w:bottom w:w="57" w:type="dxa"/>
              <w:right w:w="0" w:type="dxa"/>
            </w:tcMar>
          </w:tcPr>
          <w:p w:rsidRPr="00F40F10" w:rsidR="00F40F10" w:rsidP="0088782A" w:rsidRDefault="00F40F10" w14:paraId="63E70BE1" w14:textId="77777777">
            <w:pPr>
              <w:pStyle w:val="tablebody"/>
              <w:jc w:val="right"/>
            </w:pPr>
            <w:r w:rsidRPr="00F40F10">
              <w:t xml:space="preserve">4,360 </w:t>
            </w:r>
          </w:p>
        </w:tc>
        <w:tc>
          <w:tcPr>
            <w:tcW w:w="2835" w:type="dxa"/>
            <w:tcBorders>
              <w:top w:val="nil"/>
              <w:left w:val="nil"/>
              <w:bottom w:val="single" w:color="000000" w:sz="6" w:space="0"/>
              <w:right w:val="nil"/>
            </w:tcBorders>
            <w:tcMar>
              <w:top w:w="57" w:type="dxa"/>
              <w:left w:w="0" w:type="dxa"/>
              <w:bottom w:w="57" w:type="dxa"/>
              <w:right w:w="0" w:type="dxa"/>
            </w:tcMar>
          </w:tcPr>
          <w:p w:rsidRPr="00F40F10" w:rsidR="00F40F10" w:rsidP="0088782A" w:rsidRDefault="00F40F10" w14:paraId="31BF9453" w14:textId="77777777">
            <w:pPr>
              <w:pStyle w:val="tablebody"/>
              <w:jc w:val="right"/>
            </w:pPr>
            <w:r w:rsidRPr="00F40F10">
              <w:t xml:space="preserve">4,812 </w:t>
            </w:r>
          </w:p>
        </w:tc>
        <w:tc>
          <w:tcPr>
            <w:tcW w:w="1132" w:type="dxa"/>
            <w:tcBorders>
              <w:top w:val="nil"/>
              <w:left w:val="nil"/>
              <w:bottom w:val="single" w:color="000000" w:sz="6" w:space="0"/>
              <w:right w:val="nil"/>
            </w:tcBorders>
            <w:tcMar>
              <w:top w:w="57" w:type="dxa"/>
              <w:left w:w="0" w:type="dxa"/>
              <w:bottom w:w="57" w:type="dxa"/>
              <w:right w:w="0" w:type="dxa"/>
            </w:tcMar>
          </w:tcPr>
          <w:p w:rsidRPr="00F40F10" w:rsidR="00F40F10" w:rsidP="0088782A" w:rsidRDefault="00F40F10" w14:paraId="1DAA08F9" w14:textId="77777777">
            <w:pPr>
              <w:pStyle w:val="tablebody"/>
              <w:jc w:val="right"/>
            </w:pPr>
            <w:r w:rsidRPr="00F40F10">
              <w:t xml:space="preserve">9,172 </w:t>
            </w:r>
          </w:p>
        </w:tc>
      </w:tr>
    </w:tbl>
    <w:p w:rsidRPr="00F40F10" w:rsidR="00F40F10" w:rsidP="00F40F10" w:rsidRDefault="00F40F10" w14:paraId="36C258A1" w14:textId="77777777"/>
    <w:p w:rsidRPr="00F40F10" w:rsidR="00F40F10" w:rsidP="00F40F10" w:rsidRDefault="00F40F10" w14:paraId="16728F58" w14:textId="31C23D17">
      <w:r w:rsidRPr="00F40F10">
        <w:t>The following net assets were assumed by the Department of Justice and Community Safety for the countering violent extremism activities as a result of the administrative restructure and were recognised at the carrying amount of those net assets at the date of transfer.</w:t>
      </w:r>
    </w:p>
    <w:tbl>
      <w:tblPr>
        <w:tblW w:w="0" w:type="auto"/>
        <w:tblLayout w:type="fixed"/>
        <w:tblCellMar>
          <w:left w:w="0" w:type="dxa"/>
          <w:right w:w="0" w:type="dxa"/>
        </w:tblCellMar>
        <w:tblLook w:firstRow="1" w:lastRow="0" w:firstColumn="0" w:lastColumn="0" w:noHBand="0" w:noVBand="0" w:val="0020"/>
      </w:tblPr>
      <w:tblGrid>
        <w:gridCol w:w="380"/>
        <w:gridCol w:w="8138"/>
        <w:gridCol w:w="1417"/>
      </w:tblGrid>
      <w:tr w:rsidRPr="00443749" w:rsidR="00F40F10" w:rsidTr="00443749" w14:paraId="50C9BCB6" w14:textId="77777777">
        <w:trPr>
          <w:tblHeader/>
        </w:trPr>
        <w:tc>
          <w:tcPr>
            <w:tcW w:w="380"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43F1EE6C" w14:textId="77777777">
            <w:pPr>
              <w:pStyle w:val="tablebody"/>
              <w:rPr>
                <w:b/>
              </w:rPr>
            </w:pPr>
          </w:p>
        </w:tc>
        <w:tc>
          <w:tcPr>
            <w:tcW w:w="8138"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33547BB4" w14:textId="77777777">
            <w:pPr>
              <w:pStyle w:val="tablebody"/>
              <w:rPr>
                <w:b/>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4B1A7365" w14:textId="77777777">
            <w:pPr>
              <w:pStyle w:val="tablebody"/>
              <w:jc w:val="right"/>
              <w:rPr>
                <w:b/>
              </w:rPr>
            </w:pPr>
            <w:r w:rsidRPr="00443749">
              <w:rPr>
                <w:b/>
              </w:rPr>
              <w:t>($ thousand)</w:t>
            </w:r>
          </w:p>
        </w:tc>
      </w:tr>
      <w:tr w:rsidRPr="00443749" w:rsidR="00F40F10" w:rsidTr="00443749" w14:paraId="5C8C1A26" w14:textId="77777777">
        <w:trPr>
          <w:tblHeader/>
        </w:trPr>
        <w:tc>
          <w:tcPr>
            <w:tcW w:w="38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665975D8" w14:textId="77777777">
            <w:pPr>
              <w:pStyle w:val="tablebody"/>
              <w:rPr>
                <w:b/>
              </w:rPr>
            </w:pPr>
          </w:p>
        </w:tc>
        <w:tc>
          <w:tcPr>
            <w:tcW w:w="813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110AD69C" w14:textId="77777777">
            <w:pPr>
              <w:pStyle w:val="tablebody"/>
              <w:rPr>
                <w:b/>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67D7CACD" w14:textId="77777777">
            <w:pPr>
              <w:pStyle w:val="tablebody"/>
              <w:jc w:val="right"/>
              <w:rPr>
                <w:b/>
              </w:rPr>
            </w:pPr>
            <w:r w:rsidRPr="00443749">
              <w:rPr>
                <w:b/>
              </w:rPr>
              <w:t>2019</w:t>
            </w:r>
          </w:p>
        </w:tc>
      </w:tr>
      <w:tr w:rsidRPr="00443749" w:rsidR="00F40F10" w:rsidTr="00443749" w14:paraId="1B41B790" w14:textId="77777777">
        <w:tc>
          <w:tcPr>
            <w:tcW w:w="8518" w:type="dxa"/>
            <w:gridSpan w:val="2"/>
            <w:tcBorders>
              <w:top w:val="single" w:color="000000" w:sz="6" w:space="0"/>
              <w:left w:val="nil"/>
              <w:bottom w:val="nil"/>
              <w:right w:val="nil"/>
            </w:tcBorders>
            <w:tcMar>
              <w:top w:w="57" w:type="dxa"/>
              <w:left w:w="0" w:type="dxa"/>
              <w:bottom w:w="57" w:type="dxa"/>
              <w:right w:w="0" w:type="dxa"/>
            </w:tcMar>
            <w:vAlign w:val="bottom"/>
          </w:tcPr>
          <w:p w:rsidRPr="00443749" w:rsidR="00F40F10" w:rsidP="00443749" w:rsidRDefault="00F40F10" w14:paraId="05D4116E" w14:textId="77777777">
            <w:pPr>
              <w:pStyle w:val="tablebody"/>
              <w:rPr>
                <w:b/>
              </w:rPr>
            </w:pPr>
            <w:r w:rsidRPr="00443749">
              <w:rPr>
                <w:b/>
              </w:rPr>
              <w:t>Controlled</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443749" w:rsidR="00F40F10" w:rsidP="00443749" w:rsidRDefault="00F40F10" w14:paraId="33AD5279" w14:textId="77777777">
            <w:pPr>
              <w:pStyle w:val="tablebody"/>
              <w:jc w:val="right"/>
              <w:rPr>
                <w:b/>
              </w:rPr>
            </w:pPr>
          </w:p>
        </w:tc>
      </w:tr>
      <w:tr w:rsidRPr="00443749" w:rsidR="00F40F10" w:rsidTr="00443749" w14:paraId="657DF20F" w14:textId="77777777">
        <w:tc>
          <w:tcPr>
            <w:tcW w:w="8518" w:type="dxa"/>
            <w:gridSpan w:val="2"/>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432BCD5A" w14:textId="77777777">
            <w:pPr>
              <w:pStyle w:val="tablebody"/>
              <w:rPr>
                <w:b/>
              </w:rPr>
            </w:pPr>
            <w:r w:rsidRPr="00443749">
              <w:rPr>
                <w:b/>
              </w:rPr>
              <w:t>Assets</w:t>
            </w:r>
          </w:p>
        </w:tc>
        <w:tc>
          <w:tcPr>
            <w:tcW w:w="1417"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0271DED3" w14:textId="77777777">
            <w:pPr>
              <w:pStyle w:val="tablebody"/>
              <w:jc w:val="right"/>
              <w:rPr>
                <w:b/>
              </w:rPr>
            </w:pPr>
          </w:p>
        </w:tc>
      </w:tr>
      <w:tr w:rsidRPr="00443749" w:rsidR="00F40F10" w:rsidTr="00443749" w14:paraId="7D2E002E" w14:textId="77777777">
        <w:tc>
          <w:tcPr>
            <w:tcW w:w="380"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2BBC0624" w14:textId="77777777">
            <w:pPr>
              <w:pStyle w:val="tablebody"/>
            </w:pPr>
          </w:p>
        </w:tc>
        <w:tc>
          <w:tcPr>
            <w:tcW w:w="8138"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674451A4" w14:textId="77777777">
            <w:pPr>
              <w:pStyle w:val="tablebody"/>
            </w:pPr>
            <w:r w:rsidRPr="00443749">
              <w:t>Receivables</w:t>
            </w:r>
          </w:p>
        </w:tc>
        <w:tc>
          <w:tcPr>
            <w:tcW w:w="1417"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42FCF41E" w14:textId="77777777">
            <w:pPr>
              <w:pStyle w:val="tablebody"/>
              <w:jc w:val="right"/>
            </w:pPr>
            <w:r w:rsidRPr="00443749">
              <w:t xml:space="preserve">2,215 </w:t>
            </w:r>
          </w:p>
        </w:tc>
      </w:tr>
      <w:tr w:rsidRPr="00443749" w:rsidR="00F40F10" w:rsidTr="00443749" w14:paraId="329662F9" w14:textId="77777777">
        <w:tc>
          <w:tcPr>
            <w:tcW w:w="380"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68C9EA61" w14:textId="77777777">
            <w:pPr>
              <w:pStyle w:val="tablebody"/>
            </w:pPr>
          </w:p>
        </w:tc>
        <w:tc>
          <w:tcPr>
            <w:tcW w:w="8138"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25318D3E" w14:textId="77777777">
            <w:pPr>
              <w:pStyle w:val="tablebody"/>
            </w:pPr>
            <w:r w:rsidRPr="00443749">
              <w:t>Prepayments</w:t>
            </w:r>
          </w:p>
        </w:tc>
        <w:tc>
          <w:tcPr>
            <w:tcW w:w="1417"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79043C9E" w14:textId="77777777">
            <w:pPr>
              <w:pStyle w:val="tablebody"/>
              <w:jc w:val="right"/>
            </w:pPr>
            <w:r w:rsidRPr="00443749">
              <w:t xml:space="preserve">6 </w:t>
            </w:r>
          </w:p>
        </w:tc>
      </w:tr>
      <w:tr w:rsidRPr="00443749" w:rsidR="00F40F10" w:rsidTr="00443749" w14:paraId="5E4BB843" w14:textId="77777777">
        <w:tc>
          <w:tcPr>
            <w:tcW w:w="8518" w:type="dxa"/>
            <w:gridSpan w:val="2"/>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4E5FC1BF" w14:textId="77777777">
            <w:pPr>
              <w:pStyle w:val="tablebody"/>
              <w:rPr>
                <w:b/>
              </w:rPr>
            </w:pPr>
            <w:r w:rsidRPr="00443749">
              <w:rPr>
                <w:b/>
              </w:rPr>
              <w:t>Liabilities</w:t>
            </w:r>
          </w:p>
        </w:tc>
        <w:tc>
          <w:tcPr>
            <w:tcW w:w="1417"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4A98ADAE" w14:textId="77777777">
            <w:pPr>
              <w:pStyle w:val="tablebody"/>
              <w:jc w:val="right"/>
              <w:rPr>
                <w:b/>
              </w:rPr>
            </w:pPr>
          </w:p>
        </w:tc>
      </w:tr>
      <w:tr w:rsidRPr="00443749" w:rsidR="00F40F10" w:rsidTr="00443749" w14:paraId="55656E6A" w14:textId="77777777">
        <w:tc>
          <w:tcPr>
            <w:tcW w:w="380"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19E8CA31" w14:textId="77777777">
            <w:pPr>
              <w:pStyle w:val="tablebody"/>
            </w:pPr>
          </w:p>
        </w:tc>
        <w:tc>
          <w:tcPr>
            <w:tcW w:w="8138"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12A18A34" w14:textId="77777777">
            <w:pPr>
              <w:pStyle w:val="tablebody"/>
            </w:pPr>
            <w:r w:rsidRPr="00443749">
              <w:t>Payables</w:t>
            </w:r>
          </w:p>
        </w:tc>
        <w:tc>
          <w:tcPr>
            <w:tcW w:w="1417" w:type="dxa"/>
            <w:tcBorders>
              <w:top w:val="nil"/>
              <w:left w:val="nil"/>
              <w:bottom w:val="nil"/>
              <w:right w:val="nil"/>
            </w:tcBorders>
            <w:tcMar>
              <w:top w:w="57" w:type="dxa"/>
              <w:left w:w="0" w:type="dxa"/>
              <w:bottom w:w="57" w:type="dxa"/>
              <w:right w:w="0" w:type="dxa"/>
            </w:tcMar>
            <w:vAlign w:val="bottom"/>
          </w:tcPr>
          <w:p w:rsidRPr="00443749" w:rsidR="00F40F10" w:rsidP="00443749" w:rsidRDefault="00F40F10" w14:paraId="5A3F9C8B" w14:textId="77777777">
            <w:pPr>
              <w:pStyle w:val="tablebody"/>
              <w:jc w:val="right"/>
            </w:pPr>
            <w:r w:rsidRPr="00443749">
              <w:t xml:space="preserve">1,980 </w:t>
            </w:r>
          </w:p>
        </w:tc>
      </w:tr>
      <w:tr w:rsidRPr="00443749" w:rsidR="00F40F10" w:rsidTr="00443749" w14:paraId="158D1FCD" w14:textId="77777777">
        <w:tc>
          <w:tcPr>
            <w:tcW w:w="380"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2F49C442" w14:textId="77777777">
            <w:pPr>
              <w:pStyle w:val="tablebody"/>
            </w:pPr>
          </w:p>
        </w:tc>
        <w:tc>
          <w:tcPr>
            <w:tcW w:w="8138"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3BFAD318" w14:textId="77777777">
            <w:pPr>
              <w:pStyle w:val="tablebody"/>
            </w:pPr>
            <w:r w:rsidRPr="00443749">
              <w:t>Employee benefit provisions</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208125A0" w14:textId="77777777">
            <w:pPr>
              <w:pStyle w:val="tablebody"/>
              <w:jc w:val="right"/>
            </w:pPr>
            <w:r w:rsidRPr="00443749">
              <w:t xml:space="preserve">241 </w:t>
            </w:r>
          </w:p>
        </w:tc>
      </w:tr>
      <w:tr w:rsidRPr="00443749" w:rsidR="00F40F10" w:rsidTr="00443749" w14:paraId="278A27DB" w14:textId="77777777">
        <w:tc>
          <w:tcPr>
            <w:tcW w:w="8518"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6209C98C" w14:textId="77777777">
            <w:pPr>
              <w:pStyle w:val="tablebody"/>
              <w:rPr>
                <w:b/>
              </w:rPr>
            </w:pPr>
            <w:r w:rsidRPr="00443749">
              <w:rPr>
                <w:b/>
              </w:rPr>
              <w:t>Controlled net assets recognised</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2C85E40A" w14:textId="77777777">
            <w:pPr>
              <w:pStyle w:val="tablebody"/>
              <w:jc w:val="right"/>
              <w:rPr>
                <w:b/>
              </w:rPr>
            </w:pPr>
            <w:r w:rsidRPr="00443749">
              <w:rPr>
                <w:b/>
              </w:rPr>
              <w:t xml:space="preserve">0 </w:t>
            </w:r>
          </w:p>
        </w:tc>
      </w:tr>
      <w:tr w:rsidRPr="00443749" w:rsidR="00F40F10" w:rsidTr="00443749" w14:paraId="3EC627E8" w14:textId="77777777">
        <w:tc>
          <w:tcPr>
            <w:tcW w:w="8518" w:type="dxa"/>
            <w:gridSpan w:val="2"/>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7A27B653" w14:textId="77777777">
            <w:pPr>
              <w:pStyle w:val="tablebody"/>
              <w:rPr>
                <w:b/>
              </w:rPr>
            </w:pPr>
            <w:r w:rsidRPr="00443749">
              <w:rPr>
                <w:b/>
              </w:rPr>
              <w:t>Net capital contribution from the Crown</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F40F10" w:rsidP="00443749" w:rsidRDefault="00F40F10" w14:paraId="608A9014" w14:textId="77777777">
            <w:pPr>
              <w:pStyle w:val="tablebody"/>
              <w:jc w:val="right"/>
              <w:rPr>
                <w:b/>
              </w:rPr>
            </w:pPr>
            <w:r w:rsidRPr="00443749">
              <w:rPr>
                <w:b/>
              </w:rPr>
              <w:t xml:space="preserve">0 </w:t>
            </w:r>
          </w:p>
        </w:tc>
      </w:tr>
    </w:tbl>
    <w:p w:rsidRPr="00F40F10" w:rsidR="00F40F10" w:rsidP="00F40F10" w:rsidRDefault="00F40F10" w14:paraId="52F5C48C" w14:textId="77777777"/>
    <w:p w:rsidR="00443749" w:rsidRDefault="00443749" w14:paraId="13CA1BA5" w14:textId="03AE58CD">
      <w:pPr>
        <w:spacing w:after="0"/>
      </w:pPr>
      <w:r>
        <w:br w:type="page"/>
      </w:r>
    </w:p>
    <w:p w:rsidRPr="00443749" w:rsidR="00443749" w:rsidP="00443749" w:rsidRDefault="00443749" w14:paraId="0EC7AF0D" w14:textId="4B8E9E81">
      <w:pPr>
        <w:pStyle w:val="Heading2"/>
      </w:pPr>
      <w:bookmarkStart w:id="19" w:name="_Toc21870907"/>
      <w:r w:rsidRPr="00443749">
        <w:lastRenderedPageBreak/>
        <w:t>5. Key assets available to support output delivery</w:t>
      </w:r>
      <w:bookmarkEnd w:id="19"/>
    </w:p>
    <w:p w:rsidRPr="00443749" w:rsidR="00443749" w:rsidP="00443749" w:rsidRDefault="00443749" w14:paraId="1D934BC8" w14:textId="77777777">
      <w:pPr>
        <w:pStyle w:val="Heading3"/>
      </w:pPr>
      <w:r w:rsidRPr="00443749">
        <w:t>5.1 Introduction</w:t>
      </w:r>
    </w:p>
    <w:p w:rsidRPr="00443749" w:rsidR="00443749" w:rsidP="00443749" w:rsidRDefault="00443749" w14:paraId="36CF0B21" w14:textId="77777777">
      <w:r w:rsidRPr="00443749">
        <w:t>The department controls assets that are utilised in fulfilling its objectives and conducting its activities.  They represent the resources that have been entrusted to the department to be utilised for delivery of these outputs.</w:t>
      </w:r>
    </w:p>
    <w:p w:rsidRPr="00443749" w:rsidR="00443749" w:rsidP="00443749" w:rsidRDefault="00443749" w14:paraId="29B3E3E2" w14:textId="3963A38A">
      <w:pPr>
        <w:pStyle w:val="Heading3"/>
      </w:pPr>
      <w:r w:rsidRPr="00443749">
        <w:t>5.2 Property, plant and equipment</w:t>
      </w:r>
    </w:p>
    <w:tbl>
      <w:tblPr>
        <w:tblW w:w="0" w:type="auto"/>
        <w:tblLayout w:type="fixed"/>
        <w:tblCellMar>
          <w:left w:w="0" w:type="dxa"/>
          <w:right w:w="0" w:type="dxa"/>
        </w:tblCellMar>
        <w:tblLook w:firstRow="1" w:lastRow="0" w:firstColumn="0" w:lastColumn="0" w:noHBand="0" w:noVBand="0" w:val="0020"/>
      </w:tblPr>
      <w:tblGrid>
        <w:gridCol w:w="3458"/>
        <w:gridCol w:w="1077"/>
        <w:gridCol w:w="1078"/>
        <w:gridCol w:w="1077"/>
        <w:gridCol w:w="1077"/>
        <w:gridCol w:w="1077"/>
        <w:gridCol w:w="1077"/>
      </w:tblGrid>
      <w:tr w:rsidRPr="00443749" w:rsidR="00443749" w:rsidTr="00443749" w14:paraId="1E54FD39" w14:textId="77777777">
        <w:trPr>
          <w:tblHeader/>
        </w:trPr>
        <w:tc>
          <w:tcPr>
            <w:tcW w:w="3458"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753A29D8" w14:textId="77777777">
            <w:pPr>
              <w:pStyle w:val="tablebody"/>
              <w:rPr>
                <w:b/>
              </w:rPr>
            </w:pP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53642E04" w14:textId="77777777">
            <w:pPr>
              <w:pStyle w:val="tablebody"/>
              <w:jc w:val="right"/>
              <w:rPr>
                <w:b/>
              </w:rPr>
            </w:pPr>
          </w:p>
        </w:tc>
        <w:tc>
          <w:tcPr>
            <w:tcW w:w="1078"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454634AE" w14:textId="77777777">
            <w:pPr>
              <w:pStyle w:val="tablebody"/>
              <w:jc w:val="right"/>
              <w:rPr>
                <w:b/>
              </w:rPr>
            </w:pP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315FE043" w14:textId="77777777">
            <w:pPr>
              <w:pStyle w:val="tablebody"/>
              <w:jc w:val="right"/>
              <w:rPr>
                <w:b/>
              </w:rPr>
            </w:pP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462B3724" w14:textId="77777777">
            <w:pPr>
              <w:pStyle w:val="tablebody"/>
              <w:jc w:val="right"/>
              <w:rPr>
                <w:b/>
              </w:rPr>
            </w:pP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02EF40E4" w14:textId="77777777">
            <w:pPr>
              <w:pStyle w:val="tablebody"/>
              <w:jc w:val="right"/>
              <w:rPr>
                <w:b/>
              </w:rPr>
            </w:pP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2F991204" w14:textId="77777777">
            <w:pPr>
              <w:pStyle w:val="tablebody"/>
              <w:jc w:val="right"/>
              <w:rPr>
                <w:b/>
              </w:rPr>
            </w:pPr>
            <w:r w:rsidRPr="00443749">
              <w:rPr>
                <w:b/>
              </w:rPr>
              <w:t>($ thousand)</w:t>
            </w:r>
          </w:p>
        </w:tc>
      </w:tr>
      <w:tr w:rsidRPr="00443749" w:rsidR="00443749" w:rsidTr="00443749" w14:paraId="3A894A8E" w14:textId="77777777">
        <w:trPr>
          <w:tblHeader/>
        </w:trPr>
        <w:tc>
          <w:tcPr>
            <w:tcW w:w="3458" w:type="dxa"/>
            <w:tcBorders>
              <w:top w:val="single" w:color="000000" w:sz="6" w:space="0"/>
              <w:left w:val="nil"/>
              <w:bottom w:val="single" w:color="000000" w:sz="8" w:space="0"/>
              <w:right w:val="nil"/>
            </w:tcBorders>
            <w:tcMar>
              <w:top w:w="57" w:type="dxa"/>
              <w:left w:w="0" w:type="dxa"/>
              <w:bottom w:w="57" w:type="dxa"/>
              <w:right w:w="0" w:type="dxa"/>
            </w:tcMar>
          </w:tcPr>
          <w:p w:rsidRPr="00443749" w:rsidR="00443749" w:rsidP="00443749" w:rsidRDefault="00443749" w14:paraId="3D832F0D" w14:textId="77777777">
            <w:pPr>
              <w:pStyle w:val="tablebody"/>
              <w:rPr>
                <w:b/>
              </w:rPr>
            </w:pPr>
          </w:p>
        </w:tc>
        <w:tc>
          <w:tcPr>
            <w:tcW w:w="2155" w:type="dxa"/>
            <w:gridSpan w:val="2"/>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6CB0DA2A" w14:textId="2A8F188E">
            <w:pPr>
              <w:pStyle w:val="tablebody"/>
              <w:jc w:val="right"/>
              <w:rPr>
                <w:b/>
              </w:rPr>
            </w:pPr>
            <w:r w:rsidRPr="00443749">
              <w:rPr>
                <w:b/>
              </w:rPr>
              <w:t>Gross carrying amount</w:t>
            </w:r>
          </w:p>
        </w:tc>
        <w:tc>
          <w:tcPr>
            <w:tcW w:w="2154" w:type="dxa"/>
            <w:gridSpan w:val="2"/>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57AE724B" w14:textId="4EADCB43">
            <w:pPr>
              <w:pStyle w:val="tablebody"/>
              <w:jc w:val="right"/>
              <w:rPr>
                <w:b/>
              </w:rPr>
            </w:pPr>
            <w:r w:rsidRPr="00443749">
              <w:rPr>
                <w:b/>
              </w:rPr>
              <w:t>Accumulated depreciation</w:t>
            </w:r>
          </w:p>
        </w:tc>
        <w:tc>
          <w:tcPr>
            <w:tcW w:w="2154" w:type="dxa"/>
            <w:gridSpan w:val="2"/>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5A639CF5" w14:textId="65308F1E">
            <w:pPr>
              <w:pStyle w:val="tablebody"/>
              <w:jc w:val="right"/>
              <w:rPr>
                <w:b/>
              </w:rPr>
            </w:pPr>
            <w:r w:rsidRPr="00443749">
              <w:rPr>
                <w:b/>
              </w:rPr>
              <w:t>Net carrying amount</w:t>
            </w:r>
          </w:p>
        </w:tc>
      </w:tr>
      <w:tr w:rsidRPr="00443749" w:rsidR="00443749" w:rsidTr="00443749" w14:paraId="43308D45" w14:textId="77777777">
        <w:trPr>
          <w:tblHeader/>
        </w:trPr>
        <w:tc>
          <w:tcPr>
            <w:tcW w:w="3458" w:type="dxa"/>
            <w:tcBorders>
              <w:top w:val="single" w:color="000000" w:sz="8" w:space="0"/>
              <w:left w:val="nil"/>
              <w:bottom w:val="single" w:color="000000" w:sz="6" w:space="0"/>
              <w:right w:val="nil"/>
            </w:tcBorders>
            <w:tcMar>
              <w:top w:w="57" w:type="dxa"/>
              <w:left w:w="0" w:type="dxa"/>
              <w:bottom w:w="57" w:type="dxa"/>
              <w:right w:w="0" w:type="dxa"/>
            </w:tcMar>
          </w:tcPr>
          <w:p w:rsidRPr="00443749" w:rsidR="00443749" w:rsidP="00443749" w:rsidRDefault="00443749" w14:paraId="3FFE0479" w14:textId="77777777">
            <w:pPr>
              <w:pStyle w:val="tablebody"/>
              <w:rPr>
                <w:b/>
              </w:rPr>
            </w:pP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0EFE7C76" w14:textId="77777777">
            <w:pPr>
              <w:pStyle w:val="tablebody"/>
              <w:jc w:val="right"/>
              <w:rPr>
                <w:b/>
              </w:rPr>
            </w:pPr>
            <w:r w:rsidRPr="00443749">
              <w:rPr>
                <w:b/>
              </w:rPr>
              <w:t>2019</w:t>
            </w:r>
          </w:p>
        </w:tc>
        <w:tc>
          <w:tcPr>
            <w:tcW w:w="1078"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53F980ED" w14:textId="77777777">
            <w:pPr>
              <w:pStyle w:val="tablebody"/>
              <w:jc w:val="right"/>
              <w:rPr>
                <w:b/>
              </w:rPr>
            </w:pPr>
            <w:r w:rsidRPr="00443749">
              <w:rPr>
                <w:b/>
              </w:rPr>
              <w:t>2018</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25D3D792" w14:textId="77777777">
            <w:pPr>
              <w:pStyle w:val="tablebody"/>
              <w:jc w:val="right"/>
              <w:rPr>
                <w:b/>
              </w:rPr>
            </w:pPr>
            <w:r w:rsidRPr="00443749">
              <w:rPr>
                <w:b/>
              </w:rPr>
              <w:t>2019</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4B01BCDA" w14:textId="77777777">
            <w:pPr>
              <w:pStyle w:val="tablebody"/>
              <w:jc w:val="right"/>
              <w:rPr>
                <w:b/>
              </w:rPr>
            </w:pPr>
            <w:r w:rsidRPr="00443749">
              <w:rPr>
                <w:b/>
              </w:rPr>
              <w:t>2018</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1CB6D59C" w14:textId="77777777">
            <w:pPr>
              <w:pStyle w:val="tablebody"/>
              <w:jc w:val="right"/>
              <w:rPr>
                <w:b/>
              </w:rPr>
            </w:pPr>
            <w:r w:rsidRPr="00443749">
              <w:rPr>
                <w:b/>
              </w:rPr>
              <w:t>2019</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2D2D700E" w14:textId="77777777">
            <w:pPr>
              <w:pStyle w:val="tablebody"/>
              <w:jc w:val="right"/>
              <w:rPr>
                <w:b/>
              </w:rPr>
            </w:pPr>
            <w:r w:rsidRPr="00443749">
              <w:rPr>
                <w:b/>
              </w:rPr>
              <w:t>2018</w:t>
            </w:r>
          </w:p>
        </w:tc>
      </w:tr>
      <w:tr w:rsidRPr="00443749" w:rsidR="00443749" w:rsidTr="00443749" w14:paraId="0F9EC7E8" w14:textId="77777777">
        <w:tc>
          <w:tcPr>
            <w:tcW w:w="3458"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38A87525" w14:textId="77777777">
            <w:pPr>
              <w:pStyle w:val="tablebody"/>
            </w:pPr>
            <w:r w:rsidRPr="00443749">
              <w:t>Land at fair value</w:t>
            </w:r>
          </w:p>
        </w:tc>
        <w:tc>
          <w:tcPr>
            <w:tcW w:w="1077"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31A2E78E" w14:textId="77777777">
            <w:pPr>
              <w:pStyle w:val="tablebody"/>
              <w:jc w:val="right"/>
            </w:pPr>
            <w:r w:rsidRPr="00443749">
              <w:t xml:space="preserve">287,093 </w:t>
            </w:r>
          </w:p>
        </w:tc>
        <w:tc>
          <w:tcPr>
            <w:tcW w:w="1078"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519A07A1" w14:textId="77777777">
            <w:pPr>
              <w:pStyle w:val="tablebody"/>
              <w:jc w:val="right"/>
            </w:pPr>
            <w:r w:rsidRPr="00443749">
              <w:t xml:space="preserve">281,876 </w:t>
            </w:r>
          </w:p>
        </w:tc>
        <w:tc>
          <w:tcPr>
            <w:tcW w:w="1077"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1D238B8C" w14:textId="77777777">
            <w:pPr>
              <w:pStyle w:val="tablebody"/>
              <w:jc w:val="right"/>
            </w:pPr>
            <w:r w:rsidRPr="00443749">
              <w:t xml:space="preserve">0 </w:t>
            </w:r>
          </w:p>
        </w:tc>
        <w:tc>
          <w:tcPr>
            <w:tcW w:w="1077"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77AD4E73" w14:textId="77777777">
            <w:pPr>
              <w:pStyle w:val="tablebody"/>
              <w:jc w:val="right"/>
            </w:pPr>
            <w:r w:rsidRPr="00443749">
              <w:t xml:space="preserve">0 </w:t>
            </w:r>
          </w:p>
        </w:tc>
        <w:tc>
          <w:tcPr>
            <w:tcW w:w="1077"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4EA794C0" w14:textId="77777777">
            <w:pPr>
              <w:pStyle w:val="tablebody"/>
              <w:jc w:val="right"/>
            </w:pPr>
            <w:r w:rsidRPr="00443749">
              <w:t xml:space="preserve">287,093 </w:t>
            </w:r>
          </w:p>
        </w:tc>
        <w:tc>
          <w:tcPr>
            <w:tcW w:w="1077" w:type="dxa"/>
            <w:tcBorders>
              <w:top w:val="single" w:color="000000" w:sz="6" w:space="0"/>
              <w:left w:val="nil"/>
              <w:bottom w:val="nil"/>
              <w:right w:val="nil"/>
            </w:tcBorders>
            <w:tcMar>
              <w:top w:w="57" w:type="dxa"/>
              <w:left w:w="0" w:type="dxa"/>
              <w:bottom w:w="57" w:type="dxa"/>
              <w:right w:w="0" w:type="dxa"/>
            </w:tcMar>
          </w:tcPr>
          <w:p w:rsidRPr="00443749" w:rsidR="00443749" w:rsidP="00443749" w:rsidRDefault="00443749" w14:paraId="0E027713" w14:textId="77777777">
            <w:pPr>
              <w:pStyle w:val="tablebody"/>
              <w:jc w:val="right"/>
            </w:pPr>
            <w:r w:rsidRPr="00443749">
              <w:t xml:space="preserve">281,876 </w:t>
            </w:r>
          </w:p>
        </w:tc>
      </w:tr>
      <w:tr w:rsidRPr="00443749" w:rsidR="00443749" w:rsidTr="00443749" w14:paraId="7A042061" w14:textId="77777777">
        <w:tc>
          <w:tcPr>
            <w:tcW w:w="3458" w:type="dxa"/>
            <w:tcBorders>
              <w:top w:val="nil"/>
              <w:left w:val="nil"/>
              <w:bottom w:val="nil"/>
              <w:right w:val="nil"/>
            </w:tcBorders>
            <w:tcMar>
              <w:top w:w="57" w:type="dxa"/>
              <w:left w:w="0" w:type="dxa"/>
              <w:bottom w:w="57" w:type="dxa"/>
              <w:right w:w="0" w:type="dxa"/>
            </w:tcMar>
          </w:tcPr>
          <w:p w:rsidRPr="00443749" w:rsidR="00443749" w:rsidP="00443749" w:rsidRDefault="00443749" w14:paraId="5967C501" w14:textId="77777777">
            <w:pPr>
              <w:pStyle w:val="tablebody"/>
            </w:pPr>
            <w:r w:rsidRPr="00443749">
              <w:t>Buildings at fair value</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7CFD9A44" w14:textId="77777777">
            <w:pPr>
              <w:pStyle w:val="tablebody"/>
              <w:jc w:val="right"/>
            </w:pPr>
            <w:r w:rsidRPr="00443749">
              <w:t xml:space="preserve">1,510,406 </w:t>
            </w:r>
          </w:p>
        </w:tc>
        <w:tc>
          <w:tcPr>
            <w:tcW w:w="1078" w:type="dxa"/>
            <w:tcBorders>
              <w:top w:val="nil"/>
              <w:left w:val="nil"/>
              <w:bottom w:val="nil"/>
              <w:right w:val="nil"/>
            </w:tcBorders>
            <w:tcMar>
              <w:top w:w="57" w:type="dxa"/>
              <w:left w:w="0" w:type="dxa"/>
              <w:bottom w:w="57" w:type="dxa"/>
              <w:right w:w="0" w:type="dxa"/>
            </w:tcMar>
          </w:tcPr>
          <w:p w:rsidRPr="00443749" w:rsidR="00443749" w:rsidP="00443749" w:rsidRDefault="00443749" w14:paraId="281419EA" w14:textId="77777777">
            <w:pPr>
              <w:pStyle w:val="tablebody"/>
              <w:jc w:val="right"/>
            </w:pPr>
            <w:r w:rsidRPr="00443749">
              <w:t xml:space="preserve">1,391,349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632FF8D" w14:textId="77777777">
            <w:pPr>
              <w:pStyle w:val="tablebody"/>
              <w:jc w:val="right"/>
            </w:pPr>
            <w:r w:rsidRPr="00443749">
              <w:t xml:space="preserve">(147,097)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0D827A06" w14:textId="77777777">
            <w:pPr>
              <w:pStyle w:val="tablebody"/>
              <w:jc w:val="right"/>
            </w:pPr>
            <w:r w:rsidRPr="00443749">
              <w:t xml:space="preserve">(96,238)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618FFBB0" w14:textId="77777777">
            <w:pPr>
              <w:pStyle w:val="tablebody"/>
              <w:jc w:val="right"/>
            </w:pPr>
            <w:r w:rsidRPr="00443749">
              <w:t xml:space="preserve">1,363,309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6BB78206" w14:textId="77777777">
            <w:pPr>
              <w:pStyle w:val="tablebody"/>
              <w:jc w:val="right"/>
            </w:pPr>
            <w:r w:rsidRPr="00443749">
              <w:t xml:space="preserve">1,295,111 </w:t>
            </w:r>
          </w:p>
        </w:tc>
      </w:tr>
      <w:tr w:rsidRPr="00443749" w:rsidR="00443749" w:rsidTr="00443749" w14:paraId="0C2C3F23" w14:textId="77777777">
        <w:tc>
          <w:tcPr>
            <w:tcW w:w="3458" w:type="dxa"/>
            <w:tcBorders>
              <w:top w:val="nil"/>
              <w:left w:val="nil"/>
              <w:bottom w:val="nil"/>
              <w:right w:val="nil"/>
            </w:tcBorders>
            <w:tcMar>
              <w:top w:w="57" w:type="dxa"/>
              <w:left w:w="0" w:type="dxa"/>
              <w:bottom w:w="57" w:type="dxa"/>
              <w:right w:w="0" w:type="dxa"/>
            </w:tcMar>
          </w:tcPr>
          <w:p w:rsidRPr="00443749" w:rsidR="00443749" w:rsidP="00443749" w:rsidRDefault="00443749" w14:paraId="0B5B215A" w14:textId="77777777">
            <w:pPr>
              <w:pStyle w:val="tablebody"/>
            </w:pPr>
            <w:r w:rsidRPr="00443749">
              <w:t>Leased buildings at fair value</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21B33C4" w14:textId="77777777">
            <w:pPr>
              <w:pStyle w:val="tablebody"/>
              <w:jc w:val="right"/>
            </w:pPr>
            <w:r w:rsidRPr="00443749">
              <w:t xml:space="preserve">1,158,659 </w:t>
            </w:r>
          </w:p>
        </w:tc>
        <w:tc>
          <w:tcPr>
            <w:tcW w:w="1078" w:type="dxa"/>
            <w:tcBorders>
              <w:top w:val="nil"/>
              <w:left w:val="nil"/>
              <w:bottom w:val="nil"/>
              <w:right w:val="nil"/>
            </w:tcBorders>
            <w:tcMar>
              <w:top w:w="57" w:type="dxa"/>
              <w:left w:w="0" w:type="dxa"/>
              <w:bottom w:w="57" w:type="dxa"/>
              <w:right w:w="0" w:type="dxa"/>
            </w:tcMar>
          </w:tcPr>
          <w:p w:rsidRPr="00443749" w:rsidR="00443749" w:rsidP="00443749" w:rsidRDefault="00443749" w14:paraId="289DB747" w14:textId="77777777">
            <w:pPr>
              <w:pStyle w:val="tablebody"/>
              <w:jc w:val="right"/>
            </w:pPr>
            <w:r w:rsidRPr="00443749">
              <w:t xml:space="preserve">1,158,659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58CE6CD" w14:textId="77777777">
            <w:pPr>
              <w:pStyle w:val="tablebody"/>
              <w:jc w:val="right"/>
            </w:pPr>
            <w:r w:rsidRPr="00443749">
              <w:t xml:space="preserve">(71,660)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97F0F4D" w14:textId="77777777">
            <w:pPr>
              <w:pStyle w:val="tablebody"/>
              <w:jc w:val="right"/>
            </w:pPr>
            <w:r w:rsidRPr="00443749">
              <w:t xml:space="preserve">(38,105)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A7AEC18" w14:textId="77777777">
            <w:pPr>
              <w:pStyle w:val="tablebody"/>
              <w:jc w:val="right"/>
            </w:pPr>
            <w:r w:rsidRPr="00443749">
              <w:t xml:space="preserve">1,086,999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8C01681" w14:textId="77777777">
            <w:pPr>
              <w:pStyle w:val="tablebody"/>
              <w:jc w:val="right"/>
            </w:pPr>
            <w:r w:rsidRPr="00443749">
              <w:t xml:space="preserve">1,120,554 </w:t>
            </w:r>
          </w:p>
        </w:tc>
      </w:tr>
      <w:tr w:rsidRPr="00443749" w:rsidR="00443749" w:rsidTr="00443749" w14:paraId="1B6393E5" w14:textId="77777777">
        <w:tc>
          <w:tcPr>
            <w:tcW w:w="3458" w:type="dxa"/>
            <w:tcBorders>
              <w:top w:val="nil"/>
              <w:left w:val="nil"/>
              <w:bottom w:val="nil"/>
              <w:right w:val="nil"/>
            </w:tcBorders>
            <w:tcMar>
              <w:top w:w="57" w:type="dxa"/>
              <w:left w:w="0" w:type="dxa"/>
              <w:bottom w:w="57" w:type="dxa"/>
              <w:right w:w="0" w:type="dxa"/>
            </w:tcMar>
          </w:tcPr>
          <w:p w:rsidRPr="00443749" w:rsidR="00443749" w:rsidP="00443749" w:rsidRDefault="00443749" w14:paraId="187EE740" w14:textId="77777777">
            <w:pPr>
              <w:pStyle w:val="tablebody"/>
            </w:pPr>
            <w:r w:rsidRPr="00443749">
              <w:t>Leasehold improvements at fair value</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577A4B4E" w14:textId="77777777">
            <w:pPr>
              <w:pStyle w:val="tablebody"/>
              <w:jc w:val="right"/>
            </w:pPr>
            <w:r w:rsidRPr="00443749">
              <w:t xml:space="preserve">113,490 </w:t>
            </w:r>
          </w:p>
        </w:tc>
        <w:tc>
          <w:tcPr>
            <w:tcW w:w="1078" w:type="dxa"/>
            <w:tcBorders>
              <w:top w:val="nil"/>
              <w:left w:val="nil"/>
              <w:bottom w:val="nil"/>
              <w:right w:val="nil"/>
            </w:tcBorders>
            <w:tcMar>
              <w:top w:w="57" w:type="dxa"/>
              <w:left w:w="0" w:type="dxa"/>
              <w:bottom w:w="57" w:type="dxa"/>
              <w:right w:w="0" w:type="dxa"/>
            </w:tcMar>
          </w:tcPr>
          <w:p w:rsidRPr="00443749" w:rsidR="00443749" w:rsidP="00443749" w:rsidRDefault="00443749" w14:paraId="09A7CD00" w14:textId="77777777">
            <w:pPr>
              <w:pStyle w:val="tablebody"/>
              <w:jc w:val="right"/>
            </w:pPr>
            <w:r w:rsidRPr="00443749">
              <w:t xml:space="preserve">83,807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05702E6E" w14:textId="77777777">
            <w:pPr>
              <w:pStyle w:val="tablebody"/>
              <w:jc w:val="right"/>
            </w:pPr>
            <w:r w:rsidRPr="00443749">
              <w:t xml:space="preserve">(60,318)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3BB1D2A1" w14:textId="77777777">
            <w:pPr>
              <w:pStyle w:val="tablebody"/>
              <w:jc w:val="right"/>
            </w:pPr>
            <w:r w:rsidRPr="00443749">
              <w:t xml:space="preserve">(57,585)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FEA4BD2" w14:textId="77777777">
            <w:pPr>
              <w:pStyle w:val="tablebody"/>
              <w:jc w:val="right"/>
            </w:pPr>
            <w:r w:rsidRPr="00443749">
              <w:t xml:space="preserve">53,172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A6B8F41" w14:textId="77777777">
            <w:pPr>
              <w:pStyle w:val="tablebody"/>
              <w:jc w:val="right"/>
            </w:pPr>
            <w:r w:rsidRPr="00443749">
              <w:t xml:space="preserve">26,222 </w:t>
            </w:r>
          </w:p>
        </w:tc>
      </w:tr>
      <w:tr w:rsidRPr="00443749" w:rsidR="00443749" w:rsidTr="00443749" w14:paraId="5083D1E7" w14:textId="77777777">
        <w:tc>
          <w:tcPr>
            <w:tcW w:w="3458" w:type="dxa"/>
            <w:tcBorders>
              <w:top w:val="nil"/>
              <w:left w:val="nil"/>
              <w:bottom w:val="nil"/>
              <w:right w:val="nil"/>
            </w:tcBorders>
            <w:tcMar>
              <w:top w:w="57" w:type="dxa"/>
              <w:left w:w="0" w:type="dxa"/>
              <w:bottom w:w="57" w:type="dxa"/>
              <w:right w:w="0" w:type="dxa"/>
            </w:tcMar>
          </w:tcPr>
          <w:p w:rsidRPr="00443749" w:rsidR="00443749" w:rsidP="00443749" w:rsidRDefault="00443749" w14:paraId="562D8584" w14:textId="77777777">
            <w:pPr>
              <w:pStyle w:val="tablebody"/>
            </w:pPr>
            <w:r w:rsidRPr="00443749">
              <w:t>Plant and equipment at fair value</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B68042D" w14:textId="77777777">
            <w:pPr>
              <w:pStyle w:val="tablebody"/>
              <w:jc w:val="right"/>
            </w:pPr>
            <w:r w:rsidRPr="00443749">
              <w:t xml:space="preserve">281,454 </w:t>
            </w:r>
          </w:p>
        </w:tc>
        <w:tc>
          <w:tcPr>
            <w:tcW w:w="1078" w:type="dxa"/>
            <w:tcBorders>
              <w:top w:val="nil"/>
              <w:left w:val="nil"/>
              <w:bottom w:val="nil"/>
              <w:right w:val="nil"/>
            </w:tcBorders>
            <w:tcMar>
              <w:top w:w="57" w:type="dxa"/>
              <w:left w:w="0" w:type="dxa"/>
              <w:bottom w:w="57" w:type="dxa"/>
              <w:right w:w="0" w:type="dxa"/>
            </w:tcMar>
          </w:tcPr>
          <w:p w:rsidRPr="00443749" w:rsidR="00443749" w:rsidP="00443749" w:rsidRDefault="00443749" w14:paraId="5075096A" w14:textId="77777777">
            <w:pPr>
              <w:pStyle w:val="tablebody"/>
              <w:jc w:val="right"/>
            </w:pPr>
            <w:r w:rsidRPr="00443749">
              <w:t xml:space="preserve">261,613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34F703E5" w14:textId="77777777">
            <w:pPr>
              <w:pStyle w:val="tablebody"/>
              <w:jc w:val="right"/>
            </w:pPr>
            <w:r w:rsidRPr="00443749">
              <w:t xml:space="preserve">(166,722)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035D409C" w14:textId="77777777">
            <w:pPr>
              <w:pStyle w:val="tablebody"/>
              <w:jc w:val="right"/>
            </w:pPr>
            <w:r w:rsidRPr="00443749">
              <w:t xml:space="preserve">(145,134)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B846109" w14:textId="77777777">
            <w:pPr>
              <w:pStyle w:val="tablebody"/>
              <w:jc w:val="right"/>
            </w:pPr>
            <w:r w:rsidRPr="00443749">
              <w:t xml:space="preserve">114,732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108B713C" w14:textId="77777777">
            <w:pPr>
              <w:pStyle w:val="tablebody"/>
              <w:jc w:val="right"/>
            </w:pPr>
            <w:r w:rsidRPr="00443749">
              <w:t xml:space="preserve">116,479 </w:t>
            </w:r>
          </w:p>
        </w:tc>
      </w:tr>
      <w:tr w:rsidRPr="00443749" w:rsidR="00443749" w:rsidTr="00443749" w14:paraId="09DBDF6A" w14:textId="77777777">
        <w:tc>
          <w:tcPr>
            <w:tcW w:w="3458" w:type="dxa"/>
            <w:tcBorders>
              <w:top w:val="nil"/>
              <w:left w:val="nil"/>
              <w:bottom w:val="nil"/>
              <w:right w:val="nil"/>
            </w:tcBorders>
            <w:tcMar>
              <w:top w:w="57" w:type="dxa"/>
              <w:left w:w="0" w:type="dxa"/>
              <w:bottom w:w="57" w:type="dxa"/>
              <w:right w:w="0" w:type="dxa"/>
            </w:tcMar>
          </w:tcPr>
          <w:p w:rsidRPr="00443749" w:rsidR="00443749" w:rsidP="00443749" w:rsidRDefault="00443749" w14:paraId="6C187337" w14:textId="77777777">
            <w:pPr>
              <w:pStyle w:val="tablebody"/>
            </w:pPr>
            <w:r w:rsidRPr="00443749">
              <w:t>Leased plant and equipment at fair value</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0108FF31" w14:textId="77777777">
            <w:pPr>
              <w:pStyle w:val="tablebody"/>
              <w:jc w:val="right"/>
            </w:pPr>
            <w:r w:rsidRPr="00443749">
              <w:t xml:space="preserve">94,406 </w:t>
            </w:r>
          </w:p>
        </w:tc>
        <w:tc>
          <w:tcPr>
            <w:tcW w:w="1078" w:type="dxa"/>
            <w:tcBorders>
              <w:top w:val="nil"/>
              <w:left w:val="nil"/>
              <w:bottom w:val="nil"/>
              <w:right w:val="nil"/>
            </w:tcBorders>
            <w:tcMar>
              <w:top w:w="57" w:type="dxa"/>
              <w:left w:w="0" w:type="dxa"/>
              <w:bottom w:w="57" w:type="dxa"/>
              <w:right w:w="0" w:type="dxa"/>
            </w:tcMar>
          </w:tcPr>
          <w:p w:rsidRPr="00443749" w:rsidR="00443749" w:rsidP="00443749" w:rsidRDefault="00443749" w14:paraId="5132B82B" w14:textId="77777777">
            <w:pPr>
              <w:pStyle w:val="tablebody"/>
              <w:jc w:val="right"/>
            </w:pPr>
            <w:r w:rsidRPr="00443749">
              <w:t xml:space="preserve">93,730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21D01A66" w14:textId="77777777">
            <w:pPr>
              <w:pStyle w:val="tablebody"/>
              <w:jc w:val="right"/>
            </w:pPr>
            <w:r w:rsidRPr="00443749">
              <w:t xml:space="preserve">(15,456)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479172A7" w14:textId="77777777">
            <w:pPr>
              <w:pStyle w:val="tablebody"/>
              <w:jc w:val="right"/>
            </w:pPr>
            <w:r w:rsidRPr="00443749">
              <w:t xml:space="preserve">(11,418)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31E841F7" w14:textId="77777777">
            <w:pPr>
              <w:pStyle w:val="tablebody"/>
              <w:jc w:val="right"/>
            </w:pPr>
            <w:r w:rsidRPr="00443749">
              <w:t xml:space="preserve">78,950 </w:t>
            </w:r>
          </w:p>
        </w:tc>
        <w:tc>
          <w:tcPr>
            <w:tcW w:w="1077" w:type="dxa"/>
            <w:tcBorders>
              <w:top w:val="nil"/>
              <w:left w:val="nil"/>
              <w:bottom w:val="nil"/>
              <w:right w:val="nil"/>
            </w:tcBorders>
            <w:tcMar>
              <w:top w:w="57" w:type="dxa"/>
              <w:left w:w="0" w:type="dxa"/>
              <w:bottom w:w="57" w:type="dxa"/>
              <w:right w:w="0" w:type="dxa"/>
            </w:tcMar>
          </w:tcPr>
          <w:p w:rsidRPr="00443749" w:rsidR="00443749" w:rsidP="00443749" w:rsidRDefault="00443749" w14:paraId="36377DA4" w14:textId="77777777">
            <w:pPr>
              <w:pStyle w:val="tablebody"/>
              <w:jc w:val="right"/>
            </w:pPr>
            <w:r w:rsidRPr="00443749">
              <w:t xml:space="preserve">82,312 </w:t>
            </w:r>
          </w:p>
        </w:tc>
      </w:tr>
      <w:tr w:rsidRPr="00443749" w:rsidR="00443749" w:rsidTr="00443749" w14:paraId="09F59D76" w14:textId="77777777">
        <w:tc>
          <w:tcPr>
            <w:tcW w:w="3458"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53168906" w14:textId="77777777">
            <w:pPr>
              <w:pStyle w:val="tablebody"/>
            </w:pPr>
            <w:r w:rsidRPr="00443749">
              <w:t>Assets under construction at cost</w:t>
            </w: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229388C4" w14:textId="77777777">
            <w:pPr>
              <w:pStyle w:val="tablebody"/>
              <w:jc w:val="right"/>
            </w:pPr>
            <w:r w:rsidRPr="00443749">
              <w:t xml:space="preserve">562,297 </w:t>
            </w:r>
          </w:p>
        </w:tc>
        <w:tc>
          <w:tcPr>
            <w:tcW w:w="1078"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10F29C06" w14:textId="77777777">
            <w:pPr>
              <w:pStyle w:val="tablebody"/>
              <w:jc w:val="right"/>
            </w:pPr>
            <w:r w:rsidRPr="00443749">
              <w:t xml:space="preserve">392,671 </w:t>
            </w: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46585D55" w14:textId="77777777">
            <w:pPr>
              <w:pStyle w:val="tablebody"/>
              <w:jc w:val="right"/>
            </w:pPr>
            <w:r w:rsidRPr="00443749">
              <w:t xml:space="preserve">0 </w:t>
            </w: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470166D6" w14:textId="77777777">
            <w:pPr>
              <w:pStyle w:val="tablebody"/>
              <w:jc w:val="right"/>
            </w:pPr>
            <w:r w:rsidRPr="00443749">
              <w:t xml:space="preserve">0 </w:t>
            </w: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1BD2FB3B" w14:textId="77777777">
            <w:pPr>
              <w:pStyle w:val="tablebody"/>
              <w:jc w:val="right"/>
            </w:pPr>
            <w:r w:rsidRPr="00443749">
              <w:t xml:space="preserve">562,297 </w:t>
            </w:r>
          </w:p>
        </w:tc>
        <w:tc>
          <w:tcPr>
            <w:tcW w:w="1077" w:type="dxa"/>
            <w:tcBorders>
              <w:top w:val="nil"/>
              <w:left w:val="nil"/>
              <w:bottom w:val="single" w:color="000000" w:sz="6" w:space="0"/>
              <w:right w:val="nil"/>
            </w:tcBorders>
            <w:tcMar>
              <w:top w:w="57" w:type="dxa"/>
              <w:left w:w="0" w:type="dxa"/>
              <w:bottom w:w="57" w:type="dxa"/>
              <w:right w:w="0" w:type="dxa"/>
            </w:tcMar>
          </w:tcPr>
          <w:p w:rsidRPr="00443749" w:rsidR="00443749" w:rsidP="00443749" w:rsidRDefault="00443749" w14:paraId="07FCD7F6" w14:textId="77777777">
            <w:pPr>
              <w:pStyle w:val="tablebody"/>
              <w:jc w:val="right"/>
            </w:pPr>
            <w:r w:rsidRPr="00443749">
              <w:t xml:space="preserve">392,671 </w:t>
            </w:r>
          </w:p>
        </w:tc>
      </w:tr>
      <w:tr w:rsidRPr="00443749" w:rsidR="00443749" w:rsidTr="00443749" w14:paraId="1AF5BE16" w14:textId="77777777">
        <w:tc>
          <w:tcPr>
            <w:tcW w:w="3458"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2EA667F9" w14:textId="77777777">
            <w:pPr>
              <w:pStyle w:val="tablebody"/>
              <w:rPr>
                <w:b/>
              </w:rPr>
            </w:pPr>
            <w:r w:rsidRPr="00443749">
              <w:rPr>
                <w:b/>
              </w:rPr>
              <w:t>Total</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40EF8676" w14:textId="77777777">
            <w:pPr>
              <w:pStyle w:val="tablebody"/>
              <w:jc w:val="right"/>
              <w:rPr>
                <w:b/>
              </w:rPr>
            </w:pPr>
            <w:r w:rsidRPr="00443749">
              <w:rPr>
                <w:b/>
              </w:rPr>
              <w:t xml:space="preserve">4,007,805 </w:t>
            </w:r>
          </w:p>
        </w:tc>
        <w:tc>
          <w:tcPr>
            <w:tcW w:w="1078"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40062FE3" w14:textId="77777777">
            <w:pPr>
              <w:pStyle w:val="tablebody"/>
              <w:jc w:val="right"/>
              <w:rPr>
                <w:b/>
              </w:rPr>
            </w:pPr>
            <w:r w:rsidRPr="00443749">
              <w:rPr>
                <w:b/>
              </w:rPr>
              <w:t xml:space="preserve">3,663,705 </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4867FB32" w14:textId="77777777">
            <w:pPr>
              <w:pStyle w:val="tablebody"/>
              <w:jc w:val="right"/>
              <w:rPr>
                <w:b/>
              </w:rPr>
            </w:pPr>
            <w:r w:rsidRPr="00443749">
              <w:rPr>
                <w:b/>
              </w:rPr>
              <w:t xml:space="preserve">(461,253) </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581C7DF0" w14:textId="77777777">
            <w:pPr>
              <w:pStyle w:val="tablebody"/>
              <w:jc w:val="right"/>
              <w:rPr>
                <w:b/>
              </w:rPr>
            </w:pPr>
            <w:r w:rsidRPr="00443749">
              <w:rPr>
                <w:b/>
              </w:rPr>
              <w:t xml:space="preserve">(348,480) </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581832AF" w14:textId="77777777">
            <w:pPr>
              <w:pStyle w:val="tablebody"/>
              <w:jc w:val="right"/>
              <w:rPr>
                <w:b/>
              </w:rPr>
            </w:pPr>
            <w:r w:rsidRPr="00443749">
              <w:rPr>
                <w:b/>
              </w:rPr>
              <w:t xml:space="preserve">3,546,552 </w:t>
            </w:r>
          </w:p>
        </w:tc>
        <w:tc>
          <w:tcPr>
            <w:tcW w:w="1077" w:type="dxa"/>
            <w:tcBorders>
              <w:top w:val="single" w:color="000000" w:sz="6" w:space="0"/>
              <w:left w:val="nil"/>
              <w:bottom w:val="single" w:color="000000" w:sz="6" w:space="0"/>
              <w:right w:val="nil"/>
            </w:tcBorders>
            <w:tcMar>
              <w:top w:w="57" w:type="dxa"/>
              <w:left w:w="0" w:type="dxa"/>
              <w:bottom w:w="57" w:type="dxa"/>
              <w:right w:w="0" w:type="dxa"/>
            </w:tcMar>
          </w:tcPr>
          <w:p w:rsidRPr="00443749" w:rsidR="00443749" w:rsidP="00443749" w:rsidRDefault="00443749" w14:paraId="335D3CE4" w14:textId="77777777">
            <w:pPr>
              <w:pStyle w:val="tablebody"/>
              <w:jc w:val="right"/>
              <w:rPr>
                <w:b/>
              </w:rPr>
            </w:pPr>
            <w:r w:rsidRPr="00443749">
              <w:rPr>
                <w:b/>
              </w:rPr>
              <w:t xml:space="preserve">3,315,225 </w:t>
            </w:r>
          </w:p>
        </w:tc>
      </w:tr>
    </w:tbl>
    <w:p w:rsidRPr="00443749" w:rsidR="00443749" w:rsidP="00443749" w:rsidRDefault="00443749" w14:paraId="608A21DD" w14:textId="77777777"/>
    <w:p w:rsidRPr="00443749" w:rsidR="00443749" w:rsidP="00443749" w:rsidRDefault="00443749" w14:paraId="2E420D41" w14:textId="77777777">
      <w:r w:rsidRPr="00443749">
        <w:rPr>
          <w:b/>
        </w:rPr>
        <w:t>Initial recognition:</w:t>
      </w:r>
      <w:r w:rsidRPr="00443749">
        <w:t xml:space="preserve"> Items of property, plant and equipment are measured initially at cost.  Where an asset is acquired for no or nominal cost, the cost is its fair value at the date of acquisition.  Assets transferred as part of a machinery of government change are transferred at their carrying amount.</w:t>
      </w:r>
    </w:p>
    <w:p w:rsidRPr="00443749" w:rsidR="00443749" w:rsidP="00443749" w:rsidRDefault="00443749" w14:paraId="370334A8" w14:textId="77777777">
      <w:r w:rsidRPr="00443749">
        <w:t>The costs of property, plant and equipment under construction includes the cost of all materials used in construction, direct labour on the project and an appropriate proportion of variable and fixed overheads.</w:t>
      </w:r>
    </w:p>
    <w:p w:rsidRPr="00443749" w:rsidR="00443749" w:rsidP="00443749" w:rsidRDefault="00443749" w14:paraId="1107D3CC" w14:textId="77777777">
      <w:r w:rsidRPr="00443749">
        <w:t>The cost of leased property, plant and equipment is measured at amounts equal to the fair value of the leased asset or, if lower, the present value of the minimum lease payments, each determined at the inception of the lease.  Certain assets acquired under finance leases may form part of a service concession arrangement (public private partnership).</w:t>
      </w:r>
    </w:p>
    <w:p w:rsidRPr="00443749" w:rsidR="00443749" w:rsidP="00443749" w:rsidRDefault="00443749" w14:paraId="7454E683" w14:textId="77777777">
      <w:r w:rsidRPr="00443749">
        <w:rPr>
          <w:b/>
        </w:rPr>
        <w:t>Subsequent measurement:</w:t>
      </w:r>
      <w:r w:rsidRPr="00443749">
        <w:t xml:space="preserve"> Property, plant and equipment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Refer to note 8.4 for additional information on fair value determination of property, plant and equipment.</w:t>
      </w:r>
    </w:p>
    <w:p w:rsidRPr="00443749" w:rsidR="00443749" w:rsidP="00443749" w:rsidRDefault="00443749" w14:paraId="781C32A3" w14:textId="77777777">
      <w:pPr>
        <w:pStyle w:val="Heading4"/>
      </w:pPr>
      <w:r w:rsidRPr="00443749">
        <w:t>5.2.1 Depreciation and impairment</w:t>
      </w:r>
    </w:p>
    <w:p w:rsidRPr="00443749" w:rsidR="00443749" w:rsidP="00443749" w:rsidRDefault="00443749" w14:paraId="712A8A0C" w14:textId="12EF6C69">
      <w:pPr>
        <w:rPr>
          <w:b/>
          <w:bCs/>
        </w:rPr>
      </w:pPr>
      <w:r w:rsidRPr="00443749">
        <w:rPr>
          <w:b/>
          <w:bCs/>
        </w:rPr>
        <w:t>Depreciation</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443749" w:rsidR="00443749" w:rsidTr="00443749" w14:paraId="6B8DFD4E" w14:textId="77777777">
        <w:trPr>
          <w:tblHeader/>
        </w:trPr>
        <w:tc>
          <w:tcPr>
            <w:tcW w:w="708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07FEF41C" w14:textId="77777777">
            <w:pPr>
              <w:pStyle w:val="tablebody"/>
              <w:rPr>
                <w:b/>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5AE7927D" w14:textId="77777777">
            <w:pPr>
              <w:pStyle w:val="tablebody"/>
              <w:jc w:val="right"/>
              <w:rPr>
                <w:b/>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00EBA7B8" w14:textId="77777777">
            <w:pPr>
              <w:pStyle w:val="tablebody"/>
              <w:jc w:val="right"/>
              <w:rPr>
                <w:b/>
              </w:rPr>
            </w:pPr>
            <w:r w:rsidRPr="00443749">
              <w:rPr>
                <w:b/>
              </w:rPr>
              <w:t>($ thousand)</w:t>
            </w:r>
          </w:p>
        </w:tc>
      </w:tr>
      <w:tr w:rsidRPr="00443749" w:rsidR="00443749" w:rsidTr="00443749" w14:paraId="09709ED9" w14:textId="77777777">
        <w:trPr>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413B93C5" w14:textId="77777777">
            <w:pPr>
              <w:pStyle w:val="tablebody"/>
              <w:rPr>
                <w:b/>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25A0CA4E" w14:textId="77777777">
            <w:pPr>
              <w:pStyle w:val="tablebody"/>
              <w:jc w:val="right"/>
              <w:rPr>
                <w:b/>
              </w:rPr>
            </w:pPr>
            <w:r w:rsidRPr="00443749">
              <w:rPr>
                <w:b/>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247DCEBB" w14:textId="77777777">
            <w:pPr>
              <w:pStyle w:val="tablebody"/>
              <w:jc w:val="right"/>
              <w:rPr>
                <w:b/>
              </w:rPr>
            </w:pPr>
            <w:r w:rsidRPr="00443749">
              <w:rPr>
                <w:b/>
              </w:rPr>
              <w:t>2018</w:t>
            </w:r>
          </w:p>
        </w:tc>
      </w:tr>
      <w:tr w:rsidRPr="00443749" w:rsidR="00443749" w:rsidTr="00443749" w14:paraId="6DF9F06E" w14:textId="77777777">
        <w:tc>
          <w:tcPr>
            <w:tcW w:w="7087" w:type="dxa"/>
            <w:tcBorders>
              <w:top w:val="single" w:color="000000" w:sz="6" w:space="0"/>
              <w:left w:val="nil"/>
              <w:bottom w:val="nil"/>
              <w:right w:val="nil"/>
            </w:tcBorders>
            <w:tcMar>
              <w:top w:w="57" w:type="dxa"/>
              <w:left w:w="0" w:type="dxa"/>
              <w:bottom w:w="57" w:type="dxa"/>
              <w:right w:w="0" w:type="dxa"/>
            </w:tcMar>
            <w:vAlign w:val="bottom"/>
          </w:tcPr>
          <w:p w:rsidRPr="00443749" w:rsidR="00443749" w:rsidP="00443749" w:rsidRDefault="00443749" w14:paraId="408AA62D" w14:textId="77777777">
            <w:pPr>
              <w:pStyle w:val="tablebody"/>
            </w:pPr>
            <w:r w:rsidRPr="00443749">
              <w:t>Buildings</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443749" w:rsidR="00443749" w:rsidP="00443749" w:rsidRDefault="00443749" w14:paraId="2215E0CB" w14:textId="77777777">
            <w:pPr>
              <w:pStyle w:val="tablebody"/>
              <w:jc w:val="right"/>
            </w:pPr>
            <w:r w:rsidRPr="00443749">
              <w:t xml:space="preserve">51,862 </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443749" w:rsidR="00443749" w:rsidP="00443749" w:rsidRDefault="00443749" w14:paraId="3C5D9A6C" w14:textId="77777777">
            <w:pPr>
              <w:pStyle w:val="tablebody"/>
              <w:jc w:val="right"/>
            </w:pPr>
            <w:r w:rsidRPr="00443749">
              <w:t xml:space="preserve">49,871 </w:t>
            </w:r>
          </w:p>
        </w:tc>
      </w:tr>
      <w:tr w:rsidRPr="00443749" w:rsidR="00443749" w:rsidTr="00443749" w14:paraId="041777D1" w14:textId="77777777">
        <w:tc>
          <w:tcPr>
            <w:tcW w:w="708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2889ABF1" w14:textId="77777777">
            <w:pPr>
              <w:pStyle w:val="tablebody"/>
            </w:pPr>
            <w:r w:rsidRPr="00443749">
              <w:t>Leased buildings</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4495F951" w14:textId="77777777">
            <w:pPr>
              <w:pStyle w:val="tablebody"/>
              <w:jc w:val="right"/>
            </w:pPr>
            <w:r w:rsidRPr="00443749">
              <w:t xml:space="preserve">33,555 </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488A7E2E" w14:textId="77777777">
            <w:pPr>
              <w:pStyle w:val="tablebody"/>
              <w:jc w:val="right"/>
            </w:pPr>
            <w:r w:rsidRPr="00443749">
              <w:t xml:space="preserve">25,058 </w:t>
            </w:r>
          </w:p>
        </w:tc>
      </w:tr>
      <w:tr w:rsidRPr="00443749" w:rsidR="00443749" w:rsidTr="00443749" w14:paraId="172D3C16" w14:textId="77777777">
        <w:tc>
          <w:tcPr>
            <w:tcW w:w="708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135C3CE2" w14:textId="77777777">
            <w:pPr>
              <w:pStyle w:val="tablebody"/>
            </w:pPr>
            <w:r w:rsidRPr="00443749">
              <w:t>Leasehold improvements</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5498672B" w14:textId="77777777">
            <w:pPr>
              <w:pStyle w:val="tablebody"/>
              <w:jc w:val="right"/>
            </w:pPr>
            <w:r w:rsidRPr="00443749">
              <w:t xml:space="preserve">9,767 </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75BAB7E1" w14:textId="77777777">
            <w:pPr>
              <w:pStyle w:val="tablebody"/>
              <w:jc w:val="right"/>
            </w:pPr>
            <w:r w:rsidRPr="00443749">
              <w:t xml:space="preserve">6,958 </w:t>
            </w:r>
          </w:p>
        </w:tc>
      </w:tr>
      <w:tr w:rsidRPr="00443749" w:rsidR="00443749" w:rsidTr="00443749" w14:paraId="564CCFAC" w14:textId="77777777">
        <w:tc>
          <w:tcPr>
            <w:tcW w:w="708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3D66C985" w14:textId="77777777">
            <w:pPr>
              <w:pStyle w:val="tablebody"/>
            </w:pPr>
            <w:r w:rsidRPr="00443749">
              <w:t>Plant and equipment</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2B4DCFA1" w14:textId="77777777">
            <w:pPr>
              <w:pStyle w:val="tablebody"/>
              <w:jc w:val="right"/>
            </w:pPr>
            <w:r w:rsidRPr="00443749">
              <w:t xml:space="preserve">22,871 </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632324EF" w14:textId="77777777">
            <w:pPr>
              <w:pStyle w:val="tablebody"/>
              <w:jc w:val="right"/>
            </w:pPr>
            <w:r w:rsidRPr="00443749">
              <w:t xml:space="preserve">22,727 </w:t>
            </w:r>
          </w:p>
        </w:tc>
      </w:tr>
      <w:tr w:rsidRPr="00443749" w:rsidR="00443749" w:rsidTr="00443749" w14:paraId="7091563F" w14:textId="77777777">
        <w:tc>
          <w:tcPr>
            <w:tcW w:w="708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5BC7D412" w14:textId="77777777">
            <w:pPr>
              <w:pStyle w:val="tablebody"/>
            </w:pPr>
            <w:r w:rsidRPr="00443749">
              <w:t>Leased plant and equipment</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1C1FA789" w14:textId="77777777">
            <w:pPr>
              <w:pStyle w:val="tablebody"/>
              <w:jc w:val="right"/>
            </w:pPr>
            <w:r w:rsidRPr="00443749">
              <w:t xml:space="preserve">8,205 </w:t>
            </w:r>
          </w:p>
        </w:tc>
        <w:tc>
          <w:tcPr>
            <w:tcW w:w="1417"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056AE2F4" w14:textId="77777777">
            <w:pPr>
              <w:pStyle w:val="tablebody"/>
              <w:jc w:val="right"/>
            </w:pPr>
            <w:r w:rsidRPr="00443749">
              <w:t xml:space="preserve">7,029 </w:t>
            </w:r>
          </w:p>
        </w:tc>
      </w:tr>
      <w:tr w:rsidRPr="00443749" w:rsidR="00443749" w:rsidTr="00443749" w14:paraId="5CEE4B56" w14:textId="77777777">
        <w:tc>
          <w:tcPr>
            <w:tcW w:w="708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12A6A427" w14:textId="77777777">
            <w:pPr>
              <w:pStyle w:val="tablebody"/>
            </w:pPr>
            <w:r w:rsidRPr="00443749">
              <w:t>Software</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1DF429FC" w14:textId="77777777">
            <w:pPr>
              <w:pStyle w:val="tablebody"/>
              <w:jc w:val="right"/>
            </w:pPr>
            <w:r w:rsidRPr="00443749">
              <w:t xml:space="preserve">8,421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3AFB7CC4" w14:textId="77777777">
            <w:pPr>
              <w:pStyle w:val="tablebody"/>
              <w:jc w:val="right"/>
            </w:pPr>
            <w:r w:rsidRPr="00443749">
              <w:t xml:space="preserve">6,950 </w:t>
            </w:r>
          </w:p>
        </w:tc>
      </w:tr>
      <w:tr w:rsidRPr="00443749" w:rsidR="00443749" w:rsidTr="00443749" w14:paraId="3848C4AD"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3CCCFDCE" w14:textId="77777777">
            <w:pPr>
              <w:pStyle w:val="tablebody"/>
              <w:rPr>
                <w:b/>
              </w:rPr>
            </w:pPr>
            <w:r w:rsidRPr="00443749">
              <w:rPr>
                <w:b/>
              </w:rPr>
              <w:t>Total</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1F31A054" w14:textId="77777777">
            <w:pPr>
              <w:pStyle w:val="tablebody"/>
              <w:jc w:val="right"/>
              <w:rPr>
                <w:b/>
              </w:rPr>
            </w:pPr>
            <w:r w:rsidRPr="00443749">
              <w:rPr>
                <w:b/>
              </w:rPr>
              <w:t xml:space="preserve">134,681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4DE07DD9" w14:textId="77777777">
            <w:pPr>
              <w:pStyle w:val="tablebody"/>
              <w:jc w:val="right"/>
              <w:rPr>
                <w:b/>
              </w:rPr>
            </w:pPr>
            <w:r w:rsidRPr="00443749">
              <w:rPr>
                <w:b/>
              </w:rPr>
              <w:t xml:space="preserve">118,593 </w:t>
            </w:r>
          </w:p>
        </w:tc>
      </w:tr>
    </w:tbl>
    <w:p w:rsidRPr="00443749" w:rsidR="00443749" w:rsidP="00443749" w:rsidRDefault="00443749" w14:paraId="5AADE854" w14:textId="77777777"/>
    <w:p w:rsidRPr="00443749" w:rsidR="00443749" w:rsidP="00443749" w:rsidRDefault="00443749" w14:paraId="6A6EF9D9" w14:textId="061EAAF3">
      <w:r w:rsidRPr="00443749">
        <w:t>All property, plant and equipment and intangible assets that have finite useful lives are depreciated.  Exceptions to this rule include items under operating leases, assets held for sale, and land.</w:t>
      </w:r>
    </w:p>
    <w:p w:rsidR="00443749" w:rsidRDefault="00443749" w14:paraId="3538FBE2" w14:textId="77777777">
      <w:pPr>
        <w:spacing w:after="0"/>
      </w:pPr>
      <w:r>
        <w:br w:type="page"/>
      </w:r>
    </w:p>
    <w:p w:rsidRPr="00443749" w:rsidR="00443749" w:rsidP="00443749" w:rsidRDefault="00443749" w14:paraId="7E4CAAFA" w14:textId="6623D22F">
      <w:r w:rsidRPr="00443749">
        <w:lastRenderedPageBreak/>
        <w:t>Depreciation is calculated on a straight line basis, at rates that allocate the asset’s value, less any estimated residual value, over its estimated useful life. Typical estimated useful lives for the different asset classes for current and prior years are included in the table below.</w:t>
      </w:r>
    </w:p>
    <w:tbl>
      <w:tblPr>
        <w:tblW w:w="0" w:type="auto"/>
        <w:tblLayout w:type="fixed"/>
        <w:tblCellMar>
          <w:left w:w="0" w:type="dxa"/>
          <w:right w:w="0" w:type="dxa"/>
        </w:tblCellMar>
        <w:tblLook w:firstRow="1" w:lastRow="0" w:firstColumn="0" w:lastColumn="0" w:noHBand="0" w:noVBand="0" w:val="0020"/>
      </w:tblPr>
      <w:tblGrid>
        <w:gridCol w:w="8220"/>
        <w:gridCol w:w="1701"/>
      </w:tblGrid>
      <w:tr w:rsidRPr="00443749" w:rsidR="00443749" w:rsidTr="00443749" w14:paraId="2C946F8E" w14:textId="77777777">
        <w:trPr>
          <w:tblHeader/>
        </w:trPr>
        <w:tc>
          <w:tcPr>
            <w:tcW w:w="8220"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5E4841DD" w14:textId="77777777">
            <w:pPr>
              <w:pStyle w:val="tablebody"/>
              <w:rPr>
                <w:lang w:val="en-US"/>
              </w:rPr>
            </w:pPr>
          </w:p>
        </w:tc>
        <w:tc>
          <w:tcPr>
            <w:tcW w:w="1701"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15139DAB" w14:textId="77777777">
            <w:pPr>
              <w:pStyle w:val="tablebody"/>
              <w:jc w:val="right"/>
              <w:rPr>
                <w:b/>
              </w:rPr>
            </w:pPr>
            <w:r w:rsidRPr="00443749">
              <w:rPr>
                <w:b/>
              </w:rPr>
              <w:t>(Years)</w:t>
            </w:r>
          </w:p>
        </w:tc>
      </w:tr>
      <w:tr w:rsidRPr="00443749" w:rsidR="00443749" w:rsidTr="00443749" w14:paraId="5DF0D5E3" w14:textId="77777777">
        <w:trPr>
          <w:tblHeader/>
        </w:trPr>
        <w:tc>
          <w:tcPr>
            <w:tcW w:w="822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55886A89" w14:textId="77777777">
            <w:pPr>
              <w:pStyle w:val="tablebody"/>
              <w:rPr>
                <w:lang w:val="en-US"/>
              </w:rPr>
            </w:pPr>
          </w:p>
        </w:tc>
        <w:tc>
          <w:tcPr>
            <w:tcW w:w="170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6D6BDC57" w14:textId="77777777">
            <w:pPr>
              <w:pStyle w:val="tablebody"/>
              <w:jc w:val="right"/>
              <w:rPr>
                <w:b/>
              </w:rPr>
            </w:pPr>
            <w:r w:rsidRPr="00443749">
              <w:rPr>
                <w:b/>
              </w:rPr>
              <w:t>Nominal useful life</w:t>
            </w:r>
          </w:p>
        </w:tc>
      </w:tr>
      <w:tr w:rsidRPr="00443749" w:rsidR="00443749" w:rsidTr="00443749" w14:paraId="2AD1B428" w14:textId="77777777">
        <w:tc>
          <w:tcPr>
            <w:tcW w:w="8220" w:type="dxa"/>
            <w:tcBorders>
              <w:top w:val="single" w:color="000000" w:sz="6" w:space="0"/>
              <w:left w:val="nil"/>
              <w:bottom w:val="nil"/>
              <w:right w:val="nil"/>
            </w:tcBorders>
            <w:tcMar>
              <w:top w:w="57" w:type="dxa"/>
              <w:left w:w="0" w:type="dxa"/>
              <w:bottom w:w="57" w:type="dxa"/>
              <w:right w:w="0" w:type="dxa"/>
            </w:tcMar>
            <w:vAlign w:val="bottom"/>
          </w:tcPr>
          <w:p w:rsidRPr="00443749" w:rsidR="00443749" w:rsidP="00443749" w:rsidRDefault="00443749" w14:paraId="7B4A4F09" w14:textId="77777777">
            <w:pPr>
              <w:pStyle w:val="tablebody"/>
            </w:pPr>
            <w:r w:rsidRPr="00443749">
              <w:t>Buildings (owned and leased)</w:t>
            </w:r>
          </w:p>
        </w:tc>
        <w:tc>
          <w:tcPr>
            <w:tcW w:w="1701" w:type="dxa"/>
            <w:tcBorders>
              <w:top w:val="single" w:color="000000" w:sz="6" w:space="0"/>
              <w:left w:val="nil"/>
              <w:bottom w:val="nil"/>
              <w:right w:val="nil"/>
            </w:tcBorders>
            <w:tcMar>
              <w:top w:w="57" w:type="dxa"/>
              <w:left w:w="0" w:type="dxa"/>
              <w:bottom w:w="57" w:type="dxa"/>
              <w:right w:w="0" w:type="dxa"/>
            </w:tcMar>
            <w:vAlign w:val="bottom"/>
          </w:tcPr>
          <w:p w:rsidRPr="00E0412F" w:rsidR="00443749" w:rsidP="00443749" w:rsidRDefault="00443749" w14:paraId="6CC709D9" w14:textId="77777777">
            <w:pPr>
              <w:pStyle w:val="tablebody"/>
              <w:jc w:val="right"/>
            </w:pPr>
            <w:r w:rsidRPr="00E0412F">
              <w:t>25 to 60</w:t>
            </w:r>
          </w:p>
        </w:tc>
      </w:tr>
      <w:tr w:rsidRPr="00443749" w:rsidR="00443749" w:rsidTr="00443749" w14:paraId="2EC32476" w14:textId="77777777">
        <w:tc>
          <w:tcPr>
            <w:tcW w:w="8220"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49F932C7" w14:textId="77777777">
            <w:pPr>
              <w:pStyle w:val="tablebody"/>
            </w:pPr>
            <w:r w:rsidRPr="00443749">
              <w:t>Leasehold improvements</w:t>
            </w:r>
          </w:p>
        </w:tc>
        <w:tc>
          <w:tcPr>
            <w:tcW w:w="1701" w:type="dxa"/>
            <w:tcBorders>
              <w:top w:val="nil"/>
              <w:left w:val="nil"/>
              <w:bottom w:val="nil"/>
              <w:right w:val="nil"/>
            </w:tcBorders>
            <w:tcMar>
              <w:top w:w="57" w:type="dxa"/>
              <w:left w:w="0" w:type="dxa"/>
              <w:bottom w:w="57" w:type="dxa"/>
              <w:right w:w="0" w:type="dxa"/>
            </w:tcMar>
            <w:vAlign w:val="bottom"/>
          </w:tcPr>
          <w:p w:rsidRPr="00E0412F" w:rsidR="00443749" w:rsidP="00443749" w:rsidRDefault="00443749" w14:paraId="781DEABC" w14:textId="77777777">
            <w:pPr>
              <w:pStyle w:val="tablebody"/>
              <w:jc w:val="right"/>
            </w:pPr>
            <w:r w:rsidRPr="00E0412F">
              <w:t>2 to 20</w:t>
            </w:r>
          </w:p>
        </w:tc>
      </w:tr>
      <w:tr w:rsidRPr="00443749" w:rsidR="00443749" w:rsidTr="00443749" w14:paraId="442592D2" w14:textId="77777777">
        <w:tc>
          <w:tcPr>
            <w:tcW w:w="8220" w:type="dxa"/>
            <w:tcBorders>
              <w:top w:val="nil"/>
              <w:left w:val="nil"/>
              <w:bottom w:val="nil"/>
              <w:right w:val="nil"/>
            </w:tcBorders>
            <w:tcMar>
              <w:top w:w="57" w:type="dxa"/>
              <w:left w:w="0" w:type="dxa"/>
              <w:bottom w:w="57" w:type="dxa"/>
              <w:right w:w="0" w:type="dxa"/>
            </w:tcMar>
            <w:vAlign w:val="bottom"/>
          </w:tcPr>
          <w:p w:rsidRPr="00443749" w:rsidR="00443749" w:rsidP="00443749" w:rsidRDefault="00443749" w14:paraId="0F5A8794" w14:textId="77777777">
            <w:pPr>
              <w:pStyle w:val="tablebody"/>
            </w:pPr>
            <w:r w:rsidRPr="00443749">
              <w:t>Plant and equipment (owned and leased)</w:t>
            </w:r>
          </w:p>
        </w:tc>
        <w:tc>
          <w:tcPr>
            <w:tcW w:w="1701" w:type="dxa"/>
            <w:tcBorders>
              <w:top w:val="nil"/>
              <w:left w:val="nil"/>
              <w:bottom w:val="nil"/>
              <w:right w:val="nil"/>
            </w:tcBorders>
            <w:tcMar>
              <w:top w:w="57" w:type="dxa"/>
              <w:left w:w="0" w:type="dxa"/>
              <w:bottom w:w="57" w:type="dxa"/>
              <w:right w:w="0" w:type="dxa"/>
            </w:tcMar>
            <w:vAlign w:val="bottom"/>
          </w:tcPr>
          <w:p w:rsidRPr="00E0412F" w:rsidR="00443749" w:rsidP="00443749" w:rsidRDefault="00443749" w14:paraId="1F1001E6" w14:textId="77777777">
            <w:pPr>
              <w:pStyle w:val="tablebody"/>
              <w:jc w:val="right"/>
            </w:pPr>
            <w:r w:rsidRPr="00E0412F">
              <w:t>5 to 21</w:t>
            </w:r>
          </w:p>
        </w:tc>
      </w:tr>
      <w:tr w:rsidRPr="00443749" w:rsidR="00443749" w:rsidTr="00443749" w14:paraId="56B44107" w14:textId="77777777">
        <w:tc>
          <w:tcPr>
            <w:tcW w:w="8220" w:type="dxa"/>
            <w:tcBorders>
              <w:top w:val="nil"/>
              <w:left w:val="nil"/>
              <w:bottom w:val="single" w:color="000000" w:sz="6" w:space="0"/>
              <w:right w:val="nil"/>
            </w:tcBorders>
            <w:tcMar>
              <w:top w:w="57" w:type="dxa"/>
              <w:left w:w="0" w:type="dxa"/>
              <w:bottom w:w="57" w:type="dxa"/>
              <w:right w:w="0" w:type="dxa"/>
            </w:tcMar>
            <w:vAlign w:val="bottom"/>
          </w:tcPr>
          <w:p w:rsidRPr="00443749" w:rsidR="00443749" w:rsidP="00443749" w:rsidRDefault="00443749" w14:paraId="707E59F4" w14:textId="77777777">
            <w:pPr>
              <w:pStyle w:val="tablebody"/>
            </w:pPr>
            <w:r w:rsidRPr="00443749">
              <w:t>Software</w:t>
            </w:r>
          </w:p>
        </w:tc>
        <w:tc>
          <w:tcPr>
            <w:tcW w:w="1701" w:type="dxa"/>
            <w:tcBorders>
              <w:top w:val="nil"/>
              <w:left w:val="nil"/>
              <w:bottom w:val="single" w:color="000000" w:sz="6" w:space="0"/>
              <w:right w:val="nil"/>
            </w:tcBorders>
            <w:tcMar>
              <w:top w:w="57" w:type="dxa"/>
              <w:left w:w="0" w:type="dxa"/>
              <w:bottom w:w="57" w:type="dxa"/>
              <w:right w:w="0" w:type="dxa"/>
            </w:tcMar>
            <w:vAlign w:val="bottom"/>
          </w:tcPr>
          <w:p w:rsidRPr="00E0412F" w:rsidR="00443749" w:rsidP="00443749" w:rsidRDefault="00443749" w14:paraId="3A4DD369" w14:textId="77777777">
            <w:pPr>
              <w:pStyle w:val="tablebody"/>
              <w:jc w:val="right"/>
            </w:pPr>
            <w:r w:rsidRPr="00E0412F">
              <w:t>2 to 7</w:t>
            </w:r>
          </w:p>
        </w:tc>
      </w:tr>
    </w:tbl>
    <w:p w:rsidRPr="00443749" w:rsidR="00443749" w:rsidP="00443749" w:rsidRDefault="00443749" w14:paraId="5C2F9A3C" w14:textId="77777777"/>
    <w:p w:rsidRPr="00443749" w:rsidR="00443749" w:rsidP="00443749" w:rsidRDefault="00443749" w14:paraId="293CD0D5" w14:textId="77777777">
      <w:r w:rsidRPr="00443749">
        <w:t>The estimated useful lives, residual values and depreciation method are reviewed at the end of each annual reporting period, and adjustments made where appropriate.</w:t>
      </w:r>
    </w:p>
    <w:p w:rsidRPr="00443749" w:rsidR="00443749" w:rsidP="00443749" w:rsidRDefault="00443749" w14:paraId="1D243779" w14:textId="77777777">
      <w:r w:rsidRPr="00443749">
        <w:t>Leasehold improvements are depreciated over the shorter of the lease term and their useful lives.</w:t>
      </w:r>
    </w:p>
    <w:p w:rsidRPr="00443749" w:rsidR="00443749" w:rsidP="00443749" w:rsidRDefault="00443749" w14:paraId="1170EA5C" w14:textId="77777777">
      <w:r w:rsidRPr="00443749">
        <w:t>Land and other assets with an indefinite useful life are not depreciated.  Depreciation is not recognised in respect of these assets because their service potential has not, in any material sense, been consumed during the reporting period.</w:t>
      </w:r>
    </w:p>
    <w:p w:rsidRPr="00443749" w:rsidR="00443749" w:rsidP="00443749" w:rsidRDefault="00443749" w14:paraId="33DB9740" w14:textId="77777777">
      <w:pPr>
        <w:rPr>
          <w:b/>
          <w:bCs/>
        </w:rPr>
      </w:pPr>
      <w:r w:rsidRPr="00443749">
        <w:rPr>
          <w:b/>
          <w:bCs/>
        </w:rPr>
        <w:t>Impairment</w:t>
      </w:r>
    </w:p>
    <w:p w:rsidRPr="00443749" w:rsidR="00443749" w:rsidP="00443749" w:rsidRDefault="00443749" w14:paraId="0A464533" w14:textId="77777777">
      <w:r w:rsidRPr="00443749">
        <w:t>Property, plant and equipment and intangible assets are tested annually for impairment and whenever there is an indication that the asset may be impaired.</w:t>
      </w:r>
    </w:p>
    <w:p w:rsidRPr="00443749" w:rsidR="00443749" w:rsidP="00443749" w:rsidRDefault="00443749" w14:paraId="44D96BED" w14:textId="77777777">
      <w:pPr>
        <w:rPr>
          <w:rFonts w:cs="Times New Roman (Body CS)"/>
          <w:spacing w:val="-2"/>
        </w:rPr>
      </w:pPr>
      <w:r w:rsidRPr="00443749">
        <w:rPr>
          <w:rFonts w:cs="Times New Roman (Body CS)"/>
          <w:spacing w:val="-2"/>
        </w:rPr>
        <w:t>The assets concerned are tested as to whether their carrying value exceeds their recoverable amount.  Where an asset’s carrying value exceeds its recoverable amount, the difference is written off as an ‘other economic flow’ (refer to note 9.3), except to the extent that it can be debited to an asset revaluation surplus amount applicable to that class of asset (refer to note 9.4).</w:t>
      </w:r>
    </w:p>
    <w:p w:rsidRPr="00443749" w:rsidR="00443749" w:rsidP="00443749" w:rsidRDefault="00443749" w14:paraId="640E37FD" w14:textId="77777777">
      <w:r w:rsidRPr="00443749">
        <w:t>If there is an indication that there has been a reversal in impairment, the carrying amount shall be increased to its recoverable amount.  However this reversal should not increase the asset’s carrying amount above what would have been determined, net of depreciation, if no impairment loss had been recognised in prior years.</w:t>
      </w:r>
    </w:p>
    <w:p w:rsidRPr="00443749" w:rsidR="00443749" w:rsidP="00443749" w:rsidRDefault="00443749" w14:paraId="1086DD66" w14:textId="77777777">
      <w:r w:rsidRPr="00443749">
        <w:t>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Pr="00443749" w:rsidR="00443749" w:rsidP="00443749" w:rsidRDefault="00443749" w14:paraId="0A333EE9" w14:textId="0743410D">
      <w:pPr>
        <w:pStyle w:val="Heading4"/>
      </w:pPr>
      <w:r w:rsidRPr="00443749">
        <w:t>5.2.2 Carrying values by ‘purpose’ groups</w:t>
      </w:r>
      <w:r w:rsidRPr="00443749">
        <w:rPr>
          <w:vertAlign w:val="superscript"/>
        </w:rPr>
        <w:t xml:space="preserve"> (i)</w:t>
      </w:r>
    </w:p>
    <w:tbl>
      <w:tblPr>
        <w:tblW w:w="0" w:type="auto"/>
        <w:tblLayout w:type="fixed"/>
        <w:tblCellMar>
          <w:left w:w="0" w:type="dxa"/>
          <w:right w:w="0" w:type="dxa"/>
        </w:tblCellMar>
        <w:tblLook w:firstRow="1" w:lastRow="0" w:firstColumn="0" w:lastColumn="0" w:noHBand="0" w:noVBand="0" w:val="0020"/>
      </w:tblPr>
      <w:tblGrid>
        <w:gridCol w:w="2551"/>
        <w:gridCol w:w="851"/>
        <w:gridCol w:w="850"/>
        <w:gridCol w:w="567"/>
        <w:gridCol w:w="567"/>
        <w:gridCol w:w="794"/>
        <w:gridCol w:w="793"/>
        <w:gridCol w:w="624"/>
        <w:gridCol w:w="623"/>
        <w:gridCol w:w="851"/>
        <w:gridCol w:w="850"/>
      </w:tblGrid>
      <w:tr w:rsidRPr="00443749" w:rsidR="00443749" w:rsidTr="00443749" w14:paraId="51365E14" w14:textId="77777777">
        <w:trPr>
          <w:tblHeader/>
        </w:trPr>
        <w:tc>
          <w:tcPr>
            <w:tcW w:w="2551"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6B011848" w14:textId="77777777">
            <w:pPr>
              <w:pStyle w:val="tablebody"/>
              <w:rPr>
                <w:b/>
                <w:lang w:val="en-US"/>
              </w:rPr>
            </w:pPr>
          </w:p>
        </w:tc>
        <w:tc>
          <w:tcPr>
            <w:tcW w:w="851"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240D5F5E" w14:textId="77777777">
            <w:pPr>
              <w:pStyle w:val="tablebody"/>
              <w:jc w:val="right"/>
              <w:rPr>
                <w:b/>
                <w:lang w:val="en-US"/>
              </w:rPr>
            </w:pPr>
          </w:p>
        </w:tc>
        <w:tc>
          <w:tcPr>
            <w:tcW w:w="850"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3010717D" w14:textId="77777777">
            <w:pPr>
              <w:pStyle w:val="tablebody"/>
              <w:jc w:val="right"/>
              <w:rPr>
                <w:b/>
                <w:lang w:val="en-US"/>
              </w:rPr>
            </w:pPr>
          </w:p>
        </w:tc>
        <w:tc>
          <w:tcPr>
            <w:tcW w:w="567"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01DEA82C" w14:textId="77777777">
            <w:pPr>
              <w:pStyle w:val="tablebody"/>
              <w:jc w:val="right"/>
              <w:rPr>
                <w:b/>
                <w:lang w:val="en-US"/>
              </w:rPr>
            </w:pPr>
          </w:p>
        </w:tc>
        <w:tc>
          <w:tcPr>
            <w:tcW w:w="567"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5E658B4" w14:textId="77777777">
            <w:pPr>
              <w:pStyle w:val="tablebody"/>
              <w:jc w:val="right"/>
              <w:rPr>
                <w:b/>
                <w:lang w:val="en-US"/>
              </w:rPr>
            </w:pPr>
          </w:p>
        </w:tc>
        <w:tc>
          <w:tcPr>
            <w:tcW w:w="794"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00E5DE7E" w14:textId="77777777">
            <w:pPr>
              <w:pStyle w:val="tablebody"/>
              <w:jc w:val="right"/>
              <w:rPr>
                <w:b/>
                <w:lang w:val="en-US"/>
              </w:rPr>
            </w:pPr>
          </w:p>
        </w:tc>
        <w:tc>
          <w:tcPr>
            <w:tcW w:w="793"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0D953DE0" w14:textId="77777777">
            <w:pPr>
              <w:pStyle w:val="tablebody"/>
              <w:jc w:val="right"/>
              <w:rPr>
                <w:b/>
                <w:lang w:val="en-US"/>
              </w:rPr>
            </w:pPr>
          </w:p>
        </w:tc>
        <w:tc>
          <w:tcPr>
            <w:tcW w:w="624"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31737366" w14:textId="77777777">
            <w:pPr>
              <w:pStyle w:val="tablebody"/>
              <w:jc w:val="right"/>
              <w:rPr>
                <w:b/>
                <w:lang w:val="en-US"/>
              </w:rPr>
            </w:pPr>
          </w:p>
        </w:tc>
        <w:tc>
          <w:tcPr>
            <w:tcW w:w="623"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351ED7CD" w14:textId="77777777">
            <w:pPr>
              <w:pStyle w:val="tablebody"/>
              <w:jc w:val="right"/>
              <w:rPr>
                <w:b/>
                <w:lang w:val="en-US"/>
              </w:rPr>
            </w:pPr>
          </w:p>
        </w:tc>
        <w:tc>
          <w:tcPr>
            <w:tcW w:w="1701" w:type="dxa"/>
            <w:gridSpan w:val="2"/>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B499718" w14:textId="77777777">
            <w:pPr>
              <w:pStyle w:val="tablebody"/>
              <w:jc w:val="right"/>
              <w:rPr>
                <w:b/>
              </w:rPr>
            </w:pPr>
            <w:r w:rsidRPr="00443749">
              <w:rPr>
                <w:b/>
              </w:rPr>
              <w:t>($ thousand)</w:t>
            </w:r>
          </w:p>
        </w:tc>
      </w:tr>
      <w:tr w:rsidRPr="00443749" w:rsidR="00443749" w:rsidTr="00443749" w14:paraId="185E7CC3" w14:textId="77777777">
        <w:trPr>
          <w:tblHeader/>
        </w:trPr>
        <w:tc>
          <w:tcPr>
            <w:tcW w:w="2551" w:type="dxa"/>
            <w:tcBorders>
              <w:top w:val="single" w:color="000000" w:sz="6" w:space="0"/>
              <w:left w:val="nil"/>
              <w:bottom w:val="single" w:color="000000" w:sz="8" w:space="0"/>
              <w:right w:val="nil"/>
            </w:tcBorders>
            <w:tcMar>
              <w:top w:w="57" w:type="dxa"/>
              <w:left w:w="0" w:type="dxa"/>
              <w:bottom w:w="57" w:type="dxa"/>
              <w:right w:w="0" w:type="dxa"/>
            </w:tcMar>
            <w:vAlign w:val="center"/>
          </w:tcPr>
          <w:p w:rsidRPr="00443749" w:rsidR="00443749" w:rsidP="00443749" w:rsidRDefault="00443749" w14:paraId="2DC40C25" w14:textId="77777777">
            <w:pPr>
              <w:pStyle w:val="tablebody"/>
              <w:rPr>
                <w:b/>
                <w:lang w:val="en-US"/>
              </w:rPr>
            </w:pPr>
          </w:p>
        </w:tc>
        <w:tc>
          <w:tcPr>
            <w:tcW w:w="1701" w:type="dxa"/>
            <w:gridSpan w:val="2"/>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512A9FA" w14:textId="77777777">
            <w:pPr>
              <w:pStyle w:val="tablebody"/>
              <w:jc w:val="right"/>
              <w:rPr>
                <w:b/>
              </w:rPr>
            </w:pPr>
            <w:r w:rsidRPr="00443749">
              <w:rPr>
                <w:b/>
              </w:rPr>
              <w:t>Public order and safety</w:t>
            </w:r>
          </w:p>
        </w:tc>
        <w:tc>
          <w:tcPr>
            <w:tcW w:w="1134" w:type="dxa"/>
            <w:gridSpan w:val="2"/>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80FC10C" w14:textId="77777777">
            <w:pPr>
              <w:pStyle w:val="tablebody"/>
              <w:jc w:val="right"/>
              <w:rPr>
                <w:b/>
              </w:rPr>
            </w:pPr>
            <w:r w:rsidRPr="00443749">
              <w:rPr>
                <w:b/>
              </w:rPr>
              <w:t>Economic affairs</w:t>
            </w:r>
          </w:p>
        </w:tc>
        <w:tc>
          <w:tcPr>
            <w:tcW w:w="1587" w:type="dxa"/>
            <w:gridSpan w:val="2"/>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F6DD269" w14:textId="77777777">
            <w:pPr>
              <w:pStyle w:val="tablebody"/>
              <w:jc w:val="right"/>
              <w:rPr>
                <w:b/>
              </w:rPr>
            </w:pPr>
            <w:r w:rsidRPr="00443749">
              <w:rPr>
                <w:b/>
              </w:rPr>
              <w:t>Recreation culture and religion</w:t>
            </w:r>
          </w:p>
        </w:tc>
        <w:tc>
          <w:tcPr>
            <w:tcW w:w="1247" w:type="dxa"/>
            <w:gridSpan w:val="2"/>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32DD2F2" w14:textId="77777777">
            <w:pPr>
              <w:pStyle w:val="tablebody"/>
              <w:jc w:val="right"/>
              <w:rPr>
                <w:b/>
              </w:rPr>
            </w:pPr>
            <w:r w:rsidRPr="00443749">
              <w:rPr>
                <w:b/>
              </w:rPr>
              <w:t>Social protection</w:t>
            </w:r>
          </w:p>
        </w:tc>
        <w:tc>
          <w:tcPr>
            <w:tcW w:w="1701" w:type="dxa"/>
            <w:gridSpan w:val="2"/>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20026EB9" w14:textId="77777777">
            <w:pPr>
              <w:pStyle w:val="tablebody"/>
              <w:jc w:val="right"/>
              <w:rPr>
                <w:b/>
              </w:rPr>
            </w:pPr>
            <w:r w:rsidRPr="00443749">
              <w:rPr>
                <w:b/>
              </w:rPr>
              <w:t>Total</w:t>
            </w:r>
          </w:p>
        </w:tc>
      </w:tr>
      <w:tr w:rsidRPr="00443749" w:rsidR="00443749" w:rsidTr="00443749" w14:paraId="4BCBE537" w14:textId="77777777">
        <w:trPr>
          <w:tblHeader/>
        </w:trPr>
        <w:tc>
          <w:tcPr>
            <w:tcW w:w="2551" w:type="dxa"/>
            <w:tcBorders>
              <w:top w:val="single" w:color="000000" w:sz="8"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BE4F83D" w14:textId="77777777">
            <w:pPr>
              <w:pStyle w:val="tablebody"/>
              <w:rPr>
                <w:b/>
                <w:lang w:val="en-US"/>
              </w:rPr>
            </w:pPr>
          </w:p>
        </w:tc>
        <w:tc>
          <w:tcPr>
            <w:tcW w:w="851"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A142D3B" w14:textId="77777777">
            <w:pPr>
              <w:pStyle w:val="tablebody"/>
              <w:jc w:val="right"/>
              <w:rPr>
                <w:b/>
              </w:rPr>
            </w:pPr>
            <w:r w:rsidRPr="00443749">
              <w:rPr>
                <w:b/>
              </w:rPr>
              <w:t>2019</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317E7A9" w14:textId="77777777">
            <w:pPr>
              <w:pStyle w:val="tablebody"/>
              <w:jc w:val="right"/>
              <w:rPr>
                <w:b/>
              </w:rPr>
            </w:pPr>
            <w:r w:rsidRPr="00443749">
              <w:rPr>
                <w:b/>
              </w:rPr>
              <w:t>2018</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71EECDA" w14:textId="77777777">
            <w:pPr>
              <w:pStyle w:val="tablebody"/>
              <w:jc w:val="right"/>
              <w:rPr>
                <w:b/>
              </w:rPr>
            </w:pPr>
            <w:r w:rsidRPr="00443749">
              <w:rPr>
                <w:b/>
              </w:rPr>
              <w:t>2019</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871325A" w14:textId="77777777">
            <w:pPr>
              <w:pStyle w:val="tablebody"/>
              <w:jc w:val="right"/>
              <w:rPr>
                <w:b/>
              </w:rPr>
            </w:pPr>
            <w:r w:rsidRPr="00443749">
              <w:rPr>
                <w:b/>
              </w:rPr>
              <w:t>2018</w:t>
            </w:r>
          </w:p>
        </w:tc>
        <w:tc>
          <w:tcPr>
            <w:tcW w:w="794"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9A5614A" w14:textId="77777777">
            <w:pPr>
              <w:pStyle w:val="tablebody"/>
              <w:jc w:val="right"/>
              <w:rPr>
                <w:b/>
              </w:rPr>
            </w:pPr>
            <w:r w:rsidRPr="00443749">
              <w:rPr>
                <w:b/>
              </w:rPr>
              <w:t>2019</w:t>
            </w:r>
          </w:p>
        </w:tc>
        <w:tc>
          <w:tcPr>
            <w:tcW w:w="793"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68922F5E" w14:textId="77777777">
            <w:pPr>
              <w:pStyle w:val="tablebody"/>
              <w:jc w:val="right"/>
              <w:rPr>
                <w:b/>
              </w:rPr>
            </w:pPr>
            <w:r w:rsidRPr="00443749">
              <w:rPr>
                <w:b/>
              </w:rPr>
              <w:t>2018</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B302109" w14:textId="77777777">
            <w:pPr>
              <w:pStyle w:val="tablebody"/>
              <w:jc w:val="right"/>
              <w:rPr>
                <w:b/>
              </w:rPr>
            </w:pPr>
            <w:r w:rsidRPr="00443749">
              <w:rPr>
                <w:b/>
              </w:rPr>
              <w:t>2019</w:t>
            </w:r>
          </w:p>
        </w:tc>
        <w:tc>
          <w:tcPr>
            <w:tcW w:w="623"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07021BA" w14:textId="77777777">
            <w:pPr>
              <w:pStyle w:val="tablebody"/>
              <w:jc w:val="right"/>
              <w:rPr>
                <w:b/>
              </w:rPr>
            </w:pPr>
            <w:r w:rsidRPr="00443749">
              <w:rPr>
                <w:b/>
              </w:rPr>
              <w:t>2018</w:t>
            </w:r>
          </w:p>
        </w:tc>
        <w:tc>
          <w:tcPr>
            <w:tcW w:w="851"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38CA8CAD" w14:textId="77777777">
            <w:pPr>
              <w:pStyle w:val="tablebody"/>
              <w:jc w:val="right"/>
              <w:rPr>
                <w:b/>
              </w:rPr>
            </w:pPr>
            <w:r w:rsidRPr="00443749">
              <w:rPr>
                <w:b/>
              </w:rPr>
              <w:t>2019</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D8393DA" w14:textId="77777777">
            <w:pPr>
              <w:pStyle w:val="tablebody"/>
              <w:jc w:val="right"/>
              <w:rPr>
                <w:b/>
              </w:rPr>
            </w:pPr>
            <w:r w:rsidRPr="00443749">
              <w:rPr>
                <w:b/>
              </w:rPr>
              <w:t>2018</w:t>
            </w:r>
          </w:p>
        </w:tc>
      </w:tr>
      <w:tr w:rsidRPr="00443749" w:rsidR="00443749" w:rsidTr="00443749" w14:paraId="7AE2E0E3" w14:textId="77777777">
        <w:tc>
          <w:tcPr>
            <w:tcW w:w="9921" w:type="dxa"/>
            <w:gridSpan w:val="11"/>
            <w:tcBorders>
              <w:top w:val="single" w:color="000000" w:sz="6" w:space="0"/>
              <w:left w:val="nil"/>
              <w:bottom w:val="nil"/>
              <w:right w:val="nil"/>
            </w:tcBorders>
            <w:tcMar>
              <w:top w:w="57" w:type="dxa"/>
              <w:left w:w="0" w:type="dxa"/>
              <w:bottom w:w="57" w:type="dxa"/>
              <w:right w:w="0" w:type="dxa"/>
            </w:tcMar>
            <w:vAlign w:val="center"/>
          </w:tcPr>
          <w:p w:rsidRPr="00443749" w:rsidR="00443749" w:rsidP="00443749" w:rsidRDefault="00443749" w14:paraId="682552B5" w14:textId="77777777">
            <w:pPr>
              <w:pStyle w:val="tablebody"/>
              <w:rPr>
                <w:b/>
              </w:rPr>
            </w:pPr>
            <w:r w:rsidRPr="00443749">
              <w:rPr>
                <w:b/>
              </w:rPr>
              <w:t>Nature based classification</w:t>
            </w:r>
          </w:p>
        </w:tc>
      </w:tr>
      <w:tr w:rsidRPr="00443749" w:rsidR="00443749" w:rsidTr="00443749" w14:paraId="6DFF0281"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CDA5D52" w14:textId="77777777">
            <w:pPr>
              <w:pStyle w:val="tablebody"/>
            </w:pPr>
            <w:r w:rsidRPr="00443749">
              <w:t>Land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03B128C" w14:textId="77777777">
            <w:pPr>
              <w:pStyle w:val="tablebody"/>
              <w:jc w:val="right"/>
            </w:pPr>
            <w:r w:rsidRPr="00443749">
              <w:t xml:space="preserve">284,338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45432CCC" w14:textId="77777777">
            <w:pPr>
              <w:pStyle w:val="tablebody"/>
              <w:jc w:val="right"/>
            </w:pPr>
            <w:r w:rsidRPr="00443749">
              <w:t xml:space="preserve">279,121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D1A60D5" w14:textId="77777777">
            <w:pPr>
              <w:pStyle w:val="tablebody"/>
              <w:jc w:val="right"/>
            </w:pPr>
            <w:r w:rsidRPr="00443749">
              <w:t xml:space="preserve">71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801933C" w14:textId="77777777">
            <w:pPr>
              <w:pStyle w:val="tablebody"/>
              <w:jc w:val="right"/>
            </w:pPr>
            <w:r w:rsidRPr="00443749">
              <w:t xml:space="preserve">71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2F7A460E" w14:textId="77777777">
            <w:pPr>
              <w:pStyle w:val="tablebody"/>
              <w:jc w:val="right"/>
            </w:pPr>
            <w:r w:rsidRPr="00443749">
              <w:t xml:space="preserve">44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0DE5816" w14:textId="77777777">
            <w:pPr>
              <w:pStyle w:val="tablebody"/>
              <w:jc w:val="right"/>
            </w:pPr>
            <w:r w:rsidRPr="00443749">
              <w:t xml:space="preserve">44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CE60507" w14:textId="77777777">
            <w:pPr>
              <w:pStyle w:val="tablebody"/>
              <w:jc w:val="right"/>
            </w:pPr>
            <w:r w:rsidRPr="00443749">
              <w:t xml:space="preserve">2,640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4F5BD0DC" w14:textId="77777777">
            <w:pPr>
              <w:pStyle w:val="tablebody"/>
              <w:jc w:val="right"/>
            </w:pPr>
            <w:r w:rsidRPr="00443749">
              <w:t xml:space="preserve">2,640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0685BEB" w14:textId="77777777">
            <w:pPr>
              <w:pStyle w:val="tablebody"/>
              <w:jc w:val="right"/>
            </w:pPr>
            <w:r w:rsidRPr="00443749">
              <w:t xml:space="preserve">287,093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E9B119A" w14:textId="77777777">
            <w:pPr>
              <w:pStyle w:val="tablebody"/>
              <w:jc w:val="right"/>
            </w:pPr>
            <w:r w:rsidRPr="00443749">
              <w:t xml:space="preserve">281,876 </w:t>
            </w:r>
          </w:p>
        </w:tc>
      </w:tr>
      <w:tr w:rsidRPr="00443749" w:rsidR="00443749" w:rsidTr="00443749" w14:paraId="627EF6D3"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B100C97" w14:textId="77777777">
            <w:pPr>
              <w:pStyle w:val="tablebody"/>
            </w:pPr>
            <w:r w:rsidRPr="00443749">
              <w:t>Buildings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1BFF543" w14:textId="77777777">
            <w:pPr>
              <w:pStyle w:val="tablebody"/>
              <w:jc w:val="right"/>
            </w:pPr>
            <w:r w:rsidRPr="00443749">
              <w:t xml:space="preserve">1,363,207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C3107A6" w14:textId="77777777">
            <w:pPr>
              <w:pStyle w:val="tablebody"/>
              <w:jc w:val="right"/>
            </w:pPr>
            <w:r w:rsidRPr="00443749">
              <w:t xml:space="preserve">1,294,996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FFF2BE5" w14:textId="77777777">
            <w:pPr>
              <w:pStyle w:val="tablebody"/>
              <w:jc w:val="right"/>
            </w:pPr>
            <w:r w:rsidRPr="00443749">
              <w:t xml:space="preserve">4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B43B9B3" w14:textId="77777777">
            <w:pPr>
              <w:pStyle w:val="tablebody"/>
              <w:jc w:val="right"/>
            </w:pPr>
            <w:r w:rsidRPr="00443749">
              <w:t xml:space="preserve">0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037C2C6" w14:textId="77777777">
            <w:pPr>
              <w:pStyle w:val="tablebody"/>
              <w:jc w:val="right"/>
            </w:pPr>
            <w:r w:rsidRPr="00443749">
              <w:t xml:space="preserve">3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4637E8FE" w14:textId="77777777">
            <w:pPr>
              <w:pStyle w:val="tablebody"/>
              <w:jc w:val="right"/>
            </w:pPr>
            <w:r w:rsidRPr="00443749">
              <w:t xml:space="preserve">0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9F2218D" w14:textId="77777777">
            <w:pPr>
              <w:pStyle w:val="tablebody"/>
              <w:jc w:val="right"/>
            </w:pPr>
            <w:r w:rsidRPr="00443749">
              <w:t xml:space="preserve">95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8FE10CB" w14:textId="77777777">
            <w:pPr>
              <w:pStyle w:val="tablebody"/>
              <w:jc w:val="right"/>
            </w:pPr>
            <w:r w:rsidRPr="00443749">
              <w:t xml:space="preserve">115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5D6E4CF" w14:textId="77777777">
            <w:pPr>
              <w:pStyle w:val="tablebody"/>
              <w:jc w:val="right"/>
            </w:pPr>
            <w:r w:rsidRPr="00443749">
              <w:t xml:space="preserve">1,363,309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7014A15A" w14:textId="77777777">
            <w:pPr>
              <w:pStyle w:val="tablebody"/>
              <w:jc w:val="right"/>
            </w:pPr>
            <w:r w:rsidRPr="00443749">
              <w:t xml:space="preserve">1,295,111 </w:t>
            </w:r>
          </w:p>
        </w:tc>
      </w:tr>
      <w:tr w:rsidRPr="00443749" w:rsidR="00443749" w:rsidTr="00443749" w14:paraId="23EA4F40"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BCFE3AE" w14:textId="77777777">
            <w:pPr>
              <w:pStyle w:val="tablebody"/>
            </w:pPr>
            <w:r w:rsidRPr="00443749">
              <w:t>Leased buildings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15E5AAF" w14:textId="77777777">
            <w:pPr>
              <w:pStyle w:val="tablebody"/>
              <w:jc w:val="right"/>
            </w:pPr>
            <w:r w:rsidRPr="00443749">
              <w:t xml:space="preserve">1,086,999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BC9C890" w14:textId="77777777">
            <w:pPr>
              <w:pStyle w:val="tablebody"/>
              <w:jc w:val="right"/>
            </w:pPr>
            <w:r w:rsidRPr="00443749">
              <w:t xml:space="preserve">1,120,554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71FFFBF" w14:textId="77777777">
            <w:pPr>
              <w:pStyle w:val="tablebody"/>
              <w:jc w:val="right"/>
            </w:pPr>
            <w:r w:rsidRPr="00443749">
              <w:t xml:space="preserve">0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1A32E83" w14:textId="77777777">
            <w:pPr>
              <w:pStyle w:val="tablebody"/>
              <w:jc w:val="right"/>
            </w:pPr>
            <w:r w:rsidRPr="00443749">
              <w:t xml:space="preserve">0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C3C0F2F" w14:textId="77777777">
            <w:pPr>
              <w:pStyle w:val="tablebody"/>
              <w:jc w:val="right"/>
            </w:pPr>
            <w:r w:rsidRPr="00443749">
              <w:t xml:space="preserve">0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71F75BC" w14:textId="77777777">
            <w:pPr>
              <w:pStyle w:val="tablebody"/>
              <w:jc w:val="right"/>
            </w:pPr>
            <w:r w:rsidRPr="00443749">
              <w:t xml:space="preserve">0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CF495D2" w14:textId="77777777">
            <w:pPr>
              <w:pStyle w:val="tablebody"/>
              <w:jc w:val="right"/>
            </w:pPr>
            <w:r w:rsidRPr="00443749">
              <w:t xml:space="preserve">0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7E248209" w14:textId="77777777">
            <w:pPr>
              <w:pStyle w:val="tablebody"/>
              <w:jc w:val="right"/>
            </w:pPr>
            <w:r w:rsidRPr="00443749">
              <w:t xml:space="preserve">0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99D9113" w14:textId="77777777">
            <w:pPr>
              <w:pStyle w:val="tablebody"/>
              <w:jc w:val="right"/>
            </w:pPr>
            <w:r w:rsidRPr="00443749">
              <w:t xml:space="preserve">1,086,999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CD35ED8" w14:textId="77777777">
            <w:pPr>
              <w:pStyle w:val="tablebody"/>
              <w:jc w:val="right"/>
            </w:pPr>
            <w:r w:rsidRPr="00443749">
              <w:t xml:space="preserve">1,120,554 </w:t>
            </w:r>
          </w:p>
        </w:tc>
      </w:tr>
      <w:tr w:rsidRPr="00443749" w:rsidR="00443749" w:rsidTr="00443749" w14:paraId="7558A221"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EEF085D" w14:textId="77777777">
            <w:pPr>
              <w:pStyle w:val="tablebody"/>
            </w:pPr>
            <w:r w:rsidRPr="00443749">
              <w:t>Leasehold improvements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320C7E0" w14:textId="77777777">
            <w:pPr>
              <w:pStyle w:val="tablebody"/>
              <w:jc w:val="right"/>
            </w:pPr>
            <w:r w:rsidRPr="00443749">
              <w:t xml:space="preserve">50,750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7BA0D262" w14:textId="77777777">
            <w:pPr>
              <w:pStyle w:val="tablebody"/>
              <w:jc w:val="right"/>
            </w:pPr>
            <w:r w:rsidRPr="00443749">
              <w:t xml:space="preserve">25,644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3B3FD06" w14:textId="77777777">
            <w:pPr>
              <w:pStyle w:val="tablebody"/>
              <w:jc w:val="right"/>
            </w:pPr>
            <w:r w:rsidRPr="00443749">
              <w:t xml:space="preserve">1,102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AFEC01A" w14:textId="77777777">
            <w:pPr>
              <w:pStyle w:val="tablebody"/>
              <w:jc w:val="right"/>
            </w:pPr>
            <w:r w:rsidRPr="00443749">
              <w:t xml:space="preserve">193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A1C4EA7" w14:textId="77777777">
            <w:pPr>
              <w:pStyle w:val="tablebody"/>
              <w:jc w:val="right"/>
            </w:pPr>
            <w:r w:rsidRPr="00443749">
              <w:t xml:space="preserve">681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B02591F" w14:textId="77777777">
            <w:pPr>
              <w:pStyle w:val="tablebody"/>
              <w:jc w:val="right"/>
            </w:pPr>
            <w:r w:rsidRPr="00443749">
              <w:t xml:space="preserve">273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421EF27" w14:textId="77777777">
            <w:pPr>
              <w:pStyle w:val="tablebody"/>
              <w:jc w:val="right"/>
            </w:pPr>
            <w:r w:rsidRPr="00443749">
              <w:t xml:space="preserve">639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24E06C6F" w14:textId="77777777">
            <w:pPr>
              <w:pStyle w:val="tablebody"/>
              <w:jc w:val="right"/>
            </w:pPr>
            <w:r w:rsidRPr="00443749">
              <w:t xml:space="preserve">112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0AC99D1" w14:textId="77777777">
            <w:pPr>
              <w:pStyle w:val="tablebody"/>
              <w:jc w:val="right"/>
            </w:pPr>
            <w:r w:rsidRPr="00443749">
              <w:t xml:space="preserve">53,172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895C94F" w14:textId="77777777">
            <w:pPr>
              <w:pStyle w:val="tablebody"/>
              <w:jc w:val="right"/>
            </w:pPr>
            <w:r w:rsidRPr="00443749">
              <w:t xml:space="preserve">26,222 </w:t>
            </w:r>
          </w:p>
        </w:tc>
      </w:tr>
      <w:tr w:rsidRPr="00443749" w:rsidR="00443749" w:rsidTr="00443749" w14:paraId="43D5034C"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450C24C" w14:textId="77777777">
            <w:pPr>
              <w:pStyle w:val="tablebody"/>
            </w:pPr>
            <w:r w:rsidRPr="00443749">
              <w:t>Plant and equipment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93AD69F" w14:textId="77777777">
            <w:pPr>
              <w:pStyle w:val="tablebody"/>
              <w:jc w:val="right"/>
            </w:pPr>
            <w:r w:rsidRPr="00443749">
              <w:t xml:space="preserve">114,565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14852A7" w14:textId="77777777">
            <w:pPr>
              <w:pStyle w:val="tablebody"/>
              <w:jc w:val="right"/>
            </w:pPr>
            <w:r w:rsidRPr="00443749">
              <w:t xml:space="preserve">116,310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E978FAF" w14:textId="77777777">
            <w:pPr>
              <w:pStyle w:val="tablebody"/>
              <w:jc w:val="right"/>
            </w:pPr>
            <w:r w:rsidRPr="00443749">
              <w:t xml:space="preserve">61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76FFD32" w14:textId="77777777">
            <w:pPr>
              <w:pStyle w:val="tablebody"/>
              <w:jc w:val="right"/>
            </w:pPr>
            <w:r w:rsidRPr="00443749">
              <w:t xml:space="preserve">32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7E515215" w14:textId="77777777">
            <w:pPr>
              <w:pStyle w:val="tablebody"/>
              <w:jc w:val="right"/>
            </w:pPr>
            <w:r w:rsidRPr="00443749">
              <w:t xml:space="preserve">9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0C6F78D" w14:textId="77777777">
            <w:pPr>
              <w:pStyle w:val="tablebody"/>
              <w:jc w:val="right"/>
            </w:pPr>
            <w:r w:rsidRPr="00443749">
              <w:t xml:space="preserve">7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C13A2E1" w14:textId="77777777">
            <w:pPr>
              <w:pStyle w:val="tablebody"/>
              <w:jc w:val="right"/>
            </w:pPr>
            <w:r w:rsidRPr="00443749">
              <w:t xml:space="preserve">97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85C7697" w14:textId="77777777">
            <w:pPr>
              <w:pStyle w:val="tablebody"/>
              <w:jc w:val="right"/>
            </w:pPr>
            <w:r w:rsidRPr="00443749">
              <w:t xml:space="preserve">130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E3E6B6D" w14:textId="77777777">
            <w:pPr>
              <w:pStyle w:val="tablebody"/>
              <w:jc w:val="right"/>
            </w:pPr>
            <w:r w:rsidRPr="00443749">
              <w:t xml:space="preserve">114,732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6BAC1601" w14:textId="77777777">
            <w:pPr>
              <w:pStyle w:val="tablebody"/>
              <w:jc w:val="right"/>
            </w:pPr>
            <w:r w:rsidRPr="00443749">
              <w:t xml:space="preserve">116,479 </w:t>
            </w:r>
          </w:p>
        </w:tc>
      </w:tr>
      <w:tr w:rsidRPr="00443749" w:rsidR="00443749" w:rsidTr="00443749" w14:paraId="7FE73FD0" w14:textId="77777777">
        <w:tc>
          <w:tcPr>
            <w:tcW w:w="25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DEC59D7" w14:textId="77777777">
            <w:pPr>
              <w:pStyle w:val="tablebody"/>
            </w:pPr>
            <w:r w:rsidRPr="00443749">
              <w:t>Leased plant and equipment at fair value</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4F3F8823" w14:textId="77777777">
            <w:pPr>
              <w:pStyle w:val="tablebody"/>
              <w:jc w:val="right"/>
            </w:pPr>
            <w:r w:rsidRPr="00443749">
              <w:t xml:space="preserve">77,995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3568A4B" w14:textId="77777777">
            <w:pPr>
              <w:pStyle w:val="tablebody"/>
              <w:jc w:val="right"/>
            </w:pPr>
            <w:r w:rsidRPr="00443749">
              <w:t xml:space="preserve">81,269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A044872" w14:textId="77777777">
            <w:pPr>
              <w:pStyle w:val="tablebody"/>
              <w:jc w:val="right"/>
            </w:pPr>
            <w:r w:rsidRPr="00443749">
              <w:t xml:space="preserve">445 </w:t>
            </w:r>
          </w:p>
        </w:tc>
        <w:tc>
          <w:tcPr>
            <w:tcW w:w="567"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15C1827" w14:textId="77777777">
            <w:pPr>
              <w:pStyle w:val="tablebody"/>
              <w:jc w:val="right"/>
            </w:pPr>
            <w:r w:rsidRPr="00443749">
              <w:t xml:space="preserve">502 </w:t>
            </w:r>
          </w:p>
        </w:tc>
        <w:tc>
          <w:tcPr>
            <w:tcW w:w="79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551768BB" w14:textId="77777777">
            <w:pPr>
              <w:pStyle w:val="tablebody"/>
              <w:jc w:val="right"/>
            </w:pPr>
            <w:r w:rsidRPr="00443749">
              <w:t xml:space="preserve">263 </w:t>
            </w:r>
          </w:p>
        </w:tc>
        <w:tc>
          <w:tcPr>
            <w:tcW w:w="79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7E19C298" w14:textId="77777777">
            <w:pPr>
              <w:pStyle w:val="tablebody"/>
              <w:jc w:val="right"/>
            </w:pPr>
            <w:r w:rsidRPr="00443749">
              <w:t xml:space="preserve">279 </w:t>
            </w:r>
          </w:p>
        </w:tc>
        <w:tc>
          <w:tcPr>
            <w:tcW w:w="624"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3D4B3A4E" w14:textId="77777777">
            <w:pPr>
              <w:pStyle w:val="tablebody"/>
              <w:jc w:val="right"/>
            </w:pPr>
            <w:r w:rsidRPr="00443749">
              <w:t xml:space="preserve">247 </w:t>
            </w:r>
          </w:p>
        </w:tc>
        <w:tc>
          <w:tcPr>
            <w:tcW w:w="623"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A088A32" w14:textId="77777777">
            <w:pPr>
              <w:pStyle w:val="tablebody"/>
              <w:jc w:val="right"/>
            </w:pPr>
            <w:r w:rsidRPr="00443749">
              <w:t xml:space="preserve">262 </w:t>
            </w:r>
          </w:p>
        </w:tc>
        <w:tc>
          <w:tcPr>
            <w:tcW w:w="851"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04AA5B10" w14:textId="77777777">
            <w:pPr>
              <w:pStyle w:val="tablebody"/>
              <w:jc w:val="right"/>
            </w:pPr>
            <w:r w:rsidRPr="00443749">
              <w:t xml:space="preserve">78,950 </w:t>
            </w:r>
          </w:p>
        </w:tc>
        <w:tc>
          <w:tcPr>
            <w:tcW w:w="850" w:type="dxa"/>
            <w:tcBorders>
              <w:top w:val="nil"/>
              <w:left w:val="nil"/>
              <w:bottom w:val="nil"/>
              <w:right w:val="nil"/>
            </w:tcBorders>
            <w:tcMar>
              <w:top w:w="57" w:type="dxa"/>
              <w:left w:w="0" w:type="dxa"/>
              <w:bottom w:w="57" w:type="dxa"/>
              <w:right w:w="0" w:type="dxa"/>
            </w:tcMar>
            <w:vAlign w:val="center"/>
          </w:tcPr>
          <w:p w:rsidRPr="00443749" w:rsidR="00443749" w:rsidP="00443749" w:rsidRDefault="00443749" w14:paraId="16741F73" w14:textId="77777777">
            <w:pPr>
              <w:pStyle w:val="tablebody"/>
              <w:jc w:val="right"/>
            </w:pPr>
            <w:r w:rsidRPr="00443749">
              <w:t xml:space="preserve">82,312 </w:t>
            </w:r>
          </w:p>
        </w:tc>
      </w:tr>
      <w:tr w:rsidRPr="00443749" w:rsidR="00443749" w:rsidTr="00443749" w14:paraId="0E82E62D" w14:textId="77777777">
        <w:tc>
          <w:tcPr>
            <w:tcW w:w="2551"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658801E0" w14:textId="77777777">
            <w:pPr>
              <w:pStyle w:val="tablebody"/>
            </w:pPr>
            <w:r w:rsidRPr="00443749">
              <w:t>Assets under construction at cost</w:t>
            </w:r>
          </w:p>
        </w:tc>
        <w:tc>
          <w:tcPr>
            <w:tcW w:w="851"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2DBCDD32" w14:textId="77777777">
            <w:pPr>
              <w:pStyle w:val="tablebody"/>
              <w:jc w:val="right"/>
            </w:pPr>
            <w:r w:rsidRPr="00443749">
              <w:t xml:space="preserve">560,081 </w:t>
            </w:r>
          </w:p>
        </w:tc>
        <w:tc>
          <w:tcPr>
            <w:tcW w:w="850"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17E9371" w14:textId="77777777">
            <w:pPr>
              <w:pStyle w:val="tablebody"/>
              <w:jc w:val="right"/>
            </w:pPr>
            <w:r w:rsidRPr="00443749">
              <w:t xml:space="preserve">390,974 </w:t>
            </w:r>
          </w:p>
        </w:tc>
        <w:tc>
          <w:tcPr>
            <w:tcW w:w="567"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2FEB2C72" w14:textId="77777777">
            <w:pPr>
              <w:pStyle w:val="tablebody"/>
              <w:jc w:val="right"/>
            </w:pPr>
            <w:r w:rsidRPr="00443749">
              <w:t xml:space="preserve">971 </w:t>
            </w:r>
          </w:p>
        </w:tc>
        <w:tc>
          <w:tcPr>
            <w:tcW w:w="567"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6C14D572" w14:textId="77777777">
            <w:pPr>
              <w:pStyle w:val="tablebody"/>
              <w:jc w:val="right"/>
            </w:pPr>
            <w:r w:rsidRPr="00443749">
              <w:t xml:space="preserve">772 </w:t>
            </w:r>
          </w:p>
        </w:tc>
        <w:tc>
          <w:tcPr>
            <w:tcW w:w="794"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64D73EA" w14:textId="77777777">
            <w:pPr>
              <w:pStyle w:val="tablebody"/>
              <w:jc w:val="right"/>
            </w:pPr>
            <w:r w:rsidRPr="00443749">
              <w:t xml:space="preserve">600 </w:t>
            </w:r>
          </w:p>
        </w:tc>
        <w:tc>
          <w:tcPr>
            <w:tcW w:w="793"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464E1CE" w14:textId="77777777">
            <w:pPr>
              <w:pStyle w:val="tablebody"/>
              <w:jc w:val="right"/>
            </w:pPr>
            <w:r w:rsidRPr="00443749">
              <w:t xml:space="preserve">477 </w:t>
            </w:r>
          </w:p>
        </w:tc>
        <w:tc>
          <w:tcPr>
            <w:tcW w:w="624"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D3750CF" w14:textId="77777777">
            <w:pPr>
              <w:pStyle w:val="tablebody"/>
              <w:jc w:val="right"/>
            </w:pPr>
            <w:r w:rsidRPr="00443749">
              <w:t xml:space="preserve">645 </w:t>
            </w:r>
          </w:p>
        </w:tc>
        <w:tc>
          <w:tcPr>
            <w:tcW w:w="623"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E23FF26" w14:textId="77777777">
            <w:pPr>
              <w:pStyle w:val="tablebody"/>
              <w:jc w:val="right"/>
            </w:pPr>
            <w:r w:rsidRPr="00443749">
              <w:t xml:space="preserve">448 </w:t>
            </w:r>
          </w:p>
        </w:tc>
        <w:tc>
          <w:tcPr>
            <w:tcW w:w="851"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60028A6" w14:textId="77777777">
            <w:pPr>
              <w:pStyle w:val="tablebody"/>
              <w:jc w:val="right"/>
            </w:pPr>
            <w:r w:rsidRPr="00443749">
              <w:t xml:space="preserve">562,297 </w:t>
            </w:r>
          </w:p>
        </w:tc>
        <w:tc>
          <w:tcPr>
            <w:tcW w:w="850" w:type="dxa"/>
            <w:tcBorders>
              <w:top w:val="nil"/>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F244BF5" w14:textId="77777777">
            <w:pPr>
              <w:pStyle w:val="tablebody"/>
              <w:jc w:val="right"/>
            </w:pPr>
            <w:r w:rsidRPr="00443749">
              <w:t xml:space="preserve">392,671 </w:t>
            </w:r>
          </w:p>
        </w:tc>
      </w:tr>
      <w:tr w:rsidRPr="00443749" w:rsidR="00443749" w:rsidTr="00443749" w14:paraId="31552943" w14:textId="77777777">
        <w:tc>
          <w:tcPr>
            <w:tcW w:w="2551"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EC4FC9A" w14:textId="77777777">
            <w:pPr>
              <w:pStyle w:val="tablebody"/>
              <w:rPr>
                <w:b/>
              </w:rPr>
            </w:pPr>
            <w:r w:rsidRPr="00443749">
              <w:rPr>
                <w:b/>
              </w:rPr>
              <w:t>Total</w:t>
            </w:r>
          </w:p>
        </w:tc>
        <w:tc>
          <w:tcPr>
            <w:tcW w:w="851"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61B78E2" w14:textId="77777777">
            <w:pPr>
              <w:pStyle w:val="tablebody"/>
              <w:jc w:val="right"/>
              <w:rPr>
                <w:b/>
              </w:rPr>
            </w:pPr>
            <w:r w:rsidRPr="00443749">
              <w:rPr>
                <w:b/>
              </w:rPr>
              <w:t xml:space="preserve">3,537,935 </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6F9673F" w14:textId="77777777">
            <w:pPr>
              <w:pStyle w:val="tablebody"/>
              <w:jc w:val="right"/>
              <w:rPr>
                <w:b/>
              </w:rPr>
            </w:pPr>
            <w:r w:rsidRPr="00443749">
              <w:rPr>
                <w:b/>
              </w:rPr>
              <w:t xml:space="preserve">3,308,868 </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8FA9A26" w14:textId="77777777">
            <w:pPr>
              <w:pStyle w:val="tablebody"/>
              <w:jc w:val="right"/>
              <w:rPr>
                <w:b/>
              </w:rPr>
            </w:pPr>
            <w:r w:rsidRPr="00443749">
              <w:rPr>
                <w:b/>
              </w:rPr>
              <w:t xml:space="preserve">2,654 </w:t>
            </w:r>
          </w:p>
        </w:tc>
        <w:tc>
          <w:tcPr>
            <w:tcW w:w="567"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40F8A1D6" w14:textId="77777777">
            <w:pPr>
              <w:pStyle w:val="tablebody"/>
              <w:jc w:val="right"/>
              <w:rPr>
                <w:b/>
              </w:rPr>
            </w:pPr>
            <w:r w:rsidRPr="00443749">
              <w:rPr>
                <w:b/>
              </w:rPr>
              <w:t xml:space="preserve">1,570 </w:t>
            </w:r>
          </w:p>
        </w:tc>
        <w:tc>
          <w:tcPr>
            <w:tcW w:w="794"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D65564D" w14:textId="77777777">
            <w:pPr>
              <w:pStyle w:val="tablebody"/>
              <w:jc w:val="right"/>
              <w:rPr>
                <w:b/>
              </w:rPr>
            </w:pPr>
            <w:r w:rsidRPr="00443749">
              <w:rPr>
                <w:b/>
              </w:rPr>
              <w:t xml:space="preserve">1,600 </w:t>
            </w:r>
          </w:p>
        </w:tc>
        <w:tc>
          <w:tcPr>
            <w:tcW w:w="793"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53AC8D5B" w14:textId="77777777">
            <w:pPr>
              <w:pStyle w:val="tablebody"/>
              <w:jc w:val="right"/>
              <w:rPr>
                <w:b/>
              </w:rPr>
            </w:pPr>
            <w:r w:rsidRPr="00443749">
              <w:rPr>
                <w:b/>
              </w:rPr>
              <w:t xml:space="preserve">1,080 </w:t>
            </w:r>
          </w:p>
        </w:tc>
        <w:tc>
          <w:tcPr>
            <w:tcW w:w="624"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1DB7BD8B" w14:textId="77777777">
            <w:pPr>
              <w:pStyle w:val="tablebody"/>
              <w:jc w:val="right"/>
              <w:rPr>
                <w:b/>
              </w:rPr>
            </w:pPr>
            <w:r w:rsidRPr="00443749">
              <w:rPr>
                <w:b/>
              </w:rPr>
              <w:t xml:space="preserve">4,363 </w:t>
            </w:r>
          </w:p>
        </w:tc>
        <w:tc>
          <w:tcPr>
            <w:tcW w:w="623"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2CEF3D09" w14:textId="77777777">
            <w:pPr>
              <w:pStyle w:val="tablebody"/>
              <w:jc w:val="right"/>
              <w:rPr>
                <w:b/>
              </w:rPr>
            </w:pPr>
            <w:r w:rsidRPr="00443749">
              <w:rPr>
                <w:b/>
              </w:rPr>
              <w:t xml:space="preserve">3,707 </w:t>
            </w:r>
          </w:p>
        </w:tc>
        <w:tc>
          <w:tcPr>
            <w:tcW w:w="851"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1055D4E" w14:textId="77777777">
            <w:pPr>
              <w:pStyle w:val="tablebody"/>
              <w:jc w:val="right"/>
              <w:rPr>
                <w:b/>
              </w:rPr>
            </w:pPr>
            <w:r w:rsidRPr="00443749">
              <w:rPr>
                <w:b/>
              </w:rPr>
              <w:t xml:space="preserve">3,546,552 </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center"/>
          </w:tcPr>
          <w:p w:rsidRPr="00443749" w:rsidR="00443749" w:rsidP="00443749" w:rsidRDefault="00443749" w14:paraId="75D96DC6" w14:textId="77777777">
            <w:pPr>
              <w:pStyle w:val="tablebody"/>
              <w:jc w:val="right"/>
              <w:rPr>
                <w:b/>
              </w:rPr>
            </w:pPr>
            <w:r w:rsidRPr="00443749">
              <w:rPr>
                <w:b/>
              </w:rPr>
              <w:t xml:space="preserve">3,315,225 </w:t>
            </w:r>
          </w:p>
        </w:tc>
      </w:tr>
    </w:tbl>
    <w:p w:rsidRPr="00443749" w:rsidR="00443749" w:rsidP="00443749" w:rsidRDefault="00443749" w14:paraId="05E0EF1E" w14:textId="77777777">
      <w:pPr>
        <w:pStyle w:val="notes"/>
      </w:pPr>
      <w:r w:rsidRPr="00443749">
        <w:t>(i) The 2017-18 comparative figures have been reallocated under the new classifications of the functions of government (COFOG) categories.</w:t>
      </w:r>
    </w:p>
    <w:p w:rsidR="00E0412F" w:rsidRDefault="00E0412F" w14:paraId="529161D9" w14:textId="69052EA9">
      <w:pPr>
        <w:spacing w:after="0"/>
        <w:rPr>
          <w:lang w:val="en-AU"/>
        </w:rPr>
      </w:pPr>
      <w:r>
        <w:rPr>
          <w:lang w:val="en-AU"/>
        </w:rPr>
        <w:br w:type="page"/>
      </w:r>
    </w:p>
    <w:p w:rsidRPr="00A244E0" w:rsidR="00A244E0" w:rsidP="00A244E0" w:rsidRDefault="00A244E0" w14:paraId="1A499BA4" w14:textId="3FC6B414">
      <w:pPr>
        <w:pStyle w:val="Heading4"/>
      </w:pPr>
      <w:r w:rsidRPr="00A244E0">
        <w:lastRenderedPageBreak/>
        <w:t>5.2.3 Reconciliation of movements in carrying amount of property, plant and equipment</w:t>
      </w:r>
    </w:p>
    <w:tbl>
      <w:tblPr>
        <w:tblW w:w="10206" w:type="dxa"/>
        <w:tblLayout w:type="fixed"/>
        <w:tblCellMar>
          <w:top w:w="57" w:type="dxa"/>
          <w:left w:w="0" w:type="dxa"/>
          <w:bottom w:w="57" w:type="dxa"/>
          <w:right w:w="0" w:type="dxa"/>
        </w:tblCellMar>
        <w:tblLook w:firstRow="1" w:lastRow="0" w:firstColumn="0" w:lastColumn="0" w:noHBand="0" w:noVBand="0" w:val="0020"/>
      </w:tblPr>
      <w:tblGrid>
        <w:gridCol w:w="1984"/>
        <w:gridCol w:w="710"/>
        <w:gridCol w:w="850"/>
        <w:gridCol w:w="992"/>
        <w:gridCol w:w="1276"/>
        <w:gridCol w:w="1134"/>
        <w:gridCol w:w="1276"/>
        <w:gridCol w:w="1134"/>
        <w:gridCol w:w="850"/>
      </w:tblGrid>
      <w:tr w:rsidRPr="00A244E0" w:rsidR="00A244E0" w:rsidTr="00453CD1" w14:paraId="6B316BC5" w14:textId="77777777">
        <w:trPr>
          <w:tblHeader/>
        </w:trPr>
        <w:tc>
          <w:tcPr>
            <w:tcW w:w="1984" w:type="dxa"/>
            <w:tcBorders>
              <w:top w:val="nil"/>
              <w:left w:val="nil"/>
              <w:bottom w:val="single" w:color="000000" w:sz="6" w:space="0"/>
              <w:right w:val="nil"/>
            </w:tcBorders>
            <w:tcMar>
              <w:left w:w="0" w:type="dxa"/>
            </w:tcMar>
          </w:tcPr>
          <w:p w:rsidRPr="00A244E0" w:rsidR="00A244E0" w:rsidP="00A244E0" w:rsidRDefault="00A244E0" w14:paraId="14E49CCD" w14:textId="77777777">
            <w:pPr>
              <w:pStyle w:val="tablebody"/>
              <w:rPr>
                <w:b/>
                <w:lang w:val="en-US"/>
              </w:rPr>
            </w:pPr>
          </w:p>
        </w:tc>
        <w:tc>
          <w:tcPr>
            <w:tcW w:w="710" w:type="dxa"/>
            <w:tcBorders>
              <w:top w:val="nil"/>
              <w:left w:val="nil"/>
              <w:bottom w:val="single" w:color="000000" w:sz="6" w:space="0"/>
              <w:right w:val="nil"/>
            </w:tcBorders>
            <w:tcMar>
              <w:left w:w="0" w:type="dxa"/>
            </w:tcMar>
          </w:tcPr>
          <w:p w:rsidRPr="00A244E0" w:rsidR="00A244E0" w:rsidP="00453CD1" w:rsidRDefault="00A244E0" w14:paraId="21601D1F" w14:textId="77777777">
            <w:pPr>
              <w:pStyle w:val="tablebody"/>
              <w:jc w:val="right"/>
              <w:rPr>
                <w:b/>
                <w:lang w:val="en-US"/>
              </w:rPr>
            </w:pPr>
          </w:p>
        </w:tc>
        <w:tc>
          <w:tcPr>
            <w:tcW w:w="850" w:type="dxa"/>
            <w:tcBorders>
              <w:top w:val="nil"/>
              <w:left w:val="nil"/>
              <w:bottom w:val="single" w:color="000000" w:sz="6" w:space="0"/>
              <w:right w:val="nil"/>
            </w:tcBorders>
            <w:tcMar>
              <w:left w:w="0" w:type="dxa"/>
            </w:tcMar>
          </w:tcPr>
          <w:p w:rsidRPr="00A244E0" w:rsidR="00A244E0" w:rsidP="00453CD1" w:rsidRDefault="00A244E0" w14:paraId="7F49EE06" w14:textId="77777777">
            <w:pPr>
              <w:pStyle w:val="tablebody"/>
              <w:jc w:val="right"/>
              <w:rPr>
                <w:b/>
                <w:lang w:val="en-US"/>
              </w:rPr>
            </w:pPr>
          </w:p>
        </w:tc>
        <w:tc>
          <w:tcPr>
            <w:tcW w:w="992" w:type="dxa"/>
            <w:tcBorders>
              <w:top w:val="nil"/>
              <w:left w:val="nil"/>
              <w:bottom w:val="single" w:color="000000" w:sz="6" w:space="0"/>
              <w:right w:val="nil"/>
            </w:tcBorders>
            <w:tcMar>
              <w:left w:w="0" w:type="dxa"/>
            </w:tcMar>
          </w:tcPr>
          <w:p w:rsidRPr="00A244E0" w:rsidR="00A244E0" w:rsidP="00453CD1" w:rsidRDefault="00A244E0" w14:paraId="523D4C1F" w14:textId="77777777">
            <w:pPr>
              <w:pStyle w:val="tablebody"/>
              <w:jc w:val="right"/>
              <w:rPr>
                <w:b/>
                <w:lang w:val="en-US"/>
              </w:rPr>
            </w:pPr>
          </w:p>
        </w:tc>
        <w:tc>
          <w:tcPr>
            <w:tcW w:w="1276" w:type="dxa"/>
            <w:tcBorders>
              <w:top w:val="nil"/>
              <w:left w:val="nil"/>
              <w:bottom w:val="single" w:color="000000" w:sz="6" w:space="0"/>
              <w:right w:val="nil"/>
            </w:tcBorders>
            <w:tcMar>
              <w:left w:w="0" w:type="dxa"/>
            </w:tcMar>
          </w:tcPr>
          <w:p w:rsidRPr="00A244E0" w:rsidR="00A244E0" w:rsidP="00453CD1" w:rsidRDefault="00A244E0" w14:paraId="149E297D" w14:textId="77777777">
            <w:pPr>
              <w:pStyle w:val="tablebody"/>
              <w:jc w:val="right"/>
              <w:rPr>
                <w:b/>
                <w:lang w:val="en-US"/>
              </w:rPr>
            </w:pPr>
          </w:p>
        </w:tc>
        <w:tc>
          <w:tcPr>
            <w:tcW w:w="1134" w:type="dxa"/>
            <w:tcBorders>
              <w:top w:val="nil"/>
              <w:left w:val="nil"/>
              <w:bottom w:val="single" w:color="000000" w:sz="6" w:space="0"/>
              <w:right w:val="nil"/>
            </w:tcBorders>
            <w:tcMar>
              <w:left w:w="113" w:type="dxa"/>
            </w:tcMar>
          </w:tcPr>
          <w:p w:rsidRPr="00A244E0" w:rsidR="00A244E0" w:rsidP="00453CD1" w:rsidRDefault="00A244E0" w14:paraId="12AA6D4A" w14:textId="77777777">
            <w:pPr>
              <w:pStyle w:val="tablebody"/>
              <w:jc w:val="right"/>
              <w:rPr>
                <w:b/>
                <w:lang w:val="en-US"/>
              </w:rPr>
            </w:pPr>
          </w:p>
        </w:tc>
        <w:tc>
          <w:tcPr>
            <w:tcW w:w="1276" w:type="dxa"/>
            <w:tcBorders>
              <w:top w:val="nil"/>
              <w:left w:val="nil"/>
              <w:bottom w:val="single" w:color="000000" w:sz="6" w:space="0"/>
              <w:right w:val="nil"/>
            </w:tcBorders>
            <w:tcMar>
              <w:left w:w="113" w:type="dxa"/>
            </w:tcMar>
          </w:tcPr>
          <w:p w:rsidRPr="00A244E0" w:rsidR="00A244E0" w:rsidP="00453CD1" w:rsidRDefault="00A244E0" w14:paraId="2F2F714C" w14:textId="77777777">
            <w:pPr>
              <w:pStyle w:val="tablebody"/>
              <w:jc w:val="right"/>
              <w:rPr>
                <w:b/>
                <w:lang w:val="en-US"/>
              </w:rPr>
            </w:pPr>
          </w:p>
        </w:tc>
        <w:tc>
          <w:tcPr>
            <w:tcW w:w="1984" w:type="dxa"/>
            <w:gridSpan w:val="2"/>
            <w:tcBorders>
              <w:top w:val="nil"/>
              <w:left w:val="nil"/>
              <w:bottom w:val="single" w:color="000000" w:sz="6" w:space="0"/>
              <w:right w:val="nil"/>
            </w:tcBorders>
            <w:tcMar>
              <w:left w:w="0" w:type="dxa"/>
            </w:tcMar>
          </w:tcPr>
          <w:p w:rsidRPr="00A244E0" w:rsidR="00A244E0" w:rsidP="00453CD1" w:rsidRDefault="00A244E0" w14:paraId="4A1A3A0A" w14:textId="77777777">
            <w:pPr>
              <w:pStyle w:val="tablebody"/>
              <w:jc w:val="right"/>
              <w:rPr>
                <w:b/>
              </w:rPr>
            </w:pPr>
            <w:r w:rsidRPr="00A244E0">
              <w:rPr>
                <w:b/>
              </w:rPr>
              <w:t>($ thousand)</w:t>
            </w:r>
          </w:p>
        </w:tc>
      </w:tr>
      <w:tr w:rsidRPr="00A244E0" w:rsidR="00A244E0" w:rsidTr="00453CD1" w14:paraId="51E7591C" w14:textId="77777777">
        <w:trPr>
          <w:tblHeader/>
        </w:trPr>
        <w:tc>
          <w:tcPr>
            <w:tcW w:w="1984"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6200521C" w14:textId="77777777">
            <w:pPr>
              <w:pStyle w:val="tablebody"/>
              <w:jc w:val="right"/>
              <w:rPr>
                <w:b/>
              </w:rPr>
            </w:pPr>
            <w:r w:rsidRPr="00A244E0">
              <w:rPr>
                <w:b/>
              </w:rPr>
              <w:t>2019</w:t>
            </w:r>
          </w:p>
        </w:tc>
        <w:tc>
          <w:tcPr>
            <w:tcW w:w="710"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415AEB97" w14:textId="77777777">
            <w:pPr>
              <w:pStyle w:val="tablebody"/>
              <w:jc w:val="right"/>
              <w:rPr>
                <w:b/>
              </w:rPr>
            </w:pPr>
            <w:r w:rsidRPr="00A244E0">
              <w:rPr>
                <w:b/>
              </w:rPr>
              <w:t>Land at fair value</w:t>
            </w:r>
          </w:p>
        </w:tc>
        <w:tc>
          <w:tcPr>
            <w:tcW w:w="850"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580CDD84" w14:textId="77777777">
            <w:pPr>
              <w:pStyle w:val="tablebody"/>
              <w:jc w:val="right"/>
              <w:rPr>
                <w:b/>
              </w:rPr>
            </w:pPr>
            <w:r w:rsidRPr="00A244E0">
              <w:rPr>
                <w:b/>
              </w:rPr>
              <w:t>Buildings at fair value</w:t>
            </w:r>
          </w:p>
        </w:tc>
        <w:tc>
          <w:tcPr>
            <w:tcW w:w="992"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009AECBF" w14:textId="77777777">
            <w:pPr>
              <w:pStyle w:val="tablebody"/>
              <w:jc w:val="right"/>
              <w:rPr>
                <w:b/>
              </w:rPr>
            </w:pPr>
            <w:r w:rsidRPr="00A244E0">
              <w:rPr>
                <w:b/>
              </w:rPr>
              <w:t>Leased buildings at fair value</w:t>
            </w:r>
          </w:p>
        </w:tc>
        <w:tc>
          <w:tcPr>
            <w:tcW w:w="1276"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5278FC0E" w14:textId="77777777">
            <w:pPr>
              <w:pStyle w:val="tablebody"/>
              <w:jc w:val="right"/>
              <w:rPr>
                <w:b/>
              </w:rPr>
            </w:pPr>
            <w:r w:rsidRPr="00A244E0">
              <w:rPr>
                <w:b/>
              </w:rPr>
              <w:t>Leasehold improvements at fair value</w:t>
            </w:r>
          </w:p>
        </w:tc>
        <w:tc>
          <w:tcPr>
            <w:tcW w:w="1134" w:type="dxa"/>
            <w:tcBorders>
              <w:top w:val="single" w:color="000000" w:sz="6" w:space="0"/>
              <w:left w:val="nil"/>
              <w:bottom w:val="single" w:color="000000" w:sz="6" w:space="0"/>
              <w:right w:val="nil"/>
            </w:tcBorders>
            <w:tcMar>
              <w:left w:w="113" w:type="dxa"/>
            </w:tcMar>
            <w:vAlign w:val="bottom"/>
          </w:tcPr>
          <w:p w:rsidRPr="00A244E0" w:rsidR="00A244E0" w:rsidP="00453CD1" w:rsidRDefault="00A244E0" w14:paraId="066A866C" w14:textId="77777777">
            <w:pPr>
              <w:pStyle w:val="tablebody"/>
              <w:jc w:val="right"/>
              <w:rPr>
                <w:b/>
              </w:rPr>
            </w:pPr>
            <w:r w:rsidRPr="00A244E0">
              <w:rPr>
                <w:b/>
              </w:rPr>
              <w:t>Plant &amp; equipment at fair value</w:t>
            </w:r>
          </w:p>
        </w:tc>
        <w:tc>
          <w:tcPr>
            <w:tcW w:w="1276" w:type="dxa"/>
            <w:tcBorders>
              <w:top w:val="single" w:color="000000" w:sz="6" w:space="0"/>
              <w:left w:val="nil"/>
              <w:bottom w:val="single" w:color="000000" w:sz="6" w:space="0"/>
              <w:right w:val="nil"/>
            </w:tcBorders>
            <w:tcMar>
              <w:left w:w="113" w:type="dxa"/>
            </w:tcMar>
            <w:vAlign w:val="bottom"/>
          </w:tcPr>
          <w:p w:rsidRPr="00A244E0" w:rsidR="00A244E0" w:rsidP="00453CD1" w:rsidRDefault="00A244E0" w14:paraId="3FB39A4D" w14:textId="77777777">
            <w:pPr>
              <w:pStyle w:val="tablebody"/>
              <w:jc w:val="right"/>
              <w:rPr>
                <w:b/>
              </w:rPr>
            </w:pPr>
            <w:r w:rsidRPr="00A244E0">
              <w:rPr>
                <w:b/>
              </w:rPr>
              <w:t>Leased plant &amp; equipment at fair value</w:t>
            </w:r>
          </w:p>
        </w:tc>
        <w:tc>
          <w:tcPr>
            <w:tcW w:w="1134"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6833573C" w14:textId="77777777">
            <w:pPr>
              <w:pStyle w:val="tablebody"/>
              <w:jc w:val="right"/>
              <w:rPr>
                <w:b/>
              </w:rPr>
            </w:pPr>
            <w:r w:rsidRPr="00A244E0">
              <w:rPr>
                <w:b/>
              </w:rPr>
              <w:t>Assets under construction at cost</w:t>
            </w:r>
          </w:p>
        </w:tc>
        <w:tc>
          <w:tcPr>
            <w:tcW w:w="850" w:type="dxa"/>
            <w:tcBorders>
              <w:top w:val="single" w:color="000000" w:sz="6" w:space="0"/>
              <w:left w:val="nil"/>
              <w:bottom w:val="single" w:color="000000" w:sz="6" w:space="0"/>
              <w:right w:val="nil"/>
            </w:tcBorders>
            <w:tcMar>
              <w:left w:w="0" w:type="dxa"/>
            </w:tcMar>
            <w:vAlign w:val="bottom"/>
          </w:tcPr>
          <w:p w:rsidRPr="00A244E0" w:rsidR="00A244E0" w:rsidP="00453CD1" w:rsidRDefault="00A244E0" w14:paraId="14A67BC8" w14:textId="77777777">
            <w:pPr>
              <w:pStyle w:val="tablebody"/>
              <w:jc w:val="right"/>
              <w:rPr>
                <w:b/>
              </w:rPr>
            </w:pPr>
            <w:r w:rsidRPr="00A244E0">
              <w:rPr>
                <w:b/>
              </w:rPr>
              <w:t>Total</w:t>
            </w:r>
          </w:p>
        </w:tc>
      </w:tr>
      <w:tr w:rsidRPr="00A244E0" w:rsidR="00A244E0" w:rsidTr="00453CD1" w14:paraId="52E34EC5" w14:textId="77777777">
        <w:tc>
          <w:tcPr>
            <w:tcW w:w="1984" w:type="dxa"/>
            <w:tcBorders>
              <w:top w:val="single" w:color="000000" w:sz="6" w:space="0"/>
              <w:left w:val="nil"/>
              <w:bottom w:val="nil"/>
              <w:right w:val="nil"/>
            </w:tcBorders>
            <w:tcMar>
              <w:left w:w="0" w:type="dxa"/>
            </w:tcMar>
          </w:tcPr>
          <w:p w:rsidRPr="00A244E0" w:rsidR="00A244E0" w:rsidP="00A244E0" w:rsidRDefault="00A244E0" w14:paraId="33525C84" w14:textId="77777777">
            <w:pPr>
              <w:pStyle w:val="tablebody"/>
              <w:rPr>
                <w:b/>
              </w:rPr>
            </w:pPr>
            <w:r w:rsidRPr="00A244E0">
              <w:rPr>
                <w:b/>
              </w:rPr>
              <w:t>Opening balance</w:t>
            </w:r>
          </w:p>
        </w:tc>
        <w:tc>
          <w:tcPr>
            <w:tcW w:w="710" w:type="dxa"/>
            <w:tcBorders>
              <w:top w:val="single" w:color="000000" w:sz="6" w:space="0"/>
              <w:left w:val="nil"/>
              <w:bottom w:val="nil"/>
              <w:right w:val="nil"/>
            </w:tcBorders>
            <w:tcMar>
              <w:left w:w="0" w:type="dxa"/>
            </w:tcMar>
          </w:tcPr>
          <w:p w:rsidRPr="00A244E0" w:rsidR="00A244E0" w:rsidP="00453CD1" w:rsidRDefault="00A244E0" w14:paraId="79B40985" w14:textId="53441C90">
            <w:pPr>
              <w:pStyle w:val="tablebody"/>
              <w:jc w:val="right"/>
              <w:rPr>
                <w:b/>
              </w:rPr>
            </w:pPr>
            <w:r w:rsidRPr="00A244E0">
              <w:rPr>
                <w:b/>
              </w:rPr>
              <w:t>281,876</w:t>
            </w:r>
          </w:p>
        </w:tc>
        <w:tc>
          <w:tcPr>
            <w:tcW w:w="850" w:type="dxa"/>
            <w:tcBorders>
              <w:top w:val="single" w:color="000000" w:sz="6" w:space="0"/>
              <w:left w:val="nil"/>
              <w:bottom w:val="nil"/>
              <w:right w:val="nil"/>
            </w:tcBorders>
            <w:tcMar>
              <w:left w:w="0" w:type="dxa"/>
            </w:tcMar>
          </w:tcPr>
          <w:p w:rsidRPr="00A244E0" w:rsidR="00A244E0" w:rsidP="00453CD1" w:rsidRDefault="00A244E0" w14:paraId="0ADE1DCB" w14:textId="77089D12">
            <w:pPr>
              <w:pStyle w:val="tablebody"/>
              <w:jc w:val="right"/>
              <w:rPr>
                <w:b/>
              </w:rPr>
            </w:pPr>
            <w:r w:rsidRPr="00A244E0">
              <w:rPr>
                <w:b/>
              </w:rPr>
              <w:t>1,295,111</w:t>
            </w:r>
          </w:p>
        </w:tc>
        <w:tc>
          <w:tcPr>
            <w:tcW w:w="992" w:type="dxa"/>
            <w:tcBorders>
              <w:top w:val="single" w:color="000000" w:sz="6" w:space="0"/>
              <w:left w:val="nil"/>
              <w:bottom w:val="nil"/>
              <w:right w:val="nil"/>
            </w:tcBorders>
            <w:tcMar>
              <w:left w:w="0" w:type="dxa"/>
            </w:tcMar>
          </w:tcPr>
          <w:p w:rsidRPr="00A244E0" w:rsidR="00A244E0" w:rsidP="00453CD1" w:rsidRDefault="00A244E0" w14:paraId="0629AC92" w14:textId="207EB6CC">
            <w:pPr>
              <w:pStyle w:val="tablebody"/>
              <w:jc w:val="right"/>
              <w:rPr>
                <w:b/>
              </w:rPr>
            </w:pPr>
            <w:r w:rsidRPr="00A244E0">
              <w:rPr>
                <w:b/>
              </w:rPr>
              <w:t>1,120,554</w:t>
            </w:r>
          </w:p>
        </w:tc>
        <w:tc>
          <w:tcPr>
            <w:tcW w:w="1276" w:type="dxa"/>
            <w:tcBorders>
              <w:top w:val="single" w:color="000000" w:sz="6" w:space="0"/>
              <w:left w:val="nil"/>
              <w:bottom w:val="nil"/>
              <w:right w:val="nil"/>
            </w:tcBorders>
            <w:tcMar>
              <w:left w:w="0" w:type="dxa"/>
            </w:tcMar>
          </w:tcPr>
          <w:p w:rsidRPr="00A244E0" w:rsidR="00A244E0" w:rsidP="00453CD1" w:rsidRDefault="00A244E0" w14:paraId="07CE1CE2" w14:textId="3837824E">
            <w:pPr>
              <w:pStyle w:val="tablebody"/>
              <w:jc w:val="right"/>
              <w:rPr>
                <w:b/>
              </w:rPr>
            </w:pPr>
            <w:r w:rsidRPr="00A244E0">
              <w:rPr>
                <w:b/>
              </w:rPr>
              <w:t>26,222</w:t>
            </w:r>
          </w:p>
        </w:tc>
        <w:tc>
          <w:tcPr>
            <w:tcW w:w="1134" w:type="dxa"/>
            <w:tcBorders>
              <w:top w:val="single" w:color="000000" w:sz="6" w:space="0"/>
              <w:left w:val="nil"/>
              <w:bottom w:val="nil"/>
              <w:right w:val="nil"/>
            </w:tcBorders>
            <w:tcMar>
              <w:left w:w="113" w:type="dxa"/>
            </w:tcMar>
          </w:tcPr>
          <w:p w:rsidRPr="00A244E0" w:rsidR="00A244E0" w:rsidP="00453CD1" w:rsidRDefault="00A244E0" w14:paraId="0936B44A" w14:textId="448ECE24">
            <w:pPr>
              <w:pStyle w:val="tablebody"/>
              <w:jc w:val="right"/>
              <w:rPr>
                <w:b/>
              </w:rPr>
            </w:pPr>
            <w:r w:rsidRPr="00A244E0">
              <w:rPr>
                <w:b/>
              </w:rPr>
              <w:t>116,479</w:t>
            </w:r>
          </w:p>
        </w:tc>
        <w:tc>
          <w:tcPr>
            <w:tcW w:w="1276" w:type="dxa"/>
            <w:tcBorders>
              <w:top w:val="single" w:color="000000" w:sz="6" w:space="0"/>
              <w:left w:val="nil"/>
              <w:bottom w:val="nil"/>
              <w:right w:val="nil"/>
            </w:tcBorders>
            <w:tcMar>
              <w:left w:w="113" w:type="dxa"/>
            </w:tcMar>
          </w:tcPr>
          <w:p w:rsidRPr="00A244E0" w:rsidR="00A244E0" w:rsidP="00453CD1" w:rsidRDefault="00A244E0" w14:paraId="12AF387A" w14:textId="358712D2">
            <w:pPr>
              <w:pStyle w:val="tablebody"/>
              <w:jc w:val="right"/>
              <w:rPr>
                <w:b/>
              </w:rPr>
            </w:pPr>
            <w:r w:rsidRPr="00A244E0">
              <w:rPr>
                <w:b/>
              </w:rPr>
              <w:t>82,312</w:t>
            </w:r>
          </w:p>
        </w:tc>
        <w:tc>
          <w:tcPr>
            <w:tcW w:w="1134" w:type="dxa"/>
            <w:tcBorders>
              <w:top w:val="single" w:color="000000" w:sz="6" w:space="0"/>
              <w:left w:val="nil"/>
              <w:bottom w:val="nil"/>
              <w:right w:val="nil"/>
            </w:tcBorders>
            <w:tcMar>
              <w:left w:w="0" w:type="dxa"/>
            </w:tcMar>
          </w:tcPr>
          <w:p w:rsidRPr="00A244E0" w:rsidR="00A244E0" w:rsidP="00453CD1" w:rsidRDefault="00A244E0" w14:paraId="67165FA2" w14:textId="19E9D0AB">
            <w:pPr>
              <w:pStyle w:val="tablebody"/>
              <w:jc w:val="right"/>
              <w:rPr>
                <w:b/>
              </w:rPr>
            </w:pPr>
            <w:r w:rsidRPr="00A244E0">
              <w:rPr>
                <w:b/>
              </w:rPr>
              <w:t>392,671</w:t>
            </w:r>
          </w:p>
        </w:tc>
        <w:tc>
          <w:tcPr>
            <w:tcW w:w="850" w:type="dxa"/>
            <w:tcBorders>
              <w:top w:val="single" w:color="000000" w:sz="6" w:space="0"/>
              <w:left w:val="nil"/>
              <w:bottom w:val="nil"/>
              <w:right w:val="nil"/>
            </w:tcBorders>
            <w:tcMar>
              <w:left w:w="0" w:type="dxa"/>
            </w:tcMar>
          </w:tcPr>
          <w:p w:rsidRPr="00A244E0" w:rsidR="00A244E0" w:rsidP="00453CD1" w:rsidRDefault="00A244E0" w14:paraId="605FB659" w14:textId="39F6E373">
            <w:pPr>
              <w:pStyle w:val="tablebody"/>
              <w:jc w:val="right"/>
              <w:rPr>
                <w:b/>
              </w:rPr>
            </w:pPr>
            <w:r w:rsidRPr="00A244E0">
              <w:rPr>
                <w:b/>
              </w:rPr>
              <w:t>3,315,225</w:t>
            </w:r>
          </w:p>
        </w:tc>
      </w:tr>
      <w:tr w:rsidRPr="00A244E0" w:rsidR="00A244E0" w:rsidTr="00453CD1" w14:paraId="650A3F01" w14:textId="77777777">
        <w:tc>
          <w:tcPr>
            <w:tcW w:w="1984" w:type="dxa"/>
            <w:tcBorders>
              <w:top w:val="nil"/>
              <w:left w:val="nil"/>
              <w:bottom w:val="nil"/>
              <w:right w:val="nil"/>
            </w:tcBorders>
            <w:tcMar>
              <w:left w:w="0" w:type="dxa"/>
            </w:tcMar>
          </w:tcPr>
          <w:p w:rsidRPr="00A244E0" w:rsidR="00A244E0" w:rsidP="00A244E0" w:rsidRDefault="00A244E0" w14:paraId="7551BE9E" w14:textId="77777777">
            <w:pPr>
              <w:pStyle w:val="tablebody"/>
            </w:pPr>
            <w:r w:rsidRPr="00A244E0">
              <w:t>Additions</w:t>
            </w:r>
          </w:p>
        </w:tc>
        <w:tc>
          <w:tcPr>
            <w:tcW w:w="710" w:type="dxa"/>
            <w:tcBorders>
              <w:top w:val="nil"/>
              <w:left w:val="nil"/>
              <w:bottom w:val="nil"/>
              <w:right w:val="nil"/>
            </w:tcBorders>
            <w:tcMar>
              <w:left w:w="0" w:type="dxa"/>
            </w:tcMar>
          </w:tcPr>
          <w:p w:rsidRPr="00A244E0" w:rsidR="00A244E0" w:rsidP="00453CD1" w:rsidRDefault="00A244E0" w14:paraId="5C0AB88B" w14:textId="4F807683">
            <w:pPr>
              <w:pStyle w:val="tablebody"/>
              <w:jc w:val="right"/>
            </w:pPr>
            <w:r w:rsidRPr="00A244E0">
              <w:t>1,896</w:t>
            </w:r>
          </w:p>
        </w:tc>
        <w:tc>
          <w:tcPr>
            <w:tcW w:w="850" w:type="dxa"/>
            <w:tcBorders>
              <w:top w:val="nil"/>
              <w:left w:val="nil"/>
              <w:bottom w:val="nil"/>
              <w:right w:val="nil"/>
            </w:tcBorders>
            <w:tcMar>
              <w:left w:w="0" w:type="dxa"/>
            </w:tcMar>
          </w:tcPr>
          <w:p w:rsidRPr="00A244E0" w:rsidR="00A244E0" w:rsidP="00453CD1" w:rsidRDefault="00A244E0" w14:paraId="2256A429" w14:textId="0E4F613A">
            <w:pPr>
              <w:pStyle w:val="tablebody"/>
              <w:jc w:val="right"/>
            </w:pPr>
            <w:r w:rsidRPr="00A244E0">
              <w:t>6,272</w:t>
            </w:r>
          </w:p>
        </w:tc>
        <w:tc>
          <w:tcPr>
            <w:tcW w:w="992" w:type="dxa"/>
            <w:tcBorders>
              <w:top w:val="nil"/>
              <w:left w:val="nil"/>
              <w:bottom w:val="nil"/>
              <w:right w:val="nil"/>
            </w:tcBorders>
            <w:tcMar>
              <w:left w:w="0" w:type="dxa"/>
            </w:tcMar>
          </w:tcPr>
          <w:p w:rsidRPr="00A244E0" w:rsidR="00A244E0" w:rsidP="00453CD1" w:rsidRDefault="00A244E0" w14:paraId="70E46F71" w14:textId="16519530">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069424E3" w14:textId="52D4FEDF">
            <w:pPr>
              <w:pStyle w:val="tablebody"/>
              <w:jc w:val="right"/>
            </w:pPr>
            <w:r w:rsidRPr="00A244E0">
              <w:t>36,892</w:t>
            </w:r>
          </w:p>
        </w:tc>
        <w:tc>
          <w:tcPr>
            <w:tcW w:w="1134" w:type="dxa"/>
            <w:tcBorders>
              <w:top w:val="nil"/>
              <w:left w:val="nil"/>
              <w:bottom w:val="nil"/>
              <w:right w:val="nil"/>
            </w:tcBorders>
            <w:tcMar>
              <w:left w:w="113" w:type="dxa"/>
            </w:tcMar>
          </w:tcPr>
          <w:p w:rsidRPr="00A244E0" w:rsidR="00A244E0" w:rsidP="00453CD1" w:rsidRDefault="00A244E0" w14:paraId="7C57BC0D" w14:textId="50427FD6">
            <w:pPr>
              <w:pStyle w:val="tablebody"/>
              <w:jc w:val="right"/>
            </w:pPr>
            <w:r w:rsidRPr="00A244E0">
              <w:t>4,722</w:t>
            </w:r>
          </w:p>
        </w:tc>
        <w:tc>
          <w:tcPr>
            <w:tcW w:w="1276" w:type="dxa"/>
            <w:tcBorders>
              <w:top w:val="nil"/>
              <w:left w:val="nil"/>
              <w:bottom w:val="nil"/>
              <w:right w:val="nil"/>
            </w:tcBorders>
            <w:tcMar>
              <w:left w:w="113" w:type="dxa"/>
            </w:tcMar>
          </w:tcPr>
          <w:p w:rsidRPr="00A244E0" w:rsidR="00A244E0" w:rsidP="00453CD1" w:rsidRDefault="00A244E0" w14:paraId="4CD649A4" w14:textId="222F11E1">
            <w:pPr>
              <w:pStyle w:val="tablebody"/>
              <w:jc w:val="right"/>
            </w:pPr>
            <w:r w:rsidRPr="00A244E0">
              <w:t>8,824</w:t>
            </w:r>
          </w:p>
        </w:tc>
        <w:tc>
          <w:tcPr>
            <w:tcW w:w="1134" w:type="dxa"/>
            <w:tcBorders>
              <w:top w:val="nil"/>
              <w:left w:val="nil"/>
              <w:bottom w:val="nil"/>
              <w:right w:val="nil"/>
            </w:tcBorders>
            <w:tcMar>
              <w:left w:w="0" w:type="dxa"/>
            </w:tcMar>
          </w:tcPr>
          <w:p w:rsidRPr="00A244E0" w:rsidR="00A244E0" w:rsidP="00453CD1" w:rsidRDefault="00A244E0" w14:paraId="53D3E96D" w14:textId="02CDB61D">
            <w:pPr>
              <w:pStyle w:val="tablebody"/>
              <w:jc w:val="right"/>
            </w:pPr>
            <w:r w:rsidRPr="00A244E0">
              <w:t>285,966</w:t>
            </w:r>
          </w:p>
        </w:tc>
        <w:tc>
          <w:tcPr>
            <w:tcW w:w="850" w:type="dxa"/>
            <w:tcBorders>
              <w:top w:val="nil"/>
              <w:left w:val="nil"/>
              <w:bottom w:val="nil"/>
              <w:right w:val="nil"/>
            </w:tcBorders>
            <w:tcMar>
              <w:left w:w="0" w:type="dxa"/>
            </w:tcMar>
          </w:tcPr>
          <w:p w:rsidRPr="00A244E0" w:rsidR="00A244E0" w:rsidP="00453CD1" w:rsidRDefault="00A244E0" w14:paraId="03AED411" w14:textId="28D0340E">
            <w:pPr>
              <w:pStyle w:val="tablebody"/>
              <w:jc w:val="right"/>
            </w:pPr>
            <w:r w:rsidRPr="00A244E0">
              <w:t>344,572</w:t>
            </w:r>
          </w:p>
        </w:tc>
      </w:tr>
      <w:tr w:rsidRPr="00A244E0" w:rsidR="00A244E0" w:rsidTr="00453CD1" w14:paraId="19C900F4" w14:textId="77777777">
        <w:tc>
          <w:tcPr>
            <w:tcW w:w="1984" w:type="dxa"/>
            <w:tcBorders>
              <w:top w:val="nil"/>
              <w:left w:val="nil"/>
              <w:bottom w:val="nil"/>
              <w:right w:val="nil"/>
            </w:tcBorders>
            <w:tcMar>
              <w:left w:w="0" w:type="dxa"/>
            </w:tcMar>
          </w:tcPr>
          <w:p w:rsidRPr="00A244E0" w:rsidR="00A244E0" w:rsidP="00A244E0" w:rsidRDefault="00A244E0" w14:paraId="551FF75B" w14:textId="77777777">
            <w:pPr>
              <w:pStyle w:val="tablebody"/>
            </w:pPr>
            <w:r w:rsidRPr="00A244E0">
              <w:t>Disposals</w:t>
            </w:r>
          </w:p>
        </w:tc>
        <w:tc>
          <w:tcPr>
            <w:tcW w:w="710" w:type="dxa"/>
            <w:tcBorders>
              <w:top w:val="nil"/>
              <w:left w:val="nil"/>
              <w:bottom w:val="nil"/>
              <w:right w:val="nil"/>
            </w:tcBorders>
            <w:tcMar>
              <w:left w:w="0" w:type="dxa"/>
            </w:tcMar>
          </w:tcPr>
          <w:p w:rsidRPr="00A244E0" w:rsidR="00A244E0" w:rsidP="00453CD1" w:rsidRDefault="00A244E0" w14:paraId="466150C6" w14:textId="5669B56F">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1E64994B" w14:textId="30624495">
            <w:pPr>
              <w:pStyle w:val="tablebody"/>
              <w:jc w:val="right"/>
            </w:pPr>
            <w:r w:rsidRPr="00A244E0">
              <w:t>0</w:t>
            </w:r>
          </w:p>
        </w:tc>
        <w:tc>
          <w:tcPr>
            <w:tcW w:w="992" w:type="dxa"/>
            <w:tcBorders>
              <w:top w:val="nil"/>
              <w:left w:val="nil"/>
              <w:bottom w:val="nil"/>
              <w:right w:val="nil"/>
            </w:tcBorders>
            <w:tcMar>
              <w:left w:w="0" w:type="dxa"/>
            </w:tcMar>
          </w:tcPr>
          <w:p w:rsidRPr="00A244E0" w:rsidR="00A244E0" w:rsidP="00453CD1" w:rsidRDefault="00A244E0" w14:paraId="1459922A" w14:textId="44EDD920">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4B490669" w14:textId="73AF8806">
            <w:pPr>
              <w:pStyle w:val="tablebody"/>
              <w:jc w:val="right"/>
            </w:pPr>
            <w:r w:rsidRPr="00A244E0">
              <w:t>0</w:t>
            </w:r>
          </w:p>
        </w:tc>
        <w:tc>
          <w:tcPr>
            <w:tcW w:w="1134" w:type="dxa"/>
            <w:tcBorders>
              <w:top w:val="nil"/>
              <w:left w:val="nil"/>
              <w:bottom w:val="nil"/>
              <w:right w:val="nil"/>
            </w:tcBorders>
            <w:tcMar>
              <w:left w:w="113" w:type="dxa"/>
            </w:tcMar>
          </w:tcPr>
          <w:p w:rsidRPr="00A244E0" w:rsidR="00A244E0" w:rsidP="00453CD1" w:rsidRDefault="00A244E0" w14:paraId="4B87C9FA" w14:textId="3002417F">
            <w:pPr>
              <w:pStyle w:val="tablebody"/>
              <w:jc w:val="right"/>
            </w:pPr>
            <w:r w:rsidRPr="00A244E0">
              <w:t>0</w:t>
            </w:r>
          </w:p>
        </w:tc>
        <w:tc>
          <w:tcPr>
            <w:tcW w:w="1276" w:type="dxa"/>
            <w:tcBorders>
              <w:top w:val="nil"/>
              <w:left w:val="nil"/>
              <w:bottom w:val="nil"/>
              <w:right w:val="nil"/>
            </w:tcBorders>
            <w:tcMar>
              <w:left w:w="113" w:type="dxa"/>
            </w:tcMar>
          </w:tcPr>
          <w:p w:rsidRPr="00A244E0" w:rsidR="00A244E0" w:rsidP="00453CD1" w:rsidRDefault="00A244E0" w14:paraId="335C61E0" w14:textId="61976D97">
            <w:pPr>
              <w:pStyle w:val="tablebody"/>
              <w:jc w:val="right"/>
            </w:pPr>
            <w:r w:rsidRPr="00A244E0">
              <w:t>(3,624)</w:t>
            </w:r>
          </w:p>
        </w:tc>
        <w:tc>
          <w:tcPr>
            <w:tcW w:w="1134" w:type="dxa"/>
            <w:tcBorders>
              <w:top w:val="nil"/>
              <w:left w:val="nil"/>
              <w:bottom w:val="nil"/>
              <w:right w:val="nil"/>
            </w:tcBorders>
            <w:tcMar>
              <w:left w:w="0" w:type="dxa"/>
            </w:tcMar>
          </w:tcPr>
          <w:p w:rsidRPr="00A244E0" w:rsidR="00A244E0" w:rsidP="00453CD1" w:rsidRDefault="00A244E0" w14:paraId="7A2390FC" w14:textId="09542C80">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417DFFBE" w14:textId="7D3BDA87">
            <w:pPr>
              <w:pStyle w:val="tablebody"/>
              <w:jc w:val="right"/>
            </w:pPr>
            <w:r w:rsidRPr="00A244E0">
              <w:t>(3,624)</w:t>
            </w:r>
          </w:p>
        </w:tc>
      </w:tr>
      <w:tr w:rsidRPr="00A244E0" w:rsidR="00A244E0" w:rsidTr="00453CD1" w14:paraId="51585E64" w14:textId="77777777">
        <w:tc>
          <w:tcPr>
            <w:tcW w:w="1984" w:type="dxa"/>
            <w:tcBorders>
              <w:top w:val="nil"/>
              <w:left w:val="nil"/>
              <w:bottom w:val="nil"/>
              <w:right w:val="nil"/>
            </w:tcBorders>
            <w:tcMar>
              <w:left w:w="0" w:type="dxa"/>
            </w:tcMar>
          </w:tcPr>
          <w:p w:rsidRPr="00A244E0" w:rsidR="00A244E0" w:rsidP="00A244E0" w:rsidRDefault="00A244E0" w14:paraId="4F365DD1" w14:textId="77777777">
            <w:pPr>
              <w:pStyle w:val="tablebody"/>
            </w:pPr>
            <w:r w:rsidRPr="00A244E0">
              <w:t>Transfers out of assets under construction</w:t>
            </w:r>
          </w:p>
        </w:tc>
        <w:tc>
          <w:tcPr>
            <w:tcW w:w="710" w:type="dxa"/>
            <w:tcBorders>
              <w:top w:val="nil"/>
              <w:left w:val="nil"/>
              <w:bottom w:val="nil"/>
              <w:right w:val="nil"/>
            </w:tcBorders>
            <w:tcMar>
              <w:left w:w="0" w:type="dxa"/>
            </w:tcMar>
          </w:tcPr>
          <w:p w:rsidRPr="00A244E0" w:rsidR="00A244E0" w:rsidP="00453CD1" w:rsidRDefault="00A244E0" w14:paraId="73B9F835" w14:textId="7C3B5770">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40740EED" w14:textId="0B966132">
            <w:pPr>
              <w:pStyle w:val="tablebody"/>
              <w:jc w:val="right"/>
            </w:pPr>
            <w:r w:rsidRPr="00A244E0">
              <w:t>116,200</w:t>
            </w:r>
          </w:p>
        </w:tc>
        <w:tc>
          <w:tcPr>
            <w:tcW w:w="992" w:type="dxa"/>
            <w:tcBorders>
              <w:top w:val="nil"/>
              <w:left w:val="nil"/>
              <w:bottom w:val="nil"/>
              <w:right w:val="nil"/>
            </w:tcBorders>
            <w:tcMar>
              <w:left w:w="0" w:type="dxa"/>
            </w:tcMar>
          </w:tcPr>
          <w:p w:rsidRPr="00A244E0" w:rsidR="00A244E0" w:rsidP="00453CD1" w:rsidRDefault="00A244E0" w14:paraId="3F6D75BC" w14:textId="231B783C">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654A8CC1" w14:textId="6FE04AB2">
            <w:pPr>
              <w:pStyle w:val="tablebody"/>
              <w:jc w:val="right"/>
            </w:pPr>
            <w:r w:rsidRPr="00A244E0">
              <w:t>0</w:t>
            </w:r>
          </w:p>
        </w:tc>
        <w:tc>
          <w:tcPr>
            <w:tcW w:w="1134" w:type="dxa"/>
            <w:tcBorders>
              <w:top w:val="nil"/>
              <w:left w:val="nil"/>
              <w:bottom w:val="nil"/>
              <w:right w:val="nil"/>
            </w:tcBorders>
            <w:tcMar>
              <w:left w:w="113" w:type="dxa"/>
            </w:tcMar>
          </w:tcPr>
          <w:p w:rsidRPr="00A244E0" w:rsidR="00A244E0" w:rsidP="00453CD1" w:rsidRDefault="00A244E0" w14:paraId="7806B1AF" w14:textId="0A9E71A6">
            <w:pPr>
              <w:pStyle w:val="tablebody"/>
              <w:jc w:val="right"/>
            </w:pPr>
            <w:r w:rsidRPr="00A244E0">
              <w:t>140</w:t>
            </w:r>
          </w:p>
        </w:tc>
        <w:tc>
          <w:tcPr>
            <w:tcW w:w="1276" w:type="dxa"/>
            <w:tcBorders>
              <w:top w:val="nil"/>
              <w:left w:val="nil"/>
              <w:bottom w:val="nil"/>
              <w:right w:val="nil"/>
            </w:tcBorders>
            <w:tcMar>
              <w:left w:w="113" w:type="dxa"/>
            </w:tcMar>
          </w:tcPr>
          <w:p w:rsidRPr="00A244E0" w:rsidR="00A244E0" w:rsidP="00453CD1" w:rsidRDefault="00A244E0" w14:paraId="33DB8428" w14:textId="7B7A9ED4">
            <w:pPr>
              <w:pStyle w:val="tablebody"/>
              <w:jc w:val="right"/>
            </w:pPr>
            <w:r w:rsidRPr="00A244E0">
              <w:t>0</w:t>
            </w:r>
          </w:p>
        </w:tc>
        <w:tc>
          <w:tcPr>
            <w:tcW w:w="1134" w:type="dxa"/>
            <w:tcBorders>
              <w:top w:val="nil"/>
              <w:left w:val="nil"/>
              <w:bottom w:val="nil"/>
              <w:right w:val="nil"/>
            </w:tcBorders>
            <w:tcMar>
              <w:left w:w="0" w:type="dxa"/>
            </w:tcMar>
          </w:tcPr>
          <w:p w:rsidRPr="00A244E0" w:rsidR="00A244E0" w:rsidP="00453CD1" w:rsidRDefault="00A244E0" w14:paraId="0769B67F" w14:textId="2A2C2DB1">
            <w:pPr>
              <w:pStyle w:val="tablebody"/>
              <w:jc w:val="right"/>
            </w:pPr>
            <w:r w:rsidRPr="00A244E0">
              <w:t>(116,340)</w:t>
            </w:r>
          </w:p>
        </w:tc>
        <w:tc>
          <w:tcPr>
            <w:tcW w:w="850" w:type="dxa"/>
            <w:tcBorders>
              <w:top w:val="nil"/>
              <w:left w:val="nil"/>
              <w:bottom w:val="nil"/>
              <w:right w:val="nil"/>
            </w:tcBorders>
            <w:tcMar>
              <w:left w:w="0" w:type="dxa"/>
            </w:tcMar>
          </w:tcPr>
          <w:p w:rsidRPr="00A244E0" w:rsidR="00A244E0" w:rsidP="00453CD1" w:rsidRDefault="00A244E0" w14:paraId="7D8ACFF1" w14:textId="7BE1B0BF">
            <w:pPr>
              <w:pStyle w:val="tablebody"/>
              <w:jc w:val="right"/>
            </w:pPr>
            <w:r w:rsidRPr="00A244E0">
              <w:t>0</w:t>
            </w:r>
          </w:p>
        </w:tc>
      </w:tr>
      <w:tr w:rsidRPr="00A244E0" w:rsidR="00A244E0" w:rsidTr="00453CD1" w14:paraId="7A78B096" w14:textId="77777777">
        <w:tc>
          <w:tcPr>
            <w:tcW w:w="1984" w:type="dxa"/>
            <w:tcBorders>
              <w:top w:val="nil"/>
              <w:left w:val="nil"/>
              <w:bottom w:val="nil"/>
              <w:right w:val="nil"/>
            </w:tcBorders>
            <w:tcMar>
              <w:left w:w="0" w:type="dxa"/>
            </w:tcMar>
          </w:tcPr>
          <w:p w:rsidRPr="00A244E0" w:rsidR="00A244E0" w:rsidP="00A244E0" w:rsidRDefault="00A244E0" w14:paraId="4629F653" w14:textId="77777777">
            <w:pPr>
              <w:pStyle w:val="tablebody"/>
            </w:pPr>
            <w:r w:rsidRPr="00A244E0">
              <w:t>Reclassification between classes</w:t>
            </w:r>
          </w:p>
        </w:tc>
        <w:tc>
          <w:tcPr>
            <w:tcW w:w="710" w:type="dxa"/>
            <w:tcBorders>
              <w:top w:val="nil"/>
              <w:left w:val="nil"/>
              <w:bottom w:val="nil"/>
              <w:right w:val="nil"/>
            </w:tcBorders>
            <w:tcMar>
              <w:left w:w="0" w:type="dxa"/>
            </w:tcMar>
          </w:tcPr>
          <w:p w:rsidRPr="00A244E0" w:rsidR="00A244E0" w:rsidP="00453CD1" w:rsidRDefault="00A244E0" w14:paraId="52DB9961" w14:textId="1C467A3D">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4D98062A" w14:textId="56CC2A89">
            <w:pPr>
              <w:pStyle w:val="tablebody"/>
              <w:jc w:val="right"/>
            </w:pPr>
            <w:r w:rsidRPr="00A244E0">
              <w:t>0</w:t>
            </w:r>
          </w:p>
        </w:tc>
        <w:tc>
          <w:tcPr>
            <w:tcW w:w="992" w:type="dxa"/>
            <w:tcBorders>
              <w:top w:val="nil"/>
              <w:left w:val="nil"/>
              <w:bottom w:val="nil"/>
              <w:right w:val="nil"/>
            </w:tcBorders>
            <w:tcMar>
              <w:left w:w="0" w:type="dxa"/>
            </w:tcMar>
          </w:tcPr>
          <w:p w:rsidRPr="00A244E0" w:rsidR="00A244E0" w:rsidP="00453CD1" w:rsidRDefault="00A244E0" w14:paraId="5C31509F" w14:textId="7188A255">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6AEEDC05" w14:textId="21C88B8B">
            <w:pPr>
              <w:pStyle w:val="tablebody"/>
              <w:jc w:val="right"/>
            </w:pPr>
            <w:r w:rsidRPr="00A244E0">
              <w:t>0</w:t>
            </w:r>
          </w:p>
        </w:tc>
        <w:tc>
          <w:tcPr>
            <w:tcW w:w="1134" w:type="dxa"/>
            <w:tcBorders>
              <w:top w:val="nil"/>
              <w:left w:val="nil"/>
              <w:bottom w:val="nil"/>
              <w:right w:val="nil"/>
            </w:tcBorders>
            <w:tcMar>
              <w:left w:w="113" w:type="dxa"/>
            </w:tcMar>
          </w:tcPr>
          <w:p w:rsidRPr="00A244E0" w:rsidR="00A244E0" w:rsidP="00453CD1" w:rsidRDefault="00A244E0" w14:paraId="687B9A1C" w14:textId="259E264B">
            <w:pPr>
              <w:pStyle w:val="tablebody"/>
              <w:jc w:val="right"/>
            </w:pPr>
            <w:r w:rsidRPr="00A244E0">
              <w:t>24</w:t>
            </w:r>
          </w:p>
        </w:tc>
        <w:tc>
          <w:tcPr>
            <w:tcW w:w="1276" w:type="dxa"/>
            <w:tcBorders>
              <w:top w:val="nil"/>
              <w:left w:val="nil"/>
              <w:bottom w:val="nil"/>
              <w:right w:val="nil"/>
            </w:tcBorders>
            <w:tcMar>
              <w:left w:w="113" w:type="dxa"/>
            </w:tcMar>
          </w:tcPr>
          <w:p w:rsidRPr="00A244E0" w:rsidR="00A244E0" w:rsidP="00453CD1" w:rsidRDefault="00A244E0" w14:paraId="68D40C65" w14:textId="3F2FDA12">
            <w:pPr>
              <w:pStyle w:val="tablebody"/>
              <w:jc w:val="right"/>
            </w:pPr>
            <w:r w:rsidRPr="00A244E0">
              <w:t>(24)</w:t>
            </w:r>
          </w:p>
        </w:tc>
        <w:tc>
          <w:tcPr>
            <w:tcW w:w="1134" w:type="dxa"/>
            <w:tcBorders>
              <w:top w:val="nil"/>
              <w:left w:val="nil"/>
              <w:bottom w:val="nil"/>
              <w:right w:val="nil"/>
            </w:tcBorders>
            <w:tcMar>
              <w:left w:w="0" w:type="dxa"/>
            </w:tcMar>
          </w:tcPr>
          <w:p w:rsidRPr="00A244E0" w:rsidR="00A244E0" w:rsidP="00453CD1" w:rsidRDefault="00A244E0" w14:paraId="29EC71EF" w14:textId="29CDC1AD">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6EDB9F3C" w14:textId="558BDB38">
            <w:pPr>
              <w:pStyle w:val="tablebody"/>
              <w:jc w:val="right"/>
            </w:pPr>
            <w:r w:rsidRPr="00A244E0">
              <w:t>0</w:t>
            </w:r>
          </w:p>
        </w:tc>
      </w:tr>
      <w:tr w:rsidRPr="00A244E0" w:rsidR="00A244E0" w:rsidTr="00453CD1" w14:paraId="66F60E99" w14:textId="77777777">
        <w:tc>
          <w:tcPr>
            <w:tcW w:w="1984" w:type="dxa"/>
            <w:tcBorders>
              <w:top w:val="nil"/>
              <w:left w:val="nil"/>
              <w:bottom w:val="nil"/>
              <w:right w:val="nil"/>
            </w:tcBorders>
            <w:tcMar>
              <w:left w:w="0" w:type="dxa"/>
            </w:tcMar>
          </w:tcPr>
          <w:p w:rsidRPr="00A244E0" w:rsidR="00A244E0" w:rsidP="00A244E0" w:rsidRDefault="00A244E0" w14:paraId="031B6B00" w14:textId="77777777">
            <w:pPr>
              <w:pStyle w:val="tablebody"/>
            </w:pPr>
            <w:r w:rsidRPr="00A244E0">
              <w:t>Machinery of government transfer out</w:t>
            </w:r>
          </w:p>
        </w:tc>
        <w:tc>
          <w:tcPr>
            <w:tcW w:w="710" w:type="dxa"/>
            <w:tcBorders>
              <w:top w:val="nil"/>
              <w:left w:val="nil"/>
              <w:bottom w:val="nil"/>
              <w:right w:val="nil"/>
            </w:tcBorders>
            <w:tcMar>
              <w:left w:w="0" w:type="dxa"/>
            </w:tcMar>
          </w:tcPr>
          <w:p w:rsidRPr="00A244E0" w:rsidR="00A244E0" w:rsidP="00453CD1" w:rsidRDefault="00A244E0" w14:paraId="4DE47FE5" w14:textId="7165D738">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520B4411" w14:textId="6AFE846A">
            <w:pPr>
              <w:pStyle w:val="tablebody"/>
              <w:jc w:val="right"/>
            </w:pPr>
            <w:r w:rsidRPr="00A244E0">
              <w:t>0</w:t>
            </w:r>
          </w:p>
        </w:tc>
        <w:tc>
          <w:tcPr>
            <w:tcW w:w="992" w:type="dxa"/>
            <w:tcBorders>
              <w:top w:val="nil"/>
              <w:left w:val="nil"/>
              <w:bottom w:val="nil"/>
              <w:right w:val="nil"/>
            </w:tcBorders>
            <w:tcMar>
              <w:left w:w="0" w:type="dxa"/>
            </w:tcMar>
          </w:tcPr>
          <w:p w:rsidRPr="00A244E0" w:rsidR="00A244E0" w:rsidP="00453CD1" w:rsidRDefault="00A244E0" w14:paraId="153F22C9" w14:textId="412AC720">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32262DFF" w14:textId="2125F0C4">
            <w:pPr>
              <w:pStyle w:val="tablebody"/>
              <w:jc w:val="right"/>
            </w:pPr>
            <w:r w:rsidRPr="00A244E0">
              <w:t>(113)</w:t>
            </w:r>
          </w:p>
        </w:tc>
        <w:tc>
          <w:tcPr>
            <w:tcW w:w="1134" w:type="dxa"/>
            <w:tcBorders>
              <w:top w:val="nil"/>
              <w:left w:val="nil"/>
              <w:bottom w:val="nil"/>
              <w:right w:val="nil"/>
            </w:tcBorders>
            <w:tcMar>
              <w:left w:w="113" w:type="dxa"/>
            </w:tcMar>
          </w:tcPr>
          <w:p w:rsidRPr="00A244E0" w:rsidR="00A244E0" w:rsidP="00453CD1" w:rsidRDefault="00A244E0" w14:paraId="7DBF5338" w14:textId="47925663">
            <w:pPr>
              <w:pStyle w:val="tablebody"/>
              <w:jc w:val="right"/>
            </w:pPr>
            <w:r w:rsidRPr="00A244E0">
              <w:t>0</w:t>
            </w:r>
          </w:p>
        </w:tc>
        <w:tc>
          <w:tcPr>
            <w:tcW w:w="1276" w:type="dxa"/>
            <w:tcBorders>
              <w:top w:val="nil"/>
              <w:left w:val="nil"/>
              <w:bottom w:val="nil"/>
              <w:right w:val="nil"/>
            </w:tcBorders>
            <w:tcMar>
              <w:left w:w="113" w:type="dxa"/>
            </w:tcMar>
          </w:tcPr>
          <w:p w:rsidRPr="00A244E0" w:rsidR="00A244E0" w:rsidP="00453CD1" w:rsidRDefault="00A244E0" w14:paraId="2FE88567" w14:textId="5408DCDF">
            <w:pPr>
              <w:pStyle w:val="tablebody"/>
              <w:jc w:val="right"/>
            </w:pPr>
            <w:r w:rsidRPr="00A244E0">
              <w:t>(39)</w:t>
            </w:r>
          </w:p>
        </w:tc>
        <w:tc>
          <w:tcPr>
            <w:tcW w:w="1134" w:type="dxa"/>
            <w:tcBorders>
              <w:top w:val="nil"/>
              <w:left w:val="nil"/>
              <w:bottom w:val="nil"/>
              <w:right w:val="nil"/>
            </w:tcBorders>
            <w:tcMar>
              <w:left w:w="0" w:type="dxa"/>
            </w:tcMar>
          </w:tcPr>
          <w:p w:rsidRPr="00A244E0" w:rsidR="00A244E0" w:rsidP="00453CD1" w:rsidRDefault="00A244E0" w14:paraId="06529637" w14:textId="730E26BC">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29596EA2" w14:textId="00F0DE55">
            <w:pPr>
              <w:pStyle w:val="tablebody"/>
              <w:jc w:val="right"/>
            </w:pPr>
            <w:r w:rsidRPr="00A244E0">
              <w:t>(152)</w:t>
            </w:r>
          </w:p>
        </w:tc>
      </w:tr>
      <w:tr w:rsidRPr="00A244E0" w:rsidR="00A244E0" w:rsidTr="00453CD1" w14:paraId="258B0FC6" w14:textId="77777777">
        <w:tc>
          <w:tcPr>
            <w:tcW w:w="1984" w:type="dxa"/>
            <w:tcBorders>
              <w:top w:val="nil"/>
              <w:left w:val="nil"/>
              <w:bottom w:val="nil"/>
              <w:right w:val="nil"/>
            </w:tcBorders>
            <w:tcMar>
              <w:left w:w="0" w:type="dxa"/>
            </w:tcMar>
          </w:tcPr>
          <w:p w:rsidRPr="00A244E0" w:rsidR="00A244E0" w:rsidP="00A244E0" w:rsidRDefault="00A244E0" w14:paraId="089AE3F2" w14:textId="77777777">
            <w:pPr>
              <w:pStyle w:val="tablebody"/>
            </w:pPr>
            <w:r w:rsidRPr="00A244E0">
              <w:t>Fair value of assets received free of charge or for nominal consideration</w:t>
            </w:r>
          </w:p>
        </w:tc>
        <w:tc>
          <w:tcPr>
            <w:tcW w:w="710" w:type="dxa"/>
            <w:tcBorders>
              <w:top w:val="nil"/>
              <w:left w:val="nil"/>
              <w:bottom w:val="nil"/>
              <w:right w:val="nil"/>
            </w:tcBorders>
            <w:tcMar>
              <w:left w:w="0" w:type="dxa"/>
            </w:tcMar>
          </w:tcPr>
          <w:p w:rsidRPr="00A244E0" w:rsidR="00A244E0" w:rsidP="00453CD1" w:rsidRDefault="00A244E0" w14:paraId="39275EA8" w14:textId="338E02E0">
            <w:pPr>
              <w:pStyle w:val="tablebody"/>
              <w:jc w:val="right"/>
            </w:pPr>
            <w:r w:rsidRPr="00A244E0">
              <w:t>3,489</w:t>
            </w:r>
          </w:p>
        </w:tc>
        <w:tc>
          <w:tcPr>
            <w:tcW w:w="850" w:type="dxa"/>
            <w:tcBorders>
              <w:top w:val="nil"/>
              <w:left w:val="nil"/>
              <w:bottom w:val="nil"/>
              <w:right w:val="nil"/>
            </w:tcBorders>
            <w:tcMar>
              <w:left w:w="0" w:type="dxa"/>
            </w:tcMar>
          </w:tcPr>
          <w:p w:rsidRPr="00A244E0" w:rsidR="00A244E0" w:rsidP="00453CD1" w:rsidRDefault="00A244E0" w14:paraId="36671F29" w14:textId="6A11145B">
            <w:pPr>
              <w:pStyle w:val="tablebody"/>
              <w:jc w:val="right"/>
            </w:pPr>
            <w:r w:rsidRPr="00A244E0">
              <w:t>0</w:t>
            </w:r>
          </w:p>
        </w:tc>
        <w:tc>
          <w:tcPr>
            <w:tcW w:w="992" w:type="dxa"/>
            <w:tcBorders>
              <w:top w:val="nil"/>
              <w:left w:val="nil"/>
              <w:bottom w:val="nil"/>
              <w:right w:val="nil"/>
            </w:tcBorders>
            <w:tcMar>
              <w:left w:w="0" w:type="dxa"/>
            </w:tcMar>
          </w:tcPr>
          <w:p w:rsidRPr="00A244E0" w:rsidR="00A244E0" w:rsidP="00453CD1" w:rsidRDefault="00A244E0" w14:paraId="2D23305A" w14:textId="2C46C941">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3A02B8F9" w14:textId="32A38AD8">
            <w:pPr>
              <w:pStyle w:val="tablebody"/>
              <w:jc w:val="right"/>
            </w:pPr>
            <w:r w:rsidRPr="00A244E0">
              <w:t>0</w:t>
            </w:r>
          </w:p>
        </w:tc>
        <w:tc>
          <w:tcPr>
            <w:tcW w:w="1134" w:type="dxa"/>
            <w:tcBorders>
              <w:top w:val="nil"/>
              <w:left w:val="nil"/>
              <w:bottom w:val="nil"/>
              <w:right w:val="nil"/>
            </w:tcBorders>
            <w:tcMar>
              <w:left w:w="113" w:type="dxa"/>
            </w:tcMar>
          </w:tcPr>
          <w:p w:rsidRPr="00A244E0" w:rsidR="00A244E0" w:rsidP="00453CD1" w:rsidRDefault="00A244E0" w14:paraId="157EFEDA" w14:textId="47125E34">
            <w:pPr>
              <w:pStyle w:val="tablebody"/>
              <w:jc w:val="right"/>
            </w:pPr>
            <w:r w:rsidRPr="00A244E0">
              <w:t>16,682</w:t>
            </w:r>
          </w:p>
        </w:tc>
        <w:tc>
          <w:tcPr>
            <w:tcW w:w="1276" w:type="dxa"/>
            <w:tcBorders>
              <w:top w:val="nil"/>
              <w:left w:val="nil"/>
              <w:bottom w:val="nil"/>
              <w:right w:val="nil"/>
            </w:tcBorders>
            <w:tcMar>
              <w:left w:w="113" w:type="dxa"/>
            </w:tcMar>
          </w:tcPr>
          <w:p w:rsidRPr="00A244E0" w:rsidR="00A244E0" w:rsidP="00453CD1" w:rsidRDefault="00A244E0" w14:paraId="4403B53B" w14:textId="26B4D3A6">
            <w:pPr>
              <w:pStyle w:val="tablebody"/>
              <w:jc w:val="right"/>
            </w:pPr>
            <w:r w:rsidRPr="00A244E0">
              <w:t>225</w:t>
            </w:r>
          </w:p>
        </w:tc>
        <w:tc>
          <w:tcPr>
            <w:tcW w:w="1134" w:type="dxa"/>
            <w:tcBorders>
              <w:top w:val="nil"/>
              <w:left w:val="nil"/>
              <w:bottom w:val="nil"/>
              <w:right w:val="nil"/>
            </w:tcBorders>
            <w:tcMar>
              <w:left w:w="0" w:type="dxa"/>
            </w:tcMar>
          </w:tcPr>
          <w:p w:rsidRPr="00A244E0" w:rsidR="00A244E0" w:rsidP="00453CD1" w:rsidRDefault="00A244E0" w14:paraId="5D4C6F93" w14:textId="02284A38">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58613DC2" w14:textId="5EB401AF">
            <w:pPr>
              <w:pStyle w:val="tablebody"/>
              <w:jc w:val="right"/>
            </w:pPr>
            <w:r w:rsidRPr="00A244E0">
              <w:t>20,396</w:t>
            </w:r>
          </w:p>
        </w:tc>
      </w:tr>
      <w:tr w:rsidRPr="00A244E0" w:rsidR="00A244E0" w:rsidTr="00453CD1" w14:paraId="022B319C" w14:textId="77777777">
        <w:tc>
          <w:tcPr>
            <w:tcW w:w="1984" w:type="dxa"/>
            <w:tcBorders>
              <w:top w:val="nil"/>
              <w:left w:val="nil"/>
              <w:bottom w:val="nil"/>
              <w:right w:val="nil"/>
            </w:tcBorders>
            <w:tcMar>
              <w:left w:w="0" w:type="dxa"/>
            </w:tcMar>
          </w:tcPr>
          <w:p w:rsidRPr="00A244E0" w:rsidR="00A244E0" w:rsidP="00A244E0" w:rsidRDefault="00A244E0" w14:paraId="62E8DFAA" w14:textId="77777777">
            <w:pPr>
              <w:pStyle w:val="tablebody"/>
            </w:pPr>
            <w:r w:rsidRPr="00A244E0">
              <w:t>Depreciation</w:t>
            </w:r>
          </w:p>
        </w:tc>
        <w:tc>
          <w:tcPr>
            <w:tcW w:w="710" w:type="dxa"/>
            <w:tcBorders>
              <w:top w:val="nil"/>
              <w:left w:val="nil"/>
              <w:bottom w:val="nil"/>
              <w:right w:val="nil"/>
            </w:tcBorders>
            <w:tcMar>
              <w:left w:w="0" w:type="dxa"/>
            </w:tcMar>
          </w:tcPr>
          <w:p w:rsidRPr="00A244E0" w:rsidR="00A244E0" w:rsidP="00453CD1" w:rsidRDefault="00A244E0" w14:paraId="1AD97A91" w14:textId="3AB19162">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243FBF2E" w14:textId="49234247">
            <w:pPr>
              <w:pStyle w:val="tablebody"/>
              <w:jc w:val="right"/>
            </w:pPr>
            <w:r w:rsidRPr="00A244E0">
              <w:t>(51,862)</w:t>
            </w:r>
          </w:p>
        </w:tc>
        <w:tc>
          <w:tcPr>
            <w:tcW w:w="992" w:type="dxa"/>
            <w:tcBorders>
              <w:top w:val="nil"/>
              <w:left w:val="nil"/>
              <w:bottom w:val="nil"/>
              <w:right w:val="nil"/>
            </w:tcBorders>
            <w:tcMar>
              <w:left w:w="0" w:type="dxa"/>
            </w:tcMar>
          </w:tcPr>
          <w:p w:rsidRPr="00A244E0" w:rsidR="00A244E0" w:rsidP="00453CD1" w:rsidRDefault="00A244E0" w14:paraId="3C960B86" w14:textId="68B28A49">
            <w:pPr>
              <w:pStyle w:val="tablebody"/>
              <w:jc w:val="right"/>
            </w:pPr>
            <w:r w:rsidRPr="00A244E0">
              <w:t>(33,555)</w:t>
            </w:r>
          </w:p>
        </w:tc>
        <w:tc>
          <w:tcPr>
            <w:tcW w:w="1276" w:type="dxa"/>
            <w:tcBorders>
              <w:top w:val="nil"/>
              <w:left w:val="nil"/>
              <w:bottom w:val="nil"/>
              <w:right w:val="nil"/>
            </w:tcBorders>
            <w:tcMar>
              <w:left w:w="0" w:type="dxa"/>
            </w:tcMar>
          </w:tcPr>
          <w:p w:rsidRPr="00A244E0" w:rsidR="00A244E0" w:rsidP="00453CD1" w:rsidRDefault="00A244E0" w14:paraId="6344D5EA" w14:textId="24701353">
            <w:pPr>
              <w:pStyle w:val="tablebody"/>
              <w:jc w:val="right"/>
            </w:pPr>
            <w:r w:rsidRPr="00A244E0">
              <w:t>(9,767)</w:t>
            </w:r>
          </w:p>
        </w:tc>
        <w:tc>
          <w:tcPr>
            <w:tcW w:w="1134" w:type="dxa"/>
            <w:tcBorders>
              <w:top w:val="nil"/>
              <w:left w:val="nil"/>
              <w:bottom w:val="nil"/>
              <w:right w:val="nil"/>
            </w:tcBorders>
            <w:tcMar>
              <w:left w:w="113" w:type="dxa"/>
            </w:tcMar>
          </w:tcPr>
          <w:p w:rsidRPr="00A244E0" w:rsidR="00A244E0" w:rsidP="00453CD1" w:rsidRDefault="00A244E0" w14:paraId="62CF61B9" w14:textId="7AA213D7">
            <w:pPr>
              <w:pStyle w:val="tablebody"/>
              <w:jc w:val="right"/>
            </w:pPr>
            <w:r w:rsidRPr="00A244E0">
              <w:t>(22,871)</w:t>
            </w:r>
          </w:p>
        </w:tc>
        <w:tc>
          <w:tcPr>
            <w:tcW w:w="1276" w:type="dxa"/>
            <w:tcBorders>
              <w:top w:val="nil"/>
              <w:left w:val="nil"/>
              <w:bottom w:val="nil"/>
              <w:right w:val="nil"/>
            </w:tcBorders>
            <w:tcMar>
              <w:left w:w="113" w:type="dxa"/>
            </w:tcMar>
          </w:tcPr>
          <w:p w:rsidRPr="00A244E0" w:rsidR="00A244E0" w:rsidP="00453CD1" w:rsidRDefault="00A244E0" w14:paraId="48E4EFBE" w14:textId="36E02441">
            <w:pPr>
              <w:pStyle w:val="tablebody"/>
              <w:jc w:val="right"/>
            </w:pPr>
            <w:r w:rsidRPr="00A244E0">
              <w:t>(8,205)</w:t>
            </w:r>
          </w:p>
        </w:tc>
        <w:tc>
          <w:tcPr>
            <w:tcW w:w="1134" w:type="dxa"/>
            <w:tcBorders>
              <w:top w:val="nil"/>
              <w:left w:val="nil"/>
              <w:bottom w:val="nil"/>
              <w:right w:val="nil"/>
            </w:tcBorders>
            <w:tcMar>
              <w:left w:w="0" w:type="dxa"/>
            </w:tcMar>
          </w:tcPr>
          <w:p w:rsidRPr="00A244E0" w:rsidR="00A244E0" w:rsidP="00453CD1" w:rsidRDefault="00A244E0" w14:paraId="11CE1754" w14:textId="4FDBA2E9">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2A61BA0C" w14:textId="3805A18E">
            <w:pPr>
              <w:pStyle w:val="tablebody"/>
              <w:jc w:val="right"/>
            </w:pPr>
            <w:r w:rsidRPr="00A244E0">
              <w:t>(126,260)</w:t>
            </w:r>
          </w:p>
        </w:tc>
      </w:tr>
      <w:tr w:rsidRPr="00A244E0" w:rsidR="00A244E0" w:rsidTr="00453CD1" w14:paraId="2C79F680" w14:textId="77777777">
        <w:tc>
          <w:tcPr>
            <w:tcW w:w="1984" w:type="dxa"/>
            <w:tcBorders>
              <w:top w:val="nil"/>
              <w:left w:val="nil"/>
              <w:bottom w:val="nil"/>
              <w:right w:val="nil"/>
            </w:tcBorders>
            <w:tcMar>
              <w:left w:w="0" w:type="dxa"/>
            </w:tcMar>
          </w:tcPr>
          <w:p w:rsidRPr="00A244E0" w:rsidR="00A244E0" w:rsidP="00A244E0" w:rsidRDefault="00A244E0" w14:paraId="4E1AD994" w14:textId="77777777">
            <w:pPr>
              <w:pStyle w:val="tablebody"/>
            </w:pPr>
            <w:r w:rsidRPr="00A244E0">
              <w:t>Transfers to disposal group held for sale</w:t>
            </w:r>
          </w:p>
        </w:tc>
        <w:tc>
          <w:tcPr>
            <w:tcW w:w="710" w:type="dxa"/>
            <w:tcBorders>
              <w:top w:val="nil"/>
              <w:left w:val="nil"/>
              <w:bottom w:val="nil"/>
              <w:right w:val="nil"/>
            </w:tcBorders>
            <w:tcMar>
              <w:left w:w="0" w:type="dxa"/>
            </w:tcMar>
          </w:tcPr>
          <w:p w:rsidRPr="00A244E0" w:rsidR="00A244E0" w:rsidP="00453CD1" w:rsidRDefault="00A244E0" w14:paraId="7719ED8A" w14:textId="4B13A76A">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38BAB1C2" w14:textId="4C0A7DC0">
            <w:pPr>
              <w:pStyle w:val="tablebody"/>
              <w:jc w:val="right"/>
            </w:pPr>
            <w:r w:rsidRPr="00A244E0">
              <w:t>0</w:t>
            </w:r>
          </w:p>
        </w:tc>
        <w:tc>
          <w:tcPr>
            <w:tcW w:w="992" w:type="dxa"/>
            <w:tcBorders>
              <w:top w:val="nil"/>
              <w:left w:val="nil"/>
              <w:bottom w:val="nil"/>
              <w:right w:val="nil"/>
            </w:tcBorders>
            <w:tcMar>
              <w:left w:w="0" w:type="dxa"/>
            </w:tcMar>
          </w:tcPr>
          <w:p w:rsidRPr="00A244E0" w:rsidR="00A244E0" w:rsidP="00453CD1" w:rsidRDefault="00A244E0" w14:paraId="6D42253B" w14:textId="49870C56">
            <w:pPr>
              <w:pStyle w:val="tablebody"/>
              <w:jc w:val="right"/>
            </w:pPr>
            <w:r w:rsidRPr="00A244E0">
              <w:t>0</w:t>
            </w:r>
          </w:p>
        </w:tc>
        <w:tc>
          <w:tcPr>
            <w:tcW w:w="1276" w:type="dxa"/>
            <w:tcBorders>
              <w:top w:val="nil"/>
              <w:left w:val="nil"/>
              <w:bottom w:val="nil"/>
              <w:right w:val="nil"/>
            </w:tcBorders>
            <w:tcMar>
              <w:left w:w="0" w:type="dxa"/>
            </w:tcMar>
          </w:tcPr>
          <w:p w:rsidRPr="00A244E0" w:rsidR="00A244E0" w:rsidP="00453CD1" w:rsidRDefault="00A244E0" w14:paraId="1D9B4CC2" w14:textId="5CF1140F">
            <w:pPr>
              <w:pStyle w:val="tablebody"/>
              <w:jc w:val="right"/>
            </w:pPr>
            <w:r w:rsidRPr="00A244E0">
              <w:t>0</w:t>
            </w:r>
          </w:p>
        </w:tc>
        <w:tc>
          <w:tcPr>
            <w:tcW w:w="1134" w:type="dxa"/>
            <w:tcBorders>
              <w:top w:val="nil"/>
              <w:left w:val="nil"/>
              <w:bottom w:val="nil"/>
              <w:right w:val="nil"/>
            </w:tcBorders>
            <w:tcMar>
              <w:left w:w="113" w:type="dxa"/>
            </w:tcMar>
          </w:tcPr>
          <w:p w:rsidRPr="00A244E0" w:rsidR="00A244E0" w:rsidP="00453CD1" w:rsidRDefault="00A244E0" w14:paraId="69DC7FEC" w14:textId="279B74F8">
            <w:pPr>
              <w:pStyle w:val="tablebody"/>
              <w:jc w:val="right"/>
            </w:pPr>
            <w:r w:rsidRPr="00A244E0">
              <w:t>0</w:t>
            </w:r>
          </w:p>
        </w:tc>
        <w:tc>
          <w:tcPr>
            <w:tcW w:w="1276" w:type="dxa"/>
            <w:tcBorders>
              <w:top w:val="nil"/>
              <w:left w:val="nil"/>
              <w:bottom w:val="nil"/>
              <w:right w:val="nil"/>
            </w:tcBorders>
            <w:tcMar>
              <w:left w:w="113" w:type="dxa"/>
            </w:tcMar>
          </w:tcPr>
          <w:p w:rsidRPr="00A244E0" w:rsidR="00A244E0" w:rsidP="00453CD1" w:rsidRDefault="00A244E0" w14:paraId="4B246B95" w14:textId="11E308B1">
            <w:pPr>
              <w:pStyle w:val="tablebody"/>
              <w:jc w:val="right"/>
            </w:pPr>
            <w:r w:rsidRPr="00A244E0">
              <w:t>(519)</w:t>
            </w:r>
          </w:p>
        </w:tc>
        <w:tc>
          <w:tcPr>
            <w:tcW w:w="1134" w:type="dxa"/>
            <w:tcBorders>
              <w:top w:val="nil"/>
              <w:left w:val="nil"/>
              <w:bottom w:val="nil"/>
              <w:right w:val="nil"/>
            </w:tcBorders>
            <w:tcMar>
              <w:left w:w="0" w:type="dxa"/>
            </w:tcMar>
          </w:tcPr>
          <w:p w:rsidRPr="00A244E0" w:rsidR="00A244E0" w:rsidP="00453CD1" w:rsidRDefault="00A244E0" w14:paraId="4F400DB7" w14:textId="4DD1236D">
            <w:pPr>
              <w:pStyle w:val="tablebody"/>
              <w:jc w:val="right"/>
            </w:pPr>
            <w:r w:rsidRPr="00A244E0">
              <w:t>0</w:t>
            </w:r>
          </w:p>
        </w:tc>
        <w:tc>
          <w:tcPr>
            <w:tcW w:w="850" w:type="dxa"/>
            <w:tcBorders>
              <w:top w:val="nil"/>
              <w:left w:val="nil"/>
              <w:bottom w:val="nil"/>
              <w:right w:val="nil"/>
            </w:tcBorders>
            <w:tcMar>
              <w:left w:w="0" w:type="dxa"/>
            </w:tcMar>
          </w:tcPr>
          <w:p w:rsidRPr="00A244E0" w:rsidR="00A244E0" w:rsidP="00453CD1" w:rsidRDefault="00A244E0" w14:paraId="675B1678" w14:textId="6B48DE1E">
            <w:pPr>
              <w:pStyle w:val="tablebody"/>
              <w:jc w:val="right"/>
            </w:pPr>
            <w:r w:rsidRPr="00A244E0">
              <w:t>(519)</w:t>
            </w:r>
          </w:p>
        </w:tc>
      </w:tr>
      <w:tr w:rsidRPr="00A244E0" w:rsidR="00A244E0" w:rsidTr="00453CD1" w14:paraId="4B14173D" w14:textId="77777777">
        <w:tc>
          <w:tcPr>
            <w:tcW w:w="1984" w:type="dxa"/>
            <w:tcBorders>
              <w:top w:val="nil"/>
              <w:left w:val="nil"/>
              <w:bottom w:val="single" w:color="000000" w:sz="6" w:space="0"/>
              <w:right w:val="nil"/>
            </w:tcBorders>
            <w:tcMar>
              <w:left w:w="0" w:type="dxa"/>
            </w:tcMar>
          </w:tcPr>
          <w:p w:rsidRPr="00A244E0" w:rsidR="00A244E0" w:rsidP="00A244E0" w:rsidRDefault="00A244E0" w14:paraId="5DF25E78" w14:textId="77777777">
            <w:pPr>
              <w:pStyle w:val="tablebody"/>
            </w:pPr>
            <w:r w:rsidRPr="00A244E0">
              <w:t>Net transfers contributed capital</w:t>
            </w:r>
          </w:p>
        </w:tc>
        <w:tc>
          <w:tcPr>
            <w:tcW w:w="710" w:type="dxa"/>
            <w:tcBorders>
              <w:top w:val="nil"/>
              <w:left w:val="nil"/>
              <w:bottom w:val="single" w:color="000000" w:sz="6" w:space="0"/>
              <w:right w:val="nil"/>
            </w:tcBorders>
            <w:tcMar>
              <w:left w:w="0" w:type="dxa"/>
            </w:tcMar>
          </w:tcPr>
          <w:p w:rsidRPr="00A244E0" w:rsidR="00A244E0" w:rsidP="00453CD1" w:rsidRDefault="00A244E0" w14:paraId="361F16DC" w14:textId="657E16B6">
            <w:pPr>
              <w:pStyle w:val="tablebody"/>
              <w:jc w:val="right"/>
            </w:pPr>
            <w:r w:rsidRPr="00A244E0">
              <w:t>(168)</w:t>
            </w:r>
          </w:p>
        </w:tc>
        <w:tc>
          <w:tcPr>
            <w:tcW w:w="850" w:type="dxa"/>
            <w:tcBorders>
              <w:top w:val="nil"/>
              <w:left w:val="nil"/>
              <w:bottom w:val="single" w:color="000000" w:sz="6" w:space="0"/>
              <w:right w:val="nil"/>
            </w:tcBorders>
            <w:tcMar>
              <w:left w:w="0" w:type="dxa"/>
            </w:tcMar>
          </w:tcPr>
          <w:p w:rsidRPr="00A244E0" w:rsidR="00A244E0" w:rsidP="00453CD1" w:rsidRDefault="00A244E0" w14:paraId="61BCB3A9" w14:textId="313A4106">
            <w:pPr>
              <w:pStyle w:val="tablebody"/>
              <w:jc w:val="right"/>
            </w:pPr>
            <w:r w:rsidRPr="00A244E0">
              <w:t>(2,412)</w:t>
            </w:r>
          </w:p>
        </w:tc>
        <w:tc>
          <w:tcPr>
            <w:tcW w:w="992" w:type="dxa"/>
            <w:tcBorders>
              <w:top w:val="nil"/>
              <w:left w:val="nil"/>
              <w:bottom w:val="single" w:color="000000" w:sz="6" w:space="0"/>
              <w:right w:val="nil"/>
            </w:tcBorders>
            <w:tcMar>
              <w:left w:w="0" w:type="dxa"/>
            </w:tcMar>
          </w:tcPr>
          <w:p w:rsidRPr="00A244E0" w:rsidR="00A244E0" w:rsidP="00453CD1" w:rsidRDefault="00A244E0" w14:paraId="1F454E03" w14:textId="22DD5527">
            <w:pPr>
              <w:pStyle w:val="tablebody"/>
              <w:jc w:val="right"/>
            </w:pPr>
            <w:r w:rsidRPr="00A244E0">
              <w:t>0</w:t>
            </w:r>
          </w:p>
        </w:tc>
        <w:tc>
          <w:tcPr>
            <w:tcW w:w="1276" w:type="dxa"/>
            <w:tcBorders>
              <w:top w:val="nil"/>
              <w:left w:val="nil"/>
              <w:bottom w:val="single" w:color="000000" w:sz="6" w:space="0"/>
              <w:right w:val="nil"/>
            </w:tcBorders>
            <w:tcMar>
              <w:left w:w="0" w:type="dxa"/>
            </w:tcMar>
          </w:tcPr>
          <w:p w:rsidRPr="00A244E0" w:rsidR="00A244E0" w:rsidP="00453CD1" w:rsidRDefault="00A244E0" w14:paraId="40CE86FB" w14:textId="20188812">
            <w:pPr>
              <w:pStyle w:val="tablebody"/>
              <w:jc w:val="right"/>
            </w:pPr>
            <w:r w:rsidRPr="00A244E0">
              <w:t>(62)</w:t>
            </w:r>
          </w:p>
        </w:tc>
        <w:tc>
          <w:tcPr>
            <w:tcW w:w="1134" w:type="dxa"/>
            <w:tcBorders>
              <w:top w:val="nil"/>
              <w:left w:val="nil"/>
              <w:bottom w:val="single" w:color="000000" w:sz="6" w:space="0"/>
              <w:right w:val="nil"/>
            </w:tcBorders>
            <w:tcMar>
              <w:left w:w="113" w:type="dxa"/>
            </w:tcMar>
          </w:tcPr>
          <w:p w:rsidRPr="00A244E0" w:rsidR="00A244E0" w:rsidP="00453CD1" w:rsidRDefault="00A244E0" w14:paraId="4E1D265F" w14:textId="6828D847">
            <w:pPr>
              <w:pStyle w:val="tablebody"/>
              <w:jc w:val="right"/>
            </w:pPr>
            <w:r w:rsidRPr="00A244E0">
              <w:t>(444)</w:t>
            </w:r>
          </w:p>
        </w:tc>
        <w:tc>
          <w:tcPr>
            <w:tcW w:w="1276" w:type="dxa"/>
            <w:tcBorders>
              <w:top w:val="nil"/>
              <w:left w:val="nil"/>
              <w:bottom w:val="single" w:color="000000" w:sz="6" w:space="0"/>
              <w:right w:val="nil"/>
            </w:tcBorders>
            <w:tcMar>
              <w:left w:w="113" w:type="dxa"/>
            </w:tcMar>
          </w:tcPr>
          <w:p w:rsidRPr="00A244E0" w:rsidR="00A244E0" w:rsidP="00453CD1" w:rsidRDefault="00A244E0" w14:paraId="4F55E686" w14:textId="01FE0F69">
            <w:pPr>
              <w:pStyle w:val="tablebody"/>
              <w:jc w:val="right"/>
            </w:pPr>
            <w:r w:rsidRPr="00A244E0">
              <w:t>0</w:t>
            </w:r>
          </w:p>
        </w:tc>
        <w:tc>
          <w:tcPr>
            <w:tcW w:w="1134" w:type="dxa"/>
            <w:tcBorders>
              <w:top w:val="nil"/>
              <w:left w:val="nil"/>
              <w:bottom w:val="single" w:color="000000" w:sz="6" w:space="0"/>
              <w:right w:val="nil"/>
            </w:tcBorders>
            <w:tcMar>
              <w:left w:w="0" w:type="dxa"/>
            </w:tcMar>
          </w:tcPr>
          <w:p w:rsidRPr="00A244E0" w:rsidR="00A244E0" w:rsidP="00453CD1" w:rsidRDefault="00A244E0" w14:paraId="2D797E9E" w14:textId="0AA1ED0A">
            <w:pPr>
              <w:pStyle w:val="tablebody"/>
              <w:jc w:val="right"/>
            </w:pPr>
            <w:r w:rsidRPr="00A244E0">
              <w:t>0</w:t>
            </w:r>
          </w:p>
        </w:tc>
        <w:tc>
          <w:tcPr>
            <w:tcW w:w="850" w:type="dxa"/>
            <w:tcBorders>
              <w:top w:val="nil"/>
              <w:left w:val="nil"/>
              <w:bottom w:val="single" w:color="000000" w:sz="6" w:space="0"/>
              <w:right w:val="nil"/>
            </w:tcBorders>
            <w:tcMar>
              <w:left w:w="0" w:type="dxa"/>
            </w:tcMar>
          </w:tcPr>
          <w:p w:rsidRPr="00A244E0" w:rsidR="00A244E0" w:rsidP="00453CD1" w:rsidRDefault="00A244E0" w14:paraId="28FB485E" w14:textId="010F4D77">
            <w:pPr>
              <w:pStyle w:val="tablebody"/>
              <w:jc w:val="right"/>
            </w:pPr>
            <w:r w:rsidRPr="00A244E0">
              <w:t>(3,086)</w:t>
            </w:r>
          </w:p>
        </w:tc>
      </w:tr>
      <w:tr w:rsidRPr="00453CD1" w:rsidR="00A244E0" w:rsidTr="00453CD1" w14:paraId="489E5D85" w14:textId="77777777">
        <w:tc>
          <w:tcPr>
            <w:tcW w:w="1984" w:type="dxa"/>
            <w:tcBorders>
              <w:top w:val="single" w:color="000000" w:sz="6" w:space="0"/>
              <w:left w:val="nil"/>
              <w:bottom w:val="single" w:color="000000" w:sz="6" w:space="0"/>
              <w:right w:val="nil"/>
            </w:tcBorders>
            <w:tcMar>
              <w:left w:w="0" w:type="dxa"/>
            </w:tcMar>
          </w:tcPr>
          <w:p w:rsidRPr="00453CD1" w:rsidR="00A244E0" w:rsidP="00A244E0" w:rsidRDefault="00A244E0" w14:paraId="5CCC57E0" w14:textId="77777777">
            <w:pPr>
              <w:pStyle w:val="tablebody"/>
              <w:rPr>
                <w:b/>
              </w:rPr>
            </w:pPr>
            <w:r w:rsidRPr="00453CD1">
              <w:rPr>
                <w:b/>
              </w:rPr>
              <w:t>Closing balance</w:t>
            </w:r>
          </w:p>
        </w:tc>
        <w:tc>
          <w:tcPr>
            <w:tcW w:w="710" w:type="dxa"/>
            <w:tcBorders>
              <w:top w:val="single" w:color="000000" w:sz="6" w:space="0"/>
              <w:left w:val="nil"/>
              <w:bottom w:val="single" w:color="000000" w:sz="6" w:space="0"/>
              <w:right w:val="nil"/>
            </w:tcBorders>
            <w:tcMar>
              <w:left w:w="0" w:type="dxa"/>
            </w:tcMar>
          </w:tcPr>
          <w:p w:rsidRPr="00453CD1" w:rsidR="00A244E0" w:rsidP="00453CD1" w:rsidRDefault="00A244E0" w14:paraId="2654089D" w14:textId="431B7482">
            <w:pPr>
              <w:pStyle w:val="tablebody"/>
              <w:jc w:val="right"/>
              <w:rPr>
                <w:b/>
              </w:rPr>
            </w:pPr>
            <w:r w:rsidRPr="00453CD1">
              <w:rPr>
                <w:b/>
              </w:rPr>
              <w:t>287,093</w:t>
            </w:r>
          </w:p>
        </w:tc>
        <w:tc>
          <w:tcPr>
            <w:tcW w:w="850" w:type="dxa"/>
            <w:tcBorders>
              <w:top w:val="single" w:color="000000" w:sz="6" w:space="0"/>
              <w:left w:val="nil"/>
              <w:bottom w:val="single" w:color="000000" w:sz="6" w:space="0"/>
              <w:right w:val="nil"/>
            </w:tcBorders>
            <w:tcMar>
              <w:left w:w="0" w:type="dxa"/>
            </w:tcMar>
          </w:tcPr>
          <w:p w:rsidRPr="00453CD1" w:rsidR="00A244E0" w:rsidP="00453CD1" w:rsidRDefault="00A244E0" w14:paraId="00DB3985" w14:textId="0F518935">
            <w:pPr>
              <w:pStyle w:val="tablebody"/>
              <w:jc w:val="right"/>
              <w:rPr>
                <w:b/>
              </w:rPr>
            </w:pPr>
            <w:r w:rsidRPr="00453CD1">
              <w:rPr>
                <w:b/>
              </w:rPr>
              <w:t>1,363,309</w:t>
            </w:r>
          </w:p>
        </w:tc>
        <w:tc>
          <w:tcPr>
            <w:tcW w:w="992" w:type="dxa"/>
            <w:tcBorders>
              <w:top w:val="single" w:color="000000" w:sz="6" w:space="0"/>
              <w:left w:val="nil"/>
              <w:bottom w:val="single" w:color="000000" w:sz="6" w:space="0"/>
              <w:right w:val="nil"/>
            </w:tcBorders>
            <w:tcMar>
              <w:left w:w="0" w:type="dxa"/>
            </w:tcMar>
          </w:tcPr>
          <w:p w:rsidRPr="00453CD1" w:rsidR="00A244E0" w:rsidP="00453CD1" w:rsidRDefault="00A244E0" w14:paraId="753A458E" w14:textId="46097678">
            <w:pPr>
              <w:pStyle w:val="tablebody"/>
              <w:jc w:val="right"/>
              <w:rPr>
                <w:b/>
              </w:rPr>
            </w:pPr>
            <w:r w:rsidRPr="00453CD1">
              <w:rPr>
                <w:b/>
              </w:rPr>
              <w:t>1,086,999</w:t>
            </w:r>
          </w:p>
        </w:tc>
        <w:tc>
          <w:tcPr>
            <w:tcW w:w="1276" w:type="dxa"/>
            <w:tcBorders>
              <w:top w:val="single" w:color="000000" w:sz="6" w:space="0"/>
              <w:left w:val="nil"/>
              <w:bottom w:val="single" w:color="000000" w:sz="6" w:space="0"/>
              <w:right w:val="nil"/>
            </w:tcBorders>
            <w:tcMar>
              <w:left w:w="0" w:type="dxa"/>
            </w:tcMar>
          </w:tcPr>
          <w:p w:rsidRPr="00453CD1" w:rsidR="00A244E0" w:rsidP="00453CD1" w:rsidRDefault="00A244E0" w14:paraId="578B592A" w14:textId="7412A69E">
            <w:pPr>
              <w:pStyle w:val="tablebody"/>
              <w:jc w:val="right"/>
              <w:rPr>
                <w:b/>
              </w:rPr>
            </w:pPr>
            <w:r w:rsidRPr="00453CD1">
              <w:rPr>
                <w:b/>
              </w:rPr>
              <w:t>53,172</w:t>
            </w:r>
          </w:p>
        </w:tc>
        <w:tc>
          <w:tcPr>
            <w:tcW w:w="1134" w:type="dxa"/>
            <w:tcBorders>
              <w:top w:val="single" w:color="000000" w:sz="6" w:space="0"/>
              <w:left w:val="nil"/>
              <w:bottom w:val="single" w:color="000000" w:sz="6" w:space="0"/>
              <w:right w:val="nil"/>
            </w:tcBorders>
            <w:tcMar>
              <w:left w:w="113" w:type="dxa"/>
            </w:tcMar>
          </w:tcPr>
          <w:p w:rsidRPr="00453CD1" w:rsidR="00A244E0" w:rsidP="00453CD1" w:rsidRDefault="00A244E0" w14:paraId="17E879F3" w14:textId="0A8EF11D">
            <w:pPr>
              <w:pStyle w:val="tablebody"/>
              <w:jc w:val="right"/>
              <w:rPr>
                <w:b/>
              </w:rPr>
            </w:pPr>
            <w:r w:rsidRPr="00453CD1">
              <w:rPr>
                <w:b/>
              </w:rPr>
              <w:t>114,732</w:t>
            </w:r>
          </w:p>
        </w:tc>
        <w:tc>
          <w:tcPr>
            <w:tcW w:w="1276" w:type="dxa"/>
            <w:tcBorders>
              <w:top w:val="single" w:color="000000" w:sz="6" w:space="0"/>
              <w:left w:val="nil"/>
              <w:bottom w:val="single" w:color="000000" w:sz="6" w:space="0"/>
              <w:right w:val="nil"/>
            </w:tcBorders>
            <w:tcMar>
              <w:left w:w="113" w:type="dxa"/>
            </w:tcMar>
          </w:tcPr>
          <w:p w:rsidRPr="00453CD1" w:rsidR="00A244E0" w:rsidP="00453CD1" w:rsidRDefault="00A244E0" w14:paraId="4C9B2303" w14:textId="28C4A6CD">
            <w:pPr>
              <w:pStyle w:val="tablebody"/>
              <w:jc w:val="right"/>
              <w:rPr>
                <w:b/>
              </w:rPr>
            </w:pPr>
            <w:r w:rsidRPr="00453CD1">
              <w:rPr>
                <w:b/>
              </w:rPr>
              <w:t>78,950</w:t>
            </w:r>
          </w:p>
        </w:tc>
        <w:tc>
          <w:tcPr>
            <w:tcW w:w="1134" w:type="dxa"/>
            <w:tcBorders>
              <w:top w:val="single" w:color="000000" w:sz="6" w:space="0"/>
              <w:left w:val="nil"/>
              <w:bottom w:val="single" w:color="000000" w:sz="6" w:space="0"/>
              <w:right w:val="nil"/>
            </w:tcBorders>
            <w:tcMar>
              <w:left w:w="0" w:type="dxa"/>
            </w:tcMar>
          </w:tcPr>
          <w:p w:rsidRPr="00453CD1" w:rsidR="00A244E0" w:rsidP="00453CD1" w:rsidRDefault="00A244E0" w14:paraId="769B0BB8" w14:textId="1B3FC1F8">
            <w:pPr>
              <w:pStyle w:val="tablebody"/>
              <w:jc w:val="right"/>
              <w:rPr>
                <w:b/>
              </w:rPr>
            </w:pPr>
            <w:r w:rsidRPr="00453CD1">
              <w:rPr>
                <w:b/>
              </w:rPr>
              <w:t>562,297</w:t>
            </w:r>
          </w:p>
        </w:tc>
        <w:tc>
          <w:tcPr>
            <w:tcW w:w="850" w:type="dxa"/>
            <w:tcBorders>
              <w:top w:val="single" w:color="000000" w:sz="6" w:space="0"/>
              <w:left w:val="nil"/>
              <w:bottom w:val="single" w:color="000000" w:sz="6" w:space="0"/>
              <w:right w:val="nil"/>
            </w:tcBorders>
            <w:tcMar>
              <w:left w:w="0" w:type="dxa"/>
            </w:tcMar>
          </w:tcPr>
          <w:p w:rsidRPr="00453CD1" w:rsidR="00A244E0" w:rsidP="00453CD1" w:rsidRDefault="00A244E0" w14:paraId="351D85AF" w14:textId="7801031C">
            <w:pPr>
              <w:pStyle w:val="tablebody"/>
              <w:jc w:val="right"/>
              <w:rPr>
                <w:b/>
              </w:rPr>
            </w:pPr>
            <w:r w:rsidRPr="00453CD1">
              <w:rPr>
                <w:b/>
              </w:rPr>
              <w:t>3,546,552</w:t>
            </w:r>
          </w:p>
        </w:tc>
      </w:tr>
    </w:tbl>
    <w:p w:rsidRPr="00A244E0" w:rsidR="00A244E0" w:rsidP="00A244E0" w:rsidRDefault="00A244E0" w14:paraId="261B9829" w14:textId="77777777"/>
    <w:tbl>
      <w:tblPr>
        <w:tblW w:w="10206" w:type="dxa"/>
        <w:tblLayout w:type="fixed"/>
        <w:tblCellMar>
          <w:left w:w="0" w:type="dxa"/>
          <w:right w:w="0" w:type="dxa"/>
        </w:tblCellMar>
        <w:tblLook w:firstRow="1" w:lastRow="0" w:firstColumn="0" w:lastColumn="0" w:noHBand="0" w:noVBand="0" w:val="0020"/>
      </w:tblPr>
      <w:tblGrid>
        <w:gridCol w:w="1984"/>
        <w:gridCol w:w="710"/>
        <w:gridCol w:w="850"/>
        <w:gridCol w:w="992"/>
        <w:gridCol w:w="1276"/>
        <w:gridCol w:w="1134"/>
        <w:gridCol w:w="1276"/>
        <w:gridCol w:w="1134"/>
        <w:gridCol w:w="850"/>
      </w:tblGrid>
      <w:tr w:rsidRPr="00453CD1" w:rsidR="00A244E0" w:rsidTr="00453CD1" w14:paraId="4B940F48" w14:textId="77777777">
        <w:trPr>
          <w:tblHeader/>
        </w:trPr>
        <w:tc>
          <w:tcPr>
            <w:tcW w:w="1984" w:type="dxa"/>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0BA92F18" w14:textId="77777777">
            <w:pPr>
              <w:pStyle w:val="tablebody"/>
              <w:rPr>
                <w:b/>
                <w:lang w:val="en-US"/>
              </w:rPr>
            </w:pPr>
          </w:p>
        </w:tc>
        <w:tc>
          <w:tcPr>
            <w:tcW w:w="710" w:type="dxa"/>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74806928" w14:textId="77777777">
            <w:pPr>
              <w:pStyle w:val="tablebody"/>
              <w:jc w:val="right"/>
              <w:rPr>
                <w:b/>
                <w:lang w:val="en-US"/>
              </w:rPr>
            </w:pPr>
          </w:p>
        </w:tc>
        <w:tc>
          <w:tcPr>
            <w:tcW w:w="850" w:type="dxa"/>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7D4F21A2" w14:textId="77777777">
            <w:pPr>
              <w:pStyle w:val="tablebody"/>
              <w:jc w:val="right"/>
              <w:rPr>
                <w:b/>
                <w:lang w:val="en-US"/>
              </w:rPr>
            </w:pPr>
          </w:p>
        </w:tc>
        <w:tc>
          <w:tcPr>
            <w:tcW w:w="992" w:type="dxa"/>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5FCA38AA" w14:textId="77777777">
            <w:pPr>
              <w:pStyle w:val="tablebody"/>
              <w:jc w:val="right"/>
              <w:rPr>
                <w:b/>
                <w:lang w:val="en-US"/>
              </w:rPr>
            </w:pPr>
          </w:p>
        </w:tc>
        <w:tc>
          <w:tcPr>
            <w:tcW w:w="1276" w:type="dxa"/>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6BECB27D" w14:textId="77777777">
            <w:pPr>
              <w:pStyle w:val="tablebody"/>
              <w:jc w:val="right"/>
              <w:rPr>
                <w:b/>
                <w:lang w:val="en-US"/>
              </w:rPr>
            </w:pPr>
          </w:p>
        </w:tc>
        <w:tc>
          <w:tcPr>
            <w:tcW w:w="1134" w:type="dxa"/>
            <w:tcBorders>
              <w:top w:val="nil"/>
              <w:left w:val="nil"/>
              <w:bottom w:val="single" w:color="000000" w:sz="6" w:space="0"/>
              <w:right w:val="nil"/>
            </w:tcBorders>
            <w:tcMar>
              <w:top w:w="57" w:type="dxa"/>
              <w:left w:w="113" w:type="dxa"/>
              <w:bottom w:w="57" w:type="dxa"/>
              <w:right w:w="0" w:type="dxa"/>
            </w:tcMar>
          </w:tcPr>
          <w:p w:rsidRPr="00453CD1" w:rsidR="00A244E0" w:rsidP="00453CD1" w:rsidRDefault="00A244E0" w14:paraId="7288525A" w14:textId="77777777">
            <w:pPr>
              <w:pStyle w:val="tablebody"/>
              <w:jc w:val="right"/>
              <w:rPr>
                <w:b/>
                <w:lang w:val="en-US"/>
              </w:rPr>
            </w:pPr>
          </w:p>
        </w:tc>
        <w:tc>
          <w:tcPr>
            <w:tcW w:w="1276" w:type="dxa"/>
            <w:tcBorders>
              <w:top w:val="nil"/>
              <w:left w:val="nil"/>
              <w:bottom w:val="single" w:color="000000" w:sz="6" w:space="0"/>
              <w:right w:val="nil"/>
            </w:tcBorders>
            <w:tcMar>
              <w:top w:w="57" w:type="dxa"/>
              <w:left w:w="113" w:type="dxa"/>
              <w:bottom w:w="57" w:type="dxa"/>
              <w:right w:w="0" w:type="dxa"/>
            </w:tcMar>
          </w:tcPr>
          <w:p w:rsidRPr="00453CD1" w:rsidR="00A244E0" w:rsidP="00453CD1" w:rsidRDefault="00A244E0" w14:paraId="72CC4B17" w14:textId="77777777">
            <w:pPr>
              <w:pStyle w:val="tablebody"/>
              <w:jc w:val="right"/>
              <w:rPr>
                <w:b/>
                <w:lang w:val="en-US"/>
              </w:rPr>
            </w:pPr>
          </w:p>
        </w:tc>
        <w:tc>
          <w:tcPr>
            <w:tcW w:w="1984" w:type="dxa"/>
            <w:gridSpan w:val="2"/>
            <w:tcBorders>
              <w:top w:val="nil"/>
              <w:left w:val="nil"/>
              <w:bottom w:val="single" w:color="000000" w:sz="6" w:space="0"/>
              <w:right w:val="nil"/>
            </w:tcBorders>
            <w:tcMar>
              <w:top w:w="57" w:type="dxa"/>
              <w:left w:w="0" w:type="dxa"/>
              <w:bottom w:w="57" w:type="dxa"/>
              <w:right w:w="0" w:type="dxa"/>
            </w:tcMar>
          </w:tcPr>
          <w:p w:rsidRPr="00453CD1" w:rsidR="00A244E0" w:rsidP="00453CD1" w:rsidRDefault="00A244E0" w14:paraId="2269B010" w14:textId="77777777">
            <w:pPr>
              <w:pStyle w:val="tablebody"/>
              <w:jc w:val="right"/>
              <w:rPr>
                <w:b/>
              </w:rPr>
            </w:pPr>
            <w:r w:rsidRPr="00453CD1">
              <w:rPr>
                <w:b/>
              </w:rPr>
              <w:t>($ thousand)</w:t>
            </w:r>
          </w:p>
        </w:tc>
      </w:tr>
      <w:tr w:rsidRPr="00453CD1" w:rsidR="00A244E0" w:rsidTr="0034497D" w14:paraId="0B2828AF" w14:textId="77777777">
        <w:trPr>
          <w:tblHeader/>
        </w:trPr>
        <w:tc>
          <w:tcPr>
            <w:tcW w:w="198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0A1B2336" w14:textId="77777777">
            <w:pPr>
              <w:pStyle w:val="tablebody"/>
              <w:jc w:val="right"/>
              <w:rPr>
                <w:b/>
              </w:rPr>
            </w:pPr>
            <w:r w:rsidRPr="00453CD1">
              <w:rPr>
                <w:b/>
              </w:rPr>
              <w:t>2018</w:t>
            </w:r>
          </w:p>
        </w:tc>
        <w:tc>
          <w:tcPr>
            <w:tcW w:w="71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4E22913A" w14:textId="77777777">
            <w:pPr>
              <w:pStyle w:val="tablebody"/>
              <w:jc w:val="right"/>
              <w:rPr>
                <w:b/>
              </w:rPr>
            </w:pPr>
            <w:r w:rsidRPr="00453CD1">
              <w:rPr>
                <w:b/>
              </w:rPr>
              <w:t>Land at fair value</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1F2A4A45" w14:textId="77777777">
            <w:pPr>
              <w:pStyle w:val="tablebody"/>
              <w:jc w:val="right"/>
              <w:rPr>
                <w:b/>
              </w:rPr>
            </w:pPr>
            <w:r w:rsidRPr="00453CD1">
              <w:rPr>
                <w:b/>
              </w:rPr>
              <w:t>Buildings at fair value</w:t>
            </w:r>
          </w:p>
        </w:tc>
        <w:tc>
          <w:tcPr>
            <w:tcW w:w="992"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346FF7A2" w14:textId="77777777">
            <w:pPr>
              <w:pStyle w:val="tablebody"/>
              <w:jc w:val="right"/>
              <w:rPr>
                <w:b/>
              </w:rPr>
            </w:pPr>
            <w:r w:rsidRPr="00453CD1">
              <w:rPr>
                <w:b/>
              </w:rPr>
              <w:t>Leased buildings at fair value</w:t>
            </w:r>
          </w:p>
        </w:tc>
        <w:tc>
          <w:tcPr>
            <w:tcW w:w="1276"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467BCF07" w14:textId="77777777">
            <w:pPr>
              <w:pStyle w:val="tablebody"/>
              <w:jc w:val="right"/>
              <w:rPr>
                <w:b/>
              </w:rPr>
            </w:pPr>
            <w:r w:rsidRPr="00453CD1">
              <w:rPr>
                <w:b/>
              </w:rPr>
              <w:t>Leasehold improvements at fair value</w:t>
            </w:r>
          </w:p>
        </w:tc>
        <w:tc>
          <w:tcPr>
            <w:tcW w:w="1134" w:type="dxa"/>
            <w:tcBorders>
              <w:top w:val="single" w:color="000000" w:sz="6" w:space="0"/>
              <w:left w:val="nil"/>
              <w:bottom w:val="single" w:color="000000" w:sz="6" w:space="0"/>
              <w:right w:val="nil"/>
            </w:tcBorders>
            <w:tcMar>
              <w:top w:w="57" w:type="dxa"/>
              <w:left w:w="113" w:type="dxa"/>
              <w:bottom w:w="57" w:type="dxa"/>
              <w:right w:w="0" w:type="dxa"/>
            </w:tcMar>
            <w:vAlign w:val="bottom"/>
          </w:tcPr>
          <w:p w:rsidRPr="00453CD1" w:rsidR="00A244E0" w:rsidP="0034497D" w:rsidRDefault="00A244E0" w14:paraId="16C21CD5" w14:textId="77777777">
            <w:pPr>
              <w:pStyle w:val="tablebody"/>
              <w:jc w:val="right"/>
              <w:rPr>
                <w:b/>
              </w:rPr>
            </w:pPr>
            <w:r w:rsidRPr="00453CD1">
              <w:rPr>
                <w:b/>
              </w:rPr>
              <w:t>Plant &amp; equipment at fair value</w:t>
            </w:r>
          </w:p>
        </w:tc>
        <w:tc>
          <w:tcPr>
            <w:tcW w:w="1276" w:type="dxa"/>
            <w:tcBorders>
              <w:top w:val="single" w:color="000000" w:sz="6" w:space="0"/>
              <w:left w:val="nil"/>
              <w:bottom w:val="single" w:color="000000" w:sz="6" w:space="0"/>
              <w:right w:val="nil"/>
            </w:tcBorders>
            <w:tcMar>
              <w:top w:w="57" w:type="dxa"/>
              <w:left w:w="113" w:type="dxa"/>
              <w:bottom w:w="57" w:type="dxa"/>
              <w:right w:w="0" w:type="dxa"/>
            </w:tcMar>
            <w:vAlign w:val="bottom"/>
          </w:tcPr>
          <w:p w:rsidRPr="00453CD1" w:rsidR="00A244E0" w:rsidP="0034497D" w:rsidRDefault="00A244E0" w14:paraId="2FD8D053" w14:textId="77777777">
            <w:pPr>
              <w:pStyle w:val="tablebody"/>
              <w:jc w:val="right"/>
              <w:rPr>
                <w:b/>
              </w:rPr>
            </w:pPr>
            <w:r w:rsidRPr="00453CD1">
              <w:rPr>
                <w:b/>
              </w:rPr>
              <w:t>Leased plant &amp; equipment at fair value</w:t>
            </w:r>
          </w:p>
        </w:tc>
        <w:tc>
          <w:tcPr>
            <w:tcW w:w="1134"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2BBCDBCB" w14:textId="77777777">
            <w:pPr>
              <w:pStyle w:val="tablebody"/>
              <w:jc w:val="right"/>
              <w:rPr>
                <w:b/>
              </w:rPr>
            </w:pPr>
            <w:r w:rsidRPr="00453CD1">
              <w:rPr>
                <w:b/>
              </w:rPr>
              <w:t>Assets under construction at cost</w:t>
            </w:r>
          </w:p>
        </w:tc>
        <w:tc>
          <w:tcPr>
            <w:tcW w:w="850"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453CD1" w:rsidR="00A244E0" w:rsidP="0034497D" w:rsidRDefault="00A244E0" w14:paraId="0748B3D8" w14:textId="77777777">
            <w:pPr>
              <w:pStyle w:val="tablebody"/>
              <w:jc w:val="right"/>
              <w:rPr>
                <w:b/>
              </w:rPr>
            </w:pPr>
            <w:r w:rsidRPr="00453CD1">
              <w:rPr>
                <w:b/>
              </w:rPr>
              <w:t>Total</w:t>
            </w:r>
          </w:p>
        </w:tc>
      </w:tr>
      <w:tr w:rsidRPr="00453CD1" w:rsidR="00A244E0" w:rsidTr="00453CD1" w14:paraId="29010CE6" w14:textId="77777777">
        <w:tc>
          <w:tcPr>
            <w:tcW w:w="1984"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1EAD726E" w14:textId="77777777">
            <w:pPr>
              <w:pStyle w:val="tablebody"/>
              <w:rPr>
                <w:b/>
              </w:rPr>
            </w:pPr>
            <w:r w:rsidRPr="00453CD1">
              <w:rPr>
                <w:b/>
              </w:rPr>
              <w:t>Opening balance</w:t>
            </w:r>
          </w:p>
        </w:tc>
        <w:tc>
          <w:tcPr>
            <w:tcW w:w="710"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7F0BA9EB" w14:textId="77777777">
            <w:pPr>
              <w:pStyle w:val="tablebody"/>
              <w:jc w:val="right"/>
              <w:rPr>
                <w:b/>
              </w:rPr>
            </w:pPr>
            <w:r w:rsidRPr="00453CD1">
              <w:rPr>
                <w:b/>
              </w:rPr>
              <w:t xml:space="preserve">280,463 </w:t>
            </w:r>
          </w:p>
        </w:tc>
        <w:tc>
          <w:tcPr>
            <w:tcW w:w="850"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7D8292E7" w14:textId="77777777">
            <w:pPr>
              <w:pStyle w:val="tablebody"/>
              <w:jc w:val="right"/>
              <w:rPr>
                <w:b/>
              </w:rPr>
            </w:pPr>
            <w:r w:rsidRPr="00453CD1">
              <w:rPr>
                <w:b/>
              </w:rPr>
              <w:t xml:space="preserve">1,337,017 </w:t>
            </w:r>
          </w:p>
        </w:tc>
        <w:tc>
          <w:tcPr>
            <w:tcW w:w="992"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154AB5E9" w14:textId="77777777">
            <w:pPr>
              <w:pStyle w:val="tablebody"/>
              <w:jc w:val="right"/>
              <w:rPr>
                <w:b/>
              </w:rPr>
            </w:pPr>
            <w:r w:rsidRPr="00453CD1">
              <w:rPr>
                <w:b/>
              </w:rPr>
              <w:t xml:space="preserve">401,273 </w:t>
            </w:r>
          </w:p>
        </w:tc>
        <w:tc>
          <w:tcPr>
            <w:tcW w:w="1276"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6E316736" w14:textId="77777777">
            <w:pPr>
              <w:pStyle w:val="tablebody"/>
              <w:jc w:val="right"/>
              <w:rPr>
                <w:b/>
              </w:rPr>
            </w:pPr>
            <w:r w:rsidRPr="00453CD1">
              <w:rPr>
                <w:b/>
              </w:rPr>
              <w:t xml:space="preserve">33,000 </w:t>
            </w:r>
          </w:p>
        </w:tc>
        <w:tc>
          <w:tcPr>
            <w:tcW w:w="1134" w:type="dxa"/>
            <w:tcBorders>
              <w:top w:val="single" w:color="000000" w:sz="6" w:space="0"/>
              <w:left w:val="nil"/>
              <w:bottom w:val="nil"/>
              <w:right w:val="nil"/>
            </w:tcBorders>
            <w:tcMar>
              <w:top w:w="57" w:type="dxa"/>
              <w:left w:w="113" w:type="dxa"/>
              <w:bottom w:w="57" w:type="dxa"/>
              <w:right w:w="0" w:type="dxa"/>
            </w:tcMar>
          </w:tcPr>
          <w:p w:rsidRPr="00453CD1" w:rsidR="00A244E0" w:rsidP="00453CD1" w:rsidRDefault="00A244E0" w14:paraId="78516BF7" w14:textId="77777777">
            <w:pPr>
              <w:pStyle w:val="tablebody"/>
              <w:jc w:val="right"/>
              <w:rPr>
                <w:b/>
              </w:rPr>
            </w:pPr>
            <w:r w:rsidRPr="00453CD1">
              <w:rPr>
                <w:b/>
              </w:rPr>
              <w:t xml:space="preserve">125,492 </w:t>
            </w:r>
          </w:p>
        </w:tc>
        <w:tc>
          <w:tcPr>
            <w:tcW w:w="1276" w:type="dxa"/>
            <w:tcBorders>
              <w:top w:val="single" w:color="000000" w:sz="6" w:space="0"/>
              <w:left w:val="nil"/>
              <w:bottom w:val="nil"/>
              <w:right w:val="nil"/>
            </w:tcBorders>
            <w:tcMar>
              <w:top w:w="57" w:type="dxa"/>
              <w:left w:w="113" w:type="dxa"/>
              <w:bottom w:w="57" w:type="dxa"/>
              <w:right w:w="0" w:type="dxa"/>
            </w:tcMar>
          </w:tcPr>
          <w:p w:rsidRPr="00453CD1" w:rsidR="00A244E0" w:rsidP="00453CD1" w:rsidRDefault="00A244E0" w14:paraId="66A7CB8E" w14:textId="77777777">
            <w:pPr>
              <w:pStyle w:val="tablebody"/>
              <w:jc w:val="right"/>
              <w:rPr>
                <w:b/>
              </w:rPr>
            </w:pPr>
            <w:r w:rsidRPr="00453CD1">
              <w:rPr>
                <w:b/>
              </w:rPr>
              <w:t xml:space="preserve">14,921 </w:t>
            </w:r>
          </w:p>
        </w:tc>
        <w:tc>
          <w:tcPr>
            <w:tcW w:w="1134"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4E38E4EC" w14:textId="77777777">
            <w:pPr>
              <w:pStyle w:val="tablebody"/>
              <w:jc w:val="right"/>
              <w:rPr>
                <w:b/>
              </w:rPr>
            </w:pPr>
            <w:r w:rsidRPr="00453CD1">
              <w:rPr>
                <w:b/>
              </w:rPr>
              <w:t xml:space="preserve">272,091 </w:t>
            </w:r>
          </w:p>
        </w:tc>
        <w:tc>
          <w:tcPr>
            <w:tcW w:w="850" w:type="dxa"/>
            <w:tcBorders>
              <w:top w:val="single" w:color="000000" w:sz="6" w:space="0"/>
              <w:left w:val="nil"/>
              <w:bottom w:val="nil"/>
              <w:right w:val="nil"/>
            </w:tcBorders>
            <w:tcMar>
              <w:top w:w="57" w:type="dxa"/>
              <w:left w:w="0" w:type="dxa"/>
              <w:bottom w:w="57" w:type="dxa"/>
              <w:right w:w="0" w:type="dxa"/>
            </w:tcMar>
          </w:tcPr>
          <w:p w:rsidRPr="00453CD1" w:rsidR="00A244E0" w:rsidP="00453CD1" w:rsidRDefault="00A244E0" w14:paraId="77B2FF82" w14:textId="77777777">
            <w:pPr>
              <w:pStyle w:val="tablebody"/>
              <w:jc w:val="right"/>
              <w:rPr>
                <w:b/>
              </w:rPr>
            </w:pPr>
            <w:r w:rsidRPr="00453CD1">
              <w:rPr>
                <w:b/>
              </w:rPr>
              <w:t xml:space="preserve">2,464,257 </w:t>
            </w:r>
          </w:p>
        </w:tc>
      </w:tr>
      <w:tr w:rsidRPr="00A244E0" w:rsidR="00A244E0" w:rsidTr="00453CD1" w14:paraId="4037A0FE"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285891F9" w14:textId="77777777">
            <w:pPr>
              <w:pStyle w:val="tablebody"/>
            </w:pPr>
            <w:r w:rsidRPr="00A244E0">
              <w:t>Additions</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68E4BCB2" w14:textId="77777777">
            <w:pPr>
              <w:pStyle w:val="tablebody"/>
              <w:jc w:val="right"/>
            </w:pPr>
            <w:r w:rsidRPr="00A244E0">
              <w:t xml:space="preserve">1,413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2A27DE32" w14:textId="77777777">
            <w:pPr>
              <w:pStyle w:val="tablebody"/>
              <w:jc w:val="right"/>
            </w:pPr>
            <w:r w:rsidRPr="00A244E0">
              <w:t xml:space="preserve">4,093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5683DC5C" w14:textId="77777777">
            <w:pPr>
              <w:pStyle w:val="tablebody"/>
              <w:jc w:val="right"/>
            </w:pPr>
            <w:r w:rsidRPr="00A244E0">
              <w:t xml:space="preserve">709,942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1BA9981B" w14:textId="77777777">
            <w:pPr>
              <w:pStyle w:val="tablebody"/>
              <w:jc w:val="right"/>
            </w:pPr>
            <w:r w:rsidRPr="00A244E0">
              <w:t xml:space="preserve">180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543CFFC0" w14:textId="77777777">
            <w:pPr>
              <w:pStyle w:val="tablebody"/>
              <w:jc w:val="right"/>
            </w:pPr>
            <w:r w:rsidRPr="00A244E0">
              <w:t xml:space="preserve">13,542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432C4E94" w14:textId="77777777">
            <w:pPr>
              <w:pStyle w:val="tablebody"/>
              <w:jc w:val="right"/>
            </w:pPr>
            <w:r w:rsidRPr="00A244E0">
              <w:t xml:space="preserve">76,979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15CF57D7" w14:textId="77777777">
            <w:pPr>
              <w:pStyle w:val="tablebody"/>
              <w:jc w:val="right"/>
            </w:pPr>
            <w:r w:rsidRPr="00A244E0">
              <w:t xml:space="preserve">213,843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4E697EF0" w14:textId="77777777">
            <w:pPr>
              <w:pStyle w:val="tablebody"/>
              <w:jc w:val="right"/>
            </w:pPr>
            <w:r w:rsidRPr="00A244E0">
              <w:t xml:space="preserve">1,019,992 </w:t>
            </w:r>
          </w:p>
        </w:tc>
      </w:tr>
      <w:tr w:rsidRPr="00A244E0" w:rsidR="00A244E0" w:rsidTr="00453CD1" w14:paraId="02A11F87"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31280804" w14:textId="77777777">
            <w:pPr>
              <w:pStyle w:val="tablebody"/>
            </w:pPr>
            <w:r w:rsidRPr="00A244E0">
              <w:t>Disposals</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67C84FD3"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0AAB51B5" w14:textId="77777777">
            <w:pPr>
              <w:pStyle w:val="tablebody"/>
              <w:jc w:val="right"/>
            </w:pPr>
            <w:r w:rsidRPr="00A244E0">
              <w:t xml:space="preserve">0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696A507D"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2E9EAD0B"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18614C7A" w14:textId="77777777">
            <w:pPr>
              <w:pStyle w:val="tablebody"/>
              <w:jc w:val="right"/>
            </w:pPr>
            <w:r w:rsidRPr="00A244E0">
              <w:t xml:space="preserve">(9)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67BF90C0" w14:textId="77777777">
            <w:pPr>
              <w:pStyle w:val="tablebody"/>
              <w:jc w:val="right"/>
            </w:pPr>
            <w:r w:rsidRPr="00A244E0">
              <w:t xml:space="preserve">(2,306)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3B210AF0"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7DAD7652" w14:textId="77777777">
            <w:pPr>
              <w:pStyle w:val="tablebody"/>
              <w:jc w:val="right"/>
            </w:pPr>
            <w:r w:rsidRPr="00A244E0">
              <w:t xml:space="preserve">(2,315) </w:t>
            </w:r>
          </w:p>
        </w:tc>
      </w:tr>
      <w:tr w:rsidRPr="00A244E0" w:rsidR="00A244E0" w:rsidTr="00453CD1" w14:paraId="19965F60"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7A433BB5" w14:textId="77777777">
            <w:pPr>
              <w:pStyle w:val="tablebody"/>
            </w:pPr>
            <w:r w:rsidRPr="00A244E0">
              <w:t>Transfers out of assets under construction</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00567B68"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10C8F783" w14:textId="77777777">
            <w:pPr>
              <w:pStyle w:val="tablebody"/>
              <w:jc w:val="right"/>
            </w:pPr>
            <w:r w:rsidRPr="00A244E0">
              <w:t xml:space="preserve">58,737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08CC0EF2" w14:textId="77777777">
            <w:pPr>
              <w:pStyle w:val="tablebody"/>
              <w:jc w:val="right"/>
            </w:pPr>
            <w:r w:rsidRPr="00A244E0">
              <w:t xml:space="preserve">34,526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17661E28"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439FB210"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607EF16C"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0100B7F2" w14:textId="77777777">
            <w:pPr>
              <w:pStyle w:val="tablebody"/>
              <w:jc w:val="right"/>
            </w:pPr>
            <w:r w:rsidRPr="00A244E0">
              <w:t xml:space="preserve">(93,263)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139D6E1F" w14:textId="77777777">
            <w:pPr>
              <w:pStyle w:val="tablebody"/>
              <w:jc w:val="right"/>
            </w:pPr>
            <w:r w:rsidRPr="00A244E0">
              <w:t xml:space="preserve">0 </w:t>
            </w:r>
          </w:p>
        </w:tc>
      </w:tr>
      <w:tr w:rsidRPr="00A244E0" w:rsidR="00A244E0" w:rsidTr="00453CD1" w14:paraId="7DB9D59C"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38D5A920" w14:textId="77777777">
            <w:pPr>
              <w:pStyle w:val="tablebody"/>
            </w:pPr>
            <w:r w:rsidRPr="00A244E0">
              <w:t>Reclassification between classes</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77C5F824"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00CD7890" w14:textId="77777777">
            <w:pPr>
              <w:pStyle w:val="tablebody"/>
              <w:jc w:val="right"/>
            </w:pPr>
            <w:r w:rsidRPr="00A244E0">
              <w:t xml:space="preserve">129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6596ECF9" w14:textId="77777777">
            <w:pPr>
              <w:pStyle w:val="tablebody"/>
              <w:jc w:val="right"/>
            </w:pPr>
            <w:r w:rsidRPr="00A244E0">
              <w:t xml:space="preserve">(129)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6A0E034B"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36A13CB2"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62A25A72"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0974A2D5"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5A976991" w14:textId="77777777">
            <w:pPr>
              <w:pStyle w:val="tablebody"/>
              <w:jc w:val="right"/>
            </w:pPr>
            <w:r w:rsidRPr="00A244E0">
              <w:t xml:space="preserve">0 </w:t>
            </w:r>
          </w:p>
        </w:tc>
      </w:tr>
      <w:tr w:rsidRPr="00A244E0" w:rsidR="00A244E0" w:rsidTr="00453CD1" w14:paraId="4D1EA3D1"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5D44BE20" w14:textId="77777777">
            <w:pPr>
              <w:pStyle w:val="tablebody"/>
            </w:pPr>
            <w:r w:rsidRPr="00A244E0">
              <w:t>Reclassification to / from intangible assets</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313EC697"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50555716" w14:textId="77777777">
            <w:pPr>
              <w:pStyle w:val="tablebody"/>
              <w:jc w:val="right"/>
            </w:pPr>
            <w:r w:rsidRPr="00A244E0">
              <w:t xml:space="preserve">0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74FAC4B9"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5359F653"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3D4BB794" w14:textId="77777777">
            <w:pPr>
              <w:pStyle w:val="tablebody"/>
              <w:jc w:val="right"/>
            </w:pPr>
            <w:r w:rsidRPr="00A244E0">
              <w:t xml:space="preserve">560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1CCE720C"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36FA0290"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30411DBD" w14:textId="77777777">
            <w:pPr>
              <w:pStyle w:val="tablebody"/>
              <w:jc w:val="right"/>
            </w:pPr>
            <w:r w:rsidRPr="00A244E0">
              <w:t xml:space="preserve">560 </w:t>
            </w:r>
          </w:p>
        </w:tc>
      </w:tr>
      <w:tr w:rsidRPr="00A244E0" w:rsidR="00A244E0" w:rsidTr="00453CD1" w14:paraId="36C0E8FB"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2B7F5FB2" w14:textId="77777777">
            <w:pPr>
              <w:pStyle w:val="tablebody"/>
            </w:pPr>
            <w:r w:rsidRPr="00A244E0">
              <w:t>Revaluation</w:t>
            </w:r>
            <w:r w:rsidRPr="00A244E0">
              <w:rPr>
                <w:vertAlign w:val="superscript"/>
              </w:rPr>
              <w:t xml:space="preserve"> (i)</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5086F02D"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63B8D73F" w14:textId="77777777">
            <w:pPr>
              <w:pStyle w:val="tablebody"/>
              <w:jc w:val="right"/>
            </w:pPr>
            <w:r w:rsidRPr="00A244E0">
              <w:t xml:space="preserve">(45,836)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4526711D"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6ECE4E95"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7BA99D4A"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35042721"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7B5DF194"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5E09BDBD" w14:textId="77777777">
            <w:pPr>
              <w:pStyle w:val="tablebody"/>
              <w:jc w:val="right"/>
            </w:pPr>
            <w:r w:rsidRPr="00A244E0">
              <w:t xml:space="preserve">(45,836) </w:t>
            </w:r>
          </w:p>
        </w:tc>
      </w:tr>
      <w:tr w:rsidRPr="00A244E0" w:rsidR="00A244E0" w:rsidTr="00453CD1" w14:paraId="7089C1EE"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21B6BF8D" w14:textId="77777777">
            <w:pPr>
              <w:pStyle w:val="tablebody"/>
            </w:pPr>
            <w:r w:rsidRPr="00A244E0">
              <w:t>Impairment</w:t>
            </w:r>
            <w:r w:rsidRPr="00A244E0">
              <w:rPr>
                <w:vertAlign w:val="superscript"/>
              </w:rPr>
              <w:t xml:space="preserve"> (i)</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7ADF39F1"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60BEDBD1" w14:textId="77777777">
            <w:pPr>
              <w:pStyle w:val="tablebody"/>
              <w:jc w:val="right"/>
            </w:pPr>
            <w:r w:rsidRPr="00A244E0">
              <w:t xml:space="preserve">(3,490)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1503D824"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4F87902E"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1EB309E8"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558FD0E9"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094E6D5D"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20C63FC9" w14:textId="77777777">
            <w:pPr>
              <w:pStyle w:val="tablebody"/>
              <w:jc w:val="right"/>
            </w:pPr>
            <w:r w:rsidRPr="00A244E0">
              <w:t xml:space="preserve">(3,490) </w:t>
            </w:r>
          </w:p>
        </w:tc>
      </w:tr>
      <w:tr w:rsidRPr="00A244E0" w:rsidR="00A244E0" w:rsidTr="00453CD1" w14:paraId="7F29ACF1"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6FE1C556" w14:textId="77777777">
            <w:pPr>
              <w:pStyle w:val="tablebody"/>
            </w:pPr>
            <w:r w:rsidRPr="00A244E0">
              <w:t>Fair value of assets received free of charge or for nominal consideration</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435C7A70"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4DD200D0" w14:textId="77777777">
            <w:pPr>
              <w:pStyle w:val="tablebody"/>
              <w:jc w:val="right"/>
            </w:pPr>
            <w:r w:rsidRPr="00A244E0">
              <w:t xml:space="preserve">0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0C761B82"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2A0A0BF1"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5E78DB7D" w14:textId="77777777">
            <w:pPr>
              <w:pStyle w:val="tablebody"/>
              <w:jc w:val="right"/>
            </w:pPr>
            <w:r w:rsidRPr="00A244E0">
              <w:t xml:space="preserve">173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5D893A6D" w14:textId="77777777">
            <w:pPr>
              <w:pStyle w:val="tablebody"/>
              <w:jc w:val="right"/>
            </w:pPr>
            <w:r w:rsidRPr="00A244E0">
              <w:t xml:space="preserve">124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749356A3"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536FB2C2" w14:textId="77777777">
            <w:pPr>
              <w:pStyle w:val="tablebody"/>
              <w:jc w:val="right"/>
            </w:pPr>
            <w:r w:rsidRPr="00A244E0">
              <w:t xml:space="preserve">297 </w:t>
            </w:r>
          </w:p>
        </w:tc>
      </w:tr>
      <w:tr w:rsidRPr="00A244E0" w:rsidR="00A244E0" w:rsidTr="00453CD1" w14:paraId="2F1B81D7"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7CDC8C0A" w14:textId="77777777">
            <w:pPr>
              <w:pStyle w:val="tablebody"/>
            </w:pPr>
            <w:r w:rsidRPr="00A244E0">
              <w:t>Fair value of assets provided free of charge or for nominal consideration</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33F54A74"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6436107E" w14:textId="77777777">
            <w:pPr>
              <w:pStyle w:val="tablebody"/>
              <w:jc w:val="right"/>
            </w:pPr>
            <w:r w:rsidRPr="00A244E0">
              <w:t xml:space="preserve">(4,921)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09238F23"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3436F1A1"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3AE08501"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525B5732" w14:textId="77777777">
            <w:pPr>
              <w:pStyle w:val="tablebody"/>
              <w:jc w:val="right"/>
            </w:pPr>
            <w:r w:rsidRPr="00A244E0">
              <w:t xml:space="preserve">0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152CFF38"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7A47C9F4" w14:textId="77777777">
            <w:pPr>
              <w:pStyle w:val="tablebody"/>
              <w:jc w:val="right"/>
            </w:pPr>
            <w:r w:rsidRPr="00A244E0">
              <w:t xml:space="preserve">(4,921) </w:t>
            </w:r>
          </w:p>
        </w:tc>
      </w:tr>
      <w:tr w:rsidRPr="00A244E0" w:rsidR="00A244E0" w:rsidTr="00453CD1" w14:paraId="5BE1F3CA"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4D50D3AC" w14:textId="77777777">
            <w:pPr>
              <w:pStyle w:val="tablebody"/>
            </w:pPr>
            <w:r w:rsidRPr="00A244E0">
              <w:t>Depreciation</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30D53AA9"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7F3842AD" w14:textId="77777777">
            <w:pPr>
              <w:pStyle w:val="tablebody"/>
              <w:jc w:val="right"/>
            </w:pPr>
            <w:r w:rsidRPr="00A244E0">
              <w:t xml:space="preserve">(49,871)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2C62EC85" w14:textId="77777777">
            <w:pPr>
              <w:pStyle w:val="tablebody"/>
              <w:jc w:val="right"/>
            </w:pPr>
            <w:r w:rsidRPr="00A244E0">
              <w:t xml:space="preserve">(25,058)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6A1885F4" w14:textId="77777777">
            <w:pPr>
              <w:pStyle w:val="tablebody"/>
              <w:jc w:val="right"/>
            </w:pPr>
            <w:r w:rsidRPr="00A244E0">
              <w:t xml:space="preserve">(6,958)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49D7C119" w14:textId="77777777">
            <w:pPr>
              <w:pStyle w:val="tablebody"/>
              <w:jc w:val="right"/>
            </w:pPr>
            <w:r w:rsidRPr="00A244E0">
              <w:t xml:space="preserve">(22,727)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7517C5A7" w14:textId="77777777">
            <w:pPr>
              <w:pStyle w:val="tablebody"/>
              <w:jc w:val="right"/>
            </w:pPr>
            <w:r w:rsidRPr="00A244E0">
              <w:t xml:space="preserve">(7,029)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2C069540"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13987C37" w14:textId="77777777">
            <w:pPr>
              <w:pStyle w:val="tablebody"/>
              <w:jc w:val="right"/>
            </w:pPr>
            <w:r w:rsidRPr="00A244E0">
              <w:t xml:space="preserve">(111,643) </w:t>
            </w:r>
          </w:p>
        </w:tc>
      </w:tr>
      <w:tr w:rsidRPr="00A244E0" w:rsidR="00A244E0" w:rsidTr="00453CD1" w14:paraId="6F827508" w14:textId="77777777">
        <w:tc>
          <w:tcPr>
            <w:tcW w:w="1984" w:type="dxa"/>
            <w:tcBorders>
              <w:top w:val="nil"/>
              <w:left w:val="nil"/>
              <w:bottom w:val="nil"/>
              <w:right w:val="nil"/>
            </w:tcBorders>
            <w:tcMar>
              <w:top w:w="57" w:type="dxa"/>
              <w:left w:w="0" w:type="dxa"/>
              <w:bottom w:w="57" w:type="dxa"/>
              <w:right w:w="0" w:type="dxa"/>
            </w:tcMar>
          </w:tcPr>
          <w:p w:rsidRPr="00A244E0" w:rsidR="00A244E0" w:rsidP="00453CD1" w:rsidRDefault="00A244E0" w14:paraId="065273DD" w14:textId="77777777">
            <w:pPr>
              <w:pStyle w:val="tablebody"/>
            </w:pPr>
            <w:r w:rsidRPr="00A244E0">
              <w:t>Transfers to disposal group held for sale</w:t>
            </w:r>
          </w:p>
        </w:tc>
        <w:tc>
          <w:tcPr>
            <w:tcW w:w="710" w:type="dxa"/>
            <w:tcBorders>
              <w:top w:val="nil"/>
              <w:left w:val="nil"/>
              <w:bottom w:val="nil"/>
              <w:right w:val="nil"/>
            </w:tcBorders>
            <w:tcMar>
              <w:top w:w="57" w:type="dxa"/>
              <w:left w:w="0" w:type="dxa"/>
              <w:bottom w:w="57" w:type="dxa"/>
              <w:right w:w="0" w:type="dxa"/>
            </w:tcMar>
          </w:tcPr>
          <w:p w:rsidRPr="00A244E0" w:rsidR="00A244E0" w:rsidP="00453CD1" w:rsidRDefault="00A244E0" w14:paraId="243392D8"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69952CBA" w14:textId="77777777">
            <w:pPr>
              <w:pStyle w:val="tablebody"/>
              <w:jc w:val="right"/>
            </w:pPr>
            <w:r w:rsidRPr="00A244E0">
              <w:t xml:space="preserve">0 </w:t>
            </w:r>
          </w:p>
        </w:tc>
        <w:tc>
          <w:tcPr>
            <w:tcW w:w="992" w:type="dxa"/>
            <w:tcBorders>
              <w:top w:val="nil"/>
              <w:left w:val="nil"/>
              <w:bottom w:val="nil"/>
              <w:right w:val="nil"/>
            </w:tcBorders>
            <w:tcMar>
              <w:top w:w="57" w:type="dxa"/>
              <w:left w:w="0" w:type="dxa"/>
              <w:bottom w:w="57" w:type="dxa"/>
              <w:right w:w="0" w:type="dxa"/>
            </w:tcMar>
          </w:tcPr>
          <w:p w:rsidRPr="00A244E0" w:rsidR="00A244E0" w:rsidP="00453CD1" w:rsidRDefault="00A244E0" w14:paraId="1AE1C79F" w14:textId="77777777">
            <w:pPr>
              <w:pStyle w:val="tablebody"/>
              <w:jc w:val="right"/>
            </w:pPr>
            <w:r w:rsidRPr="00A244E0">
              <w:t xml:space="preserve">0 </w:t>
            </w:r>
          </w:p>
        </w:tc>
        <w:tc>
          <w:tcPr>
            <w:tcW w:w="1276" w:type="dxa"/>
            <w:tcBorders>
              <w:top w:val="nil"/>
              <w:left w:val="nil"/>
              <w:bottom w:val="nil"/>
              <w:right w:val="nil"/>
            </w:tcBorders>
            <w:tcMar>
              <w:top w:w="57" w:type="dxa"/>
              <w:left w:w="0" w:type="dxa"/>
              <w:bottom w:w="57" w:type="dxa"/>
              <w:right w:w="0" w:type="dxa"/>
            </w:tcMar>
          </w:tcPr>
          <w:p w:rsidRPr="00A244E0" w:rsidR="00A244E0" w:rsidP="00453CD1" w:rsidRDefault="00A244E0" w14:paraId="62B3CF63" w14:textId="77777777">
            <w:pPr>
              <w:pStyle w:val="tablebody"/>
              <w:jc w:val="right"/>
            </w:pPr>
            <w:r w:rsidRPr="00A244E0">
              <w:t xml:space="preserve">0 </w:t>
            </w:r>
          </w:p>
        </w:tc>
        <w:tc>
          <w:tcPr>
            <w:tcW w:w="1134" w:type="dxa"/>
            <w:tcBorders>
              <w:top w:val="nil"/>
              <w:left w:val="nil"/>
              <w:bottom w:val="nil"/>
              <w:right w:val="nil"/>
            </w:tcBorders>
            <w:tcMar>
              <w:top w:w="57" w:type="dxa"/>
              <w:left w:w="113" w:type="dxa"/>
              <w:bottom w:w="57" w:type="dxa"/>
              <w:right w:w="0" w:type="dxa"/>
            </w:tcMar>
          </w:tcPr>
          <w:p w:rsidRPr="00A244E0" w:rsidR="00A244E0" w:rsidP="00453CD1" w:rsidRDefault="00A244E0" w14:paraId="272804C0" w14:textId="77777777">
            <w:pPr>
              <w:pStyle w:val="tablebody"/>
              <w:jc w:val="right"/>
            </w:pPr>
            <w:r w:rsidRPr="00A244E0">
              <w:t xml:space="preserve">0 </w:t>
            </w:r>
          </w:p>
        </w:tc>
        <w:tc>
          <w:tcPr>
            <w:tcW w:w="1276" w:type="dxa"/>
            <w:tcBorders>
              <w:top w:val="nil"/>
              <w:left w:val="nil"/>
              <w:bottom w:val="nil"/>
              <w:right w:val="nil"/>
            </w:tcBorders>
            <w:tcMar>
              <w:top w:w="57" w:type="dxa"/>
              <w:left w:w="113" w:type="dxa"/>
              <w:bottom w:w="57" w:type="dxa"/>
              <w:right w:w="0" w:type="dxa"/>
            </w:tcMar>
          </w:tcPr>
          <w:p w:rsidRPr="00A244E0" w:rsidR="00A244E0" w:rsidP="00453CD1" w:rsidRDefault="00A244E0" w14:paraId="454AEFEC" w14:textId="77777777">
            <w:pPr>
              <w:pStyle w:val="tablebody"/>
              <w:jc w:val="right"/>
            </w:pPr>
            <w:r w:rsidRPr="00A244E0">
              <w:t xml:space="preserve">(377) </w:t>
            </w:r>
          </w:p>
        </w:tc>
        <w:tc>
          <w:tcPr>
            <w:tcW w:w="1134" w:type="dxa"/>
            <w:tcBorders>
              <w:top w:val="nil"/>
              <w:left w:val="nil"/>
              <w:bottom w:val="nil"/>
              <w:right w:val="nil"/>
            </w:tcBorders>
            <w:tcMar>
              <w:top w:w="57" w:type="dxa"/>
              <w:left w:w="0" w:type="dxa"/>
              <w:bottom w:w="57" w:type="dxa"/>
              <w:right w:w="0" w:type="dxa"/>
            </w:tcMar>
          </w:tcPr>
          <w:p w:rsidRPr="00A244E0" w:rsidR="00A244E0" w:rsidP="00453CD1" w:rsidRDefault="00A244E0" w14:paraId="66E31716" w14:textId="77777777">
            <w:pPr>
              <w:pStyle w:val="tablebody"/>
              <w:jc w:val="right"/>
            </w:pPr>
            <w:r w:rsidRPr="00A244E0">
              <w:t xml:space="preserve">0 </w:t>
            </w:r>
          </w:p>
        </w:tc>
        <w:tc>
          <w:tcPr>
            <w:tcW w:w="850" w:type="dxa"/>
            <w:tcBorders>
              <w:top w:val="nil"/>
              <w:left w:val="nil"/>
              <w:bottom w:val="nil"/>
              <w:right w:val="nil"/>
            </w:tcBorders>
            <w:tcMar>
              <w:top w:w="57" w:type="dxa"/>
              <w:left w:w="0" w:type="dxa"/>
              <w:bottom w:w="57" w:type="dxa"/>
              <w:right w:w="0" w:type="dxa"/>
            </w:tcMar>
          </w:tcPr>
          <w:p w:rsidRPr="00A244E0" w:rsidR="00A244E0" w:rsidP="00453CD1" w:rsidRDefault="00A244E0" w14:paraId="30F9857A" w14:textId="77777777">
            <w:pPr>
              <w:pStyle w:val="tablebody"/>
              <w:jc w:val="right"/>
            </w:pPr>
            <w:r w:rsidRPr="00A244E0">
              <w:t xml:space="preserve">(377) </w:t>
            </w:r>
          </w:p>
        </w:tc>
      </w:tr>
      <w:tr w:rsidRPr="00A244E0" w:rsidR="00A244E0" w:rsidTr="00453CD1" w14:paraId="533CB587" w14:textId="77777777">
        <w:tc>
          <w:tcPr>
            <w:tcW w:w="1984"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7AD09A54" w14:textId="77777777">
            <w:pPr>
              <w:pStyle w:val="tablebody"/>
            </w:pPr>
            <w:r w:rsidRPr="00A244E0">
              <w:t>Net transfers contributed capital</w:t>
            </w:r>
          </w:p>
        </w:tc>
        <w:tc>
          <w:tcPr>
            <w:tcW w:w="710"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2FBD9468" w14:textId="77777777">
            <w:pPr>
              <w:pStyle w:val="tablebody"/>
              <w:jc w:val="right"/>
            </w:pPr>
            <w:r w:rsidRPr="00A244E0">
              <w:t xml:space="preserve">0 </w:t>
            </w:r>
          </w:p>
        </w:tc>
        <w:tc>
          <w:tcPr>
            <w:tcW w:w="850"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16F3386B" w14:textId="77777777">
            <w:pPr>
              <w:pStyle w:val="tablebody"/>
              <w:jc w:val="right"/>
            </w:pPr>
            <w:r w:rsidRPr="00A244E0">
              <w:t xml:space="preserve">(747) </w:t>
            </w:r>
          </w:p>
        </w:tc>
        <w:tc>
          <w:tcPr>
            <w:tcW w:w="992"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0BC82429" w14:textId="77777777">
            <w:pPr>
              <w:pStyle w:val="tablebody"/>
              <w:jc w:val="right"/>
            </w:pPr>
            <w:r w:rsidRPr="00A244E0">
              <w:t xml:space="preserve">0 </w:t>
            </w:r>
          </w:p>
        </w:tc>
        <w:tc>
          <w:tcPr>
            <w:tcW w:w="1276"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181FF0B8" w14:textId="77777777">
            <w:pPr>
              <w:pStyle w:val="tablebody"/>
              <w:jc w:val="right"/>
            </w:pPr>
            <w:r w:rsidRPr="00A244E0">
              <w:t xml:space="preserve">0 </w:t>
            </w:r>
          </w:p>
        </w:tc>
        <w:tc>
          <w:tcPr>
            <w:tcW w:w="1134" w:type="dxa"/>
            <w:tcBorders>
              <w:top w:val="nil"/>
              <w:left w:val="nil"/>
              <w:bottom w:val="single" w:color="000000" w:sz="6" w:space="0"/>
              <w:right w:val="nil"/>
            </w:tcBorders>
            <w:tcMar>
              <w:top w:w="57" w:type="dxa"/>
              <w:left w:w="113" w:type="dxa"/>
              <w:bottom w:w="57" w:type="dxa"/>
              <w:right w:w="0" w:type="dxa"/>
            </w:tcMar>
          </w:tcPr>
          <w:p w:rsidRPr="00A244E0" w:rsidR="00A244E0" w:rsidP="00453CD1" w:rsidRDefault="00A244E0" w14:paraId="1C6282AF" w14:textId="77777777">
            <w:pPr>
              <w:pStyle w:val="tablebody"/>
              <w:jc w:val="right"/>
            </w:pPr>
            <w:r w:rsidRPr="00A244E0">
              <w:t xml:space="preserve">(552) </w:t>
            </w:r>
          </w:p>
        </w:tc>
        <w:tc>
          <w:tcPr>
            <w:tcW w:w="1276" w:type="dxa"/>
            <w:tcBorders>
              <w:top w:val="nil"/>
              <w:left w:val="nil"/>
              <w:bottom w:val="single" w:color="000000" w:sz="6" w:space="0"/>
              <w:right w:val="nil"/>
            </w:tcBorders>
            <w:tcMar>
              <w:top w:w="57" w:type="dxa"/>
              <w:left w:w="113" w:type="dxa"/>
              <w:bottom w:w="57" w:type="dxa"/>
              <w:right w:w="0" w:type="dxa"/>
            </w:tcMar>
          </w:tcPr>
          <w:p w:rsidRPr="00A244E0" w:rsidR="00A244E0" w:rsidP="00453CD1" w:rsidRDefault="00A244E0" w14:paraId="0A3C4420" w14:textId="77777777">
            <w:pPr>
              <w:pStyle w:val="tablebody"/>
              <w:jc w:val="right"/>
            </w:pPr>
            <w:r w:rsidRPr="00A244E0">
              <w:t xml:space="preserve">0 </w:t>
            </w:r>
          </w:p>
        </w:tc>
        <w:tc>
          <w:tcPr>
            <w:tcW w:w="1134"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450E3D37" w14:textId="77777777">
            <w:pPr>
              <w:pStyle w:val="tablebody"/>
              <w:jc w:val="right"/>
            </w:pPr>
            <w:r w:rsidRPr="00A244E0">
              <w:t xml:space="preserve">0 </w:t>
            </w:r>
          </w:p>
        </w:tc>
        <w:tc>
          <w:tcPr>
            <w:tcW w:w="850" w:type="dxa"/>
            <w:tcBorders>
              <w:top w:val="nil"/>
              <w:left w:val="nil"/>
              <w:bottom w:val="single" w:color="000000" w:sz="6" w:space="0"/>
              <w:right w:val="nil"/>
            </w:tcBorders>
            <w:tcMar>
              <w:top w:w="57" w:type="dxa"/>
              <w:left w:w="0" w:type="dxa"/>
              <w:bottom w:w="57" w:type="dxa"/>
              <w:right w:w="0" w:type="dxa"/>
            </w:tcMar>
          </w:tcPr>
          <w:p w:rsidRPr="00A244E0" w:rsidR="00A244E0" w:rsidP="00453CD1" w:rsidRDefault="00A244E0" w14:paraId="4E4F4CA8" w14:textId="77777777">
            <w:pPr>
              <w:pStyle w:val="tablebody"/>
              <w:jc w:val="right"/>
            </w:pPr>
            <w:r w:rsidRPr="00A244E0">
              <w:t xml:space="preserve">(1,299) </w:t>
            </w:r>
          </w:p>
        </w:tc>
      </w:tr>
      <w:tr w:rsidRPr="00453CD1" w:rsidR="00A244E0" w:rsidTr="00453CD1" w14:paraId="4D7557D5" w14:textId="77777777">
        <w:tc>
          <w:tcPr>
            <w:tcW w:w="1984"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5B0CD67B" w14:textId="77777777">
            <w:pPr>
              <w:pStyle w:val="tablebody"/>
              <w:rPr>
                <w:b/>
              </w:rPr>
            </w:pPr>
            <w:r w:rsidRPr="00453CD1">
              <w:rPr>
                <w:b/>
              </w:rPr>
              <w:t>Closing balance</w:t>
            </w:r>
          </w:p>
        </w:tc>
        <w:tc>
          <w:tcPr>
            <w:tcW w:w="710"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168D0FBE" w14:textId="77777777">
            <w:pPr>
              <w:pStyle w:val="tablebody"/>
              <w:jc w:val="right"/>
              <w:rPr>
                <w:b/>
              </w:rPr>
            </w:pPr>
            <w:r w:rsidRPr="00453CD1">
              <w:rPr>
                <w:b/>
              </w:rPr>
              <w:t xml:space="preserve">281,876 </w:t>
            </w:r>
          </w:p>
        </w:tc>
        <w:tc>
          <w:tcPr>
            <w:tcW w:w="850"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3CA1A472" w14:textId="77777777">
            <w:pPr>
              <w:pStyle w:val="tablebody"/>
              <w:jc w:val="right"/>
              <w:rPr>
                <w:b/>
              </w:rPr>
            </w:pPr>
            <w:r w:rsidRPr="00453CD1">
              <w:rPr>
                <w:b/>
              </w:rPr>
              <w:t xml:space="preserve">1,295,111 </w:t>
            </w:r>
          </w:p>
        </w:tc>
        <w:tc>
          <w:tcPr>
            <w:tcW w:w="992"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202E7AA3" w14:textId="77777777">
            <w:pPr>
              <w:pStyle w:val="tablebody"/>
              <w:jc w:val="right"/>
              <w:rPr>
                <w:b/>
              </w:rPr>
            </w:pPr>
            <w:r w:rsidRPr="00453CD1">
              <w:rPr>
                <w:b/>
              </w:rPr>
              <w:t xml:space="preserve">1,120,554 </w:t>
            </w:r>
          </w:p>
        </w:tc>
        <w:tc>
          <w:tcPr>
            <w:tcW w:w="1276"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32239529" w14:textId="77777777">
            <w:pPr>
              <w:pStyle w:val="tablebody"/>
              <w:jc w:val="right"/>
              <w:rPr>
                <w:b/>
              </w:rPr>
            </w:pPr>
            <w:r w:rsidRPr="00453CD1">
              <w:rPr>
                <w:b/>
              </w:rPr>
              <w:t xml:space="preserve">26,222 </w:t>
            </w:r>
          </w:p>
        </w:tc>
        <w:tc>
          <w:tcPr>
            <w:tcW w:w="1134" w:type="dxa"/>
            <w:tcBorders>
              <w:top w:val="single" w:color="000000" w:sz="6" w:space="0"/>
              <w:left w:val="nil"/>
              <w:bottom w:val="single" w:color="000000" w:sz="6" w:space="0"/>
              <w:right w:val="nil"/>
            </w:tcBorders>
            <w:tcMar>
              <w:top w:w="57" w:type="dxa"/>
              <w:left w:w="113" w:type="dxa"/>
              <w:bottom w:w="57" w:type="dxa"/>
              <w:right w:w="0" w:type="dxa"/>
            </w:tcMar>
          </w:tcPr>
          <w:p w:rsidRPr="00453CD1" w:rsidR="00A244E0" w:rsidP="00453CD1" w:rsidRDefault="00A244E0" w14:paraId="1A1E067C" w14:textId="77777777">
            <w:pPr>
              <w:pStyle w:val="tablebody"/>
              <w:jc w:val="right"/>
              <w:rPr>
                <w:b/>
              </w:rPr>
            </w:pPr>
            <w:r w:rsidRPr="00453CD1">
              <w:rPr>
                <w:b/>
              </w:rPr>
              <w:t xml:space="preserve">116,479 </w:t>
            </w:r>
          </w:p>
        </w:tc>
        <w:tc>
          <w:tcPr>
            <w:tcW w:w="1276" w:type="dxa"/>
            <w:tcBorders>
              <w:top w:val="single" w:color="000000" w:sz="6" w:space="0"/>
              <w:left w:val="nil"/>
              <w:bottom w:val="single" w:color="000000" w:sz="6" w:space="0"/>
              <w:right w:val="nil"/>
            </w:tcBorders>
            <w:tcMar>
              <w:top w:w="57" w:type="dxa"/>
              <w:left w:w="113" w:type="dxa"/>
              <w:bottom w:w="57" w:type="dxa"/>
              <w:right w:w="0" w:type="dxa"/>
            </w:tcMar>
          </w:tcPr>
          <w:p w:rsidRPr="00453CD1" w:rsidR="00A244E0" w:rsidP="00453CD1" w:rsidRDefault="00A244E0" w14:paraId="0CEB8C8E" w14:textId="77777777">
            <w:pPr>
              <w:pStyle w:val="tablebody"/>
              <w:jc w:val="right"/>
              <w:rPr>
                <w:b/>
              </w:rPr>
            </w:pPr>
            <w:r w:rsidRPr="00453CD1">
              <w:rPr>
                <w:b/>
              </w:rPr>
              <w:t xml:space="preserve">82,312 </w:t>
            </w:r>
          </w:p>
        </w:tc>
        <w:tc>
          <w:tcPr>
            <w:tcW w:w="1134"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437BDE54" w14:textId="77777777">
            <w:pPr>
              <w:pStyle w:val="tablebody"/>
              <w:jc w:val="right"/>
              <w:rPr>
                <w:b/>
              </w:rPr>
            </w:pPr>
            <w:r w:rsidRPr="00453CD1">
              <w:rPr>
                <w:b/>
              </w:rPr>
              <w:t xml:space="preserve">392,671 </w:t>
            </w:r>
          </w:p>
        </w:tc>
        <w:tc>
          <w:tcPr>
            <w:tcW w:w="850" w:type="dxa"/>
            <w:tcBorders>
              <w:top w:val="single" w:color="000000" w:sz="6" w:space="0"/>
              <w:left w:val="nil"/>
              <w:bottom w:val="single" w:color="000000" w:sz="6" w:space="0"/>
              <w:right w:val="nil"/>
            </w:tcBorders>
            <w:tcMar>
              <w:top w:w="57" w:type="dxa"/>
              <w:left w:w="0" w:type="dxa"/>
              <w:bottom w:w="57" w:type="dxa"/>
              <w:right w:w="0" w:type="dxa"/>
            </w:tcMar>
          </w:tcPr>
          <w:p w:rsidRPr="00453CD1" w:rsidR="00A244E0" w:rsidP="00453CD1" w:rsidRDefault="00A244E0" w14:paraId="020D25F2" w14:textId="77777777">
            <w:pPr>
              <w:pStyle w:val="tablebody"/>
              <w:jc w:val="right"/>
              <w:rPr>
                <w:b/>
              </w:rPr>
            </w:pPr>
            <w:r w:rsidRPr="00453CD1">
              <w:rPr>
                <w:b/>
              </w:rPr>
              <w:t xml:space="preserve">3,315,225 </w:t>
            </w:r>
          </w:p>
        </w:tc>
      </w:tr>
    </w:tbl>
    <w:p w:rsidRPr="00453CD1" w:rsidR="00A244E0" w:rsidP="00453CD1" w:rsidRDefault="00A244E0" w14:paraId="78E8048D" w14:textId="77777777">
      <w:pPr>
        <w:pStyle w:val="notes"/>
      </w:pPr>
      <w:r w:rsidRPr="00453CD1">
        <w:t>(i) This movement includes a realignment of prior year assets under construction and a building impairment.</w:t>
      </w:r>
    </w:p>
    <w:p w:rsidR="00453CD1" w:rsidRDefault="00453CD1" w14:paraId="06DBEAF4" w14:textId="063C1D1A">
      <w:pPr>
        <w:spacing w:after="0"/>
        <w:rPr>
          <w:lang w:val="en-AU"/>
        </w:rPr>
      </w:pPr>
      <w:r>
        <w:rPr>
          <w:lang w:val="en-AU"/>
        </w:rPr>
        <w:br w:type="page"/>
      </w:r>
    </w:p>
    <w:p w:rsidRPr="006C2E63" w:rsidR="006C2E63" w:rsidP="006C2E63" w:rsidRDefault="006C2E63" w14:paraId="579E74BC" w14:textId="437FBC3E">
      <w:pPr>
        <w:pStyle w:val="Heading3"/>
      </w:pPr>
      <w:r w:rsidRPr="006C2E63">
        <w:lastRenderedPageBreak/>
        <w:t>5.3 Intangible assets</w:t>
      </w:r>
    </w:p>
    <w:tbl>
      <w:tblPr>
        <w:tblW w:w="0" w:type="auto"/>
        <w:tblLayout w:type="fixed"/>
        <w:tblCellMar>
          <w:left w:w="0" w:type="dxa"/>
          <w:right w:w="0" w:type="dxa"/>
        </w:tblCellMar>
        <w:tblLook w:firstRow="1" w:lastRow="0" w:firstColumn="0" w:lastColumn="0" w:noHBand="0" w:noVBand="0" w:val="0020"/>
      </w:tblPr>
      <w:tblGrid>
        <w:gridCol w:w="7098"/>
        <w:gridCol w:w="1417"/>
        <w:gridCol w:w="1418"/>
      </w:tblGrid>
      <w:tr w:rsidRPr="006C2E63" w:rsidR="006C2E63" w:rsidTr="006C2E63" w14:paraId="6B0BCD82" w14:textId="77777777">
        <w:trPr>
          <w:tblHeader/>
        </w:trPr>
        <w:tc>
          <w:tcPr>
            <w:tcW w:w="709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74F13E97" w14:textId="77777777">
            <w:pPr>
              <w:pStyle w:val="tablebody"/>
              <w:rPr>
                <w:b/>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65FB0F14" w14:textId="77777777">
            <w:pPr>
              <w:pStyle w:val="tablebody"/>
              <w:jc w:val="right"/>
              <w:rPr>
                <w:b/>
                <w:lang w:val="en-US"/>
              </w:rPr>
            </w:pPr>
          </w:p>
        </w:tc>
        <w:tc>
          <w:tcPr>
            <w:tcW w:w="141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6B7E6594" w14:textId="77777777">
            <w:pPr>
              <w:pStyle w:val="tablebody"/>
              <w:jc w:val="right"/>
              <w:rPr>
                <w:b/>
              </w:rPr>
            </w:pPr>
            <w:r w:rsidRPr="006C2E63">
              <w:rPr>
                <w:b/>
              </w:rPr>
              <w:t>($ thousand)</w:t>
            </w:r>
          </w:p>
        </w:tc>
      </w:tr>
      <w:tr w:rsidRPr="006C2E63" w:rsidR="006C2E63" w:rsidTr="006C2E63" w14:paraId="533624A3" w14:textId="77777777">
        <w:trPr>
          <w:tblHeader/>
        </w:trPr>
        <w:tc>
          <w:tcPr>
            <w:tcW w:w="709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3ED7E00C"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7ABB14E2" w14:textId="77777777">
            <w:pPr>
              <w:pStyle w:val="tablebody"/>
              <w:jc w:val="right"/>
              <w:rPr>
                <w:b/>
              </w:rPr>
            </w:pPr>
            <w:r w:rsidRPr="006C2E63">
              <w:rPr>
                <w:b/>
              </w:rPr>
              <w:t>2019</w:t>
            </w:r>
          </w:p>
        </w:tc>
        <w:tc>
          <w:tcPr>
            <w:tcW w:w="141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761D0AD9" w14:textId="77777777">
            <w:pPr>
              <w:pStyle w:val="tablebody"/>
              <w:jc w:val="right"/>
              <w:rPr>
                <w:b/>
              </w:rPr>
            </w:pPr>
            <w:r w:rsidRPr="006C2E63">
              <w:rPr>
                <w:b/>
              </w:rPr>
              <w:t>2018</w:t>
            </w:r>
          </w:p>
        </w:tc>
      </w:tr>
      <w:tr w:rsidRPr="006C2E63" w:rsidR="006C2E63" w:rsidTr="006C2E63" w14:paraId="46103071" w14:textId="77777777">
        <w:tc>
          <w:tcPr>
            <w:tcW w:w="7098"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5F285A27" w14:textId="77777777">
            <w:pPr>
              <w:pStyle w:val="tablebody"/>
              <w:rPr>
                <w:b/>
              </w:rPr>
            </w:pPr>
            <w:r w:rsidRPr="006C2E63">
              <w:rPr>
                <w:b/>
              </w:rPr>
              <w:t>Gross carrying amount</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2A177B50" w14:textId="77777777">
            <w:pPr>
              <w:pStyle w:val="tablebody"/>
              <w:jc w:val="right"/>
              <w:rPr>
                <w:b/>
                <w:lang w:val="en-US"/>
              </w:rPr>
            </w:pPr>
          </w:p>
        </w:tc>
        <w:tc>
          <w:tcPr>
            <w:tcW w:w="1418"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61E26A2D" w14:textId="77777777">
            <w:pPr>
              <w:pStyle w:val="tablebody"/>
              <w:jc w:val="right"/>
              <w:rPr>
                <w:b/>
                <w:lang w:val="en-US"/>
              </w:rPr>
            </w:pPr>
          </w:p>
        </w:tc>
      </w:tr>
      <w:tr w:rsidRPr="006C2E63" w:rsidR="006C2E63" w:rsidTr="006C2E63" w14:paraId="5CA29C38" w14:textId="77777777">
        <w:tc>
          <w:tcPr>
            <w:tcW w:w="709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761F2EB2" w14:textId="77777777">
            <w:pPr>
              <w:pStyle w:val="tablebody"/>
              <w:rPr>
                <w:b/>
              </w:rPr>
            </w:pPr>
            <w:r w:rsidRPr="006C2E63">
              <w:rPr>
                <w:b/>
              </w:rPr>
              <w:t>Opening balance</w:t>
            </w: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254F6617" w14:textId="77777777">
            <w:pPr>
              <w:pStyle w:val="tablebody"/>
              <w:jc w:val="right"/>
              <w:rPr>
                <w:b/>
              </w:rPr>
            </w:pPr>
            <w:r w:rsidRPr="006C2E63">
              <w:rPr>
                <w:b/>
              </w:rPr>
              <w:t xml:space="preserve">144,196 </w:t>
            </w:r>
          </w:p>
        </w:tc>
        <w:tc>
          <w:tcPr>
            <w:tcW w:w="141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720C4AE8" w14:textId="77777777">
            <w:pPr>
              <w:pStyle w:val="tablebody"/>
              <w:jc w:val="right"/>
              <w:rPr>
                <w:b/>
              </w:rPr>
            </w:pPr>
            <w:r w:rsidRPr="006C2E63">
              <w:rPr>
                <w:b/>
              </w:rPr>
              <w:t xml:space="preserve">112,824 </w:t>
            </w:r>
          </w:p>
        </w:tc>
      </w:tr>
      <w:tr w:rsidRPr="006C2E63" w:rsidR="006C2E63" w:rsidTr="006C2E63" w14:paraId="5A1F7CC9" w14:textId="77777777">
        <w:tc>
          <w:tcPr>
            <w:tcW w:w="709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654FE696" w14:textId="77777777">
            <w:pPr>
              <w:pStyle w:val="tablebody"/>
            </w:pPr>
            <w:r w:rsidRPr="006C2E63">
              <w:t xml:space="preserve">Additions </w:t>
            </w:r>
            <w:r w:rsidRPr="006C2E63">
              <w:rPr>
                <w:vertAlign w:val="superscript"/>
              </w:rPr>
              <w:t>(i)</w:t>
            </w: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454DE4F4" w14:textId="77777777">
            <w:pPr>
              <w:pStyle w:val="tablebody"/>
              <w:jc w:val="right"/>
            </w:pPr>
            <w:r w:rsidRPr="006C2E63">
              <w:t xml:space="preserve">16,212 </w:t>
            </w:r>
          </w:p>
        </w:tc>
        <w:tc>
          <w:tcPr>
            <w:tcW w:w="141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58554406" w14:textId="77777777">
            <w:pPr>
              <w:pStyle w:val="tablebody"/>
              <w:jc w:val="right"/>
            </w:pPr>
            <w:r w:rsidRPr="006C2E63">
              <w:t xml:space="preserve">31,932 </w:t>
            </w:r>
          </w:p>
        </w:tc>
      </w:tr>
      <w:tr w:rsidRPr="006C2E63" w:rsidR="006C2E63" w:rsidTr="006C2E63" w14:paraId="5E5277F3" w14:textId="77777777">
        <w:tc>
          <w:tcPr>
            <w:tcW w:w="709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0503065C" w14:textId="77777777">
            <w:pPr>
              <w:pStyle w:val="tablebody"/>
            </w:pPr>
            <w:r w:rsidRPr="006C2E63">
              <w:t>Reclassification to / from property, plant and equipment</w:t>
            </w: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6017BB01" w14:textId="77777777">
            <w:pPr>
              <w:pStyle w:val="tablebody"/>
              <w:jc w:val="right"/>
            </w:pPr>
            <w:r w:rsidRPr="006C2E63">
              <w:t xml:space="preserve">0 </w:t>
            </w:r>
          </w:p>
        </w:tc>
        <w:tc>
          <w:tcPr>
            <w:tcW w:w="141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096E0F6D" w14:textId="77777777">
            <w:pPr>
              <w:pStyle w:val="tablebody"/>
              <w:jc w:val="right"/>
            </w:pPr>
            <w:r w:rsidRPr="006C2E63">
              <w:t xml:space="preserve">(560) </w:t>
            </w:r>
          </w:p>
        </w:tc>
      </w:tr>
      <w:tr w:rsidRPr="006C2E63" w:rsidR="006C2E63" w:rsidTr="006C2E63" w14:paraId="38E8F9EA" w14:textId="77777777">
        <w:tc>
          <w:tcPr>
            <w:tcW w:w="709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1CD09DB1" w14:textId="77777777">
            <w:pPr>
              <w:pStyle w:val="tablebody"/>
            </w:pPr>
            <w:r w:rsidRPr="006C2E63">
              <w:t>Impairment</w:t>
            </w:r>
            <w:r w:rsidRPr="006C2E63">
              <w:rPr>
                <w:vertAlign w:val="superscript"/>
              </w:rPr>
              <w:t xml:space="preserve"> (ii)</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0A3E3ECF" w14:textId="77777777">
            <w:pPr>
              <w:pStyle w:val="tablebody"/>
              <w:jc w:val="right"/>
            </w:pPr>
            <w:r w:rsidRPr="006C2E63">
              <w:t xml:space="preserve">(20,873) </w:t>
            </w:r>
          </w:p>
        </w:tc>
        <w:tc>
          <w:tcPr>
            <w:tcW w:w="141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10FC44D3" w14:textId="77777777">
            <w:pPr>
              <w:pStyle w:val="tablebody"/>
              <w:jc w:val="right"/>
            </w:pPr>
            <w:r w:rsidRPr="006C2E63">
              <w:t xml:space="preserve">0 </w:t>
            </w:r>
          </w:p>
        </w:tc>
      </w:tr>
      <w:tr w:rsidRPr="006C2E63" w:rsidR="006C2E63" w:rsidTr="006C2E63" w14:paraId="0C40757F"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5CC866BD" w14:textId="77777777">
            <w:pPr>
              <w:pStyle w:val="tablebody"/>
              <w:rPr>
                <w:b/>
              </w:rPr>
            </w:pPr>
            <w:r w:rsidRPr="006C2E63">
              <w:rPr>
                <w:b/>
              </w:rPr>
              <w:t>Closing balance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0F1A4D9C" w14:textId="77777777">
            <w:pPr>
              <w:pStyle w:val="tablebody"/>
              <w:jc w:val="right"/>
              <w:rPr>
                <w:b/>
              </w:rPr>
            </w:pPr>
            <w:r w:rsidRPr="006C2E63">
              <w:rPr>
                <w:b/>
              </w:rPr>
              <w:t xml:space="preserve">139,535 </w:t>
            </w:r>
          </w:p>
        </w:tc>
        <w:tc>
          <w:tcPr>
            <w:tcW w:w="141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7F201131" w14:textId="77777777">
            <w:pPr>
              <w:pStyle w:val="tablebody"/>
              <w:jc w:val="right"/>
              <w:rPr>
                <w:b/>
              </w:rPr>
            </w:pPr>
            <w:r w:rsidRPr="006C2E63">
              <w:rPr>
                <w:b/>
              </w:rPr>
              <w:t xml:space="preserve">144,196 </w:t>
            </w:r>
          </w:p>
        </w:tc>
      </w:tr>
      <w:tr w:rsidRPr="006C2E63" w:rsidR="006C2E63" w:rsidTr="006C2E63" w14:paraId="73162621" w14:textId="77777777">
        <w:tc>
          <w:tcPr>
            <w:tcW w:w="7098"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1FE843CF" w14:textId="77777777">
            <w:pPr>
              <w:pStyle w:val="tablebody"/>
              <w:rPr>
                <w:b/>
              </w:rPr>
            </w:pPr>
            <w:r w:rsidRPr="006C2E63">
              <w:rPr>
                <w:b/>
              </w:rPr>
              <w:t>Accumulated depreciation</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2C7E184B" w14:textId="77777777">
            <w:pPr>
              <w:pStyle w:val="tablebody"/>
              <w:jc w:val="right"/>
              <w:rPr>
                <w:b/>
                <w:lang w:val="en-US"/>
              </w:rPr>
            </w:pPr>
          </w:p>
        </w:tc>
        <w:tc>
          <w:tcPr>
            <w:tcW w:w="1418" w:type="dxa"/>
            <w:tcBorders>
              <w:top w:val="single" w:color="000000" w:sz="6" w:space="0"/>
              <w:left w:val="nil"/>
              <w:bottom w:val="nil"/>
              <w:right w:val="nil"/>
            </w:tcBorders>
            <w:tcMar>
              <w:top w:w="57" w:type="dxa"/>
              <w:left w:w="0" w:type="dxa"/>
              <w:bottom w:w="57" w:type="dxa"/>
              <w:right w:w="0" w:type="dxa"/>
            </w:tcMar>
            <w:vAlign w:val="bottom"/>
          </w:tcPr>
          <w:p w:rsidRPr="006C2E63" w:rsidR="006C2E63" w:rsidP="006C2E63" w:rsidRDefault="006C2E63" w14:paraId="7C76C2A5" w14:textId="77777777">
            <w:pPr>
              <w:pStyle w:val="tablebody"/>
              <w:jc w:val="right"/>
              <w:rPr>
                <w:b/>
                <w:lang w:val="en-US"/>
              </w:rPr>
            </w:pPr>
          </w:p>
        </w:tc>
      </w:tr>
      <w:tr w:rsidRPr="006C2E63" w:rsidR="006C2E63" w:rsidTr="006C2E63" w14:paraId="2A58DBCC" w14:textId="77777777">
        <w:tc>
          <w:tcPr>
            <w:tcW w:w="709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33C1B94C" w14:textId="77777777">
            <w:pPr>
              <w:pStyle w:val="tablebody"/>
              <w:rPr>
                <w:b/>
              </w:rPr>
            </w:pPr>
            <w:r w:rsidRPr="006C2E63">
              <w:rPr>
                <w:b/>
              </w:rPr>
              <w:t>Opening balance</w:t>
            </w: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29EE7572" w14:textId="77777777">
            <w:pPr>
              <w:pStyle w:val="tablebody"/>
              <w:jc w:val="right"/>
              <w:rPr>
                <w:b/>
              </w:rPr>
            </w:pPr>
            <w:r w:rsidRPr="006C2E63">
              <w:rPr>
                <w:b/>
              </w:rPr>
              <w:t xml:space="preserve">(73,697) </w:t>
            </w:r>
          </w:p>
        </w:tc>
        <w:tc>
          <w:tcPr>
            <w:tcW w:w="1418"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3C1C7247" w14:textId="77777777">
            <w:pPr>
              <w:pStyle w:val="tablebody"/>
              <w:jc w:val="right"/>
              <w:rPr>
                <w:b/>
              </w:rPr>
            </w:pPr>
            <w:r w:rsidRPr="006C2E63">
              <w:rPr>
                <w:b/>
              </w:rPr>
              <w:t xml:space="preserve">(66,747) </w:t>
            </w:r>
          </w:p>
        </w:tc>
      </w:tr>
      <w:tr w:rsidRPr="006C2E63" w:rsidR="006C2E63" w:rsidTr="006C2E63" w14:paraId="5616ABA7" w14:textId="77777777">
        <w:tc>
          <w:tcPr>
            <w:tcW w:w="709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2DF4D7F5" w14:textId="77777777">
            <w:pPr>
              <w:pStyle w:val="tablebody"/>
            </w:pPr>
            <w:r w:rsidRPr="006C2E63">
              <w:t xml:space="preserve">Depreciation </w:t>
            </w:r>
            <w:r w:rsidRPr="006C2E63">
              <w:rPr>
                <w:vertAlign w:val="superscript"/>
              </w:rPr>
              <w:t>(iii)</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250DAA59" w14:textId="77777777">
            <w:pPr>
              <w:pStyle w:val="tablebody"/>
              <w:jc w:val="right"/>
            </w:pPr>
            <w:r w:rsidRPr="006C2E63">
              <w:t xml:space="preserve">(8,421) </w:t>
            </w:r>
          </w:p>
        </w:tc>
        <w:tc>
          <w:tcPr>
            <w:tcW w:w="1418"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184CD1BB" w14:textId="77777777">
            <w:pPr>
              <w:pStyle w:val="tablebody"/>
              <w:jc w:val="right"/>
            </w:pPr>
            <w:r w:rsidRPr="006C2E63">
              <w:t xml:space="preserve">(6,950) </w:t>
            </w:r>
          </w:p>
        </w:tc>
      </w:tr>
      <w:tr w:rsidRPr="006C2E63" w:rsidR="006C2E63" w:rsidTr="006C2E63" w14:paraId="2F614D41"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3EC412C4" w14:textId="77777777">
            <w:pPr>
              <w:pStyle w:val="tablebody"/>
              <w:rPr>
                <w:b/>
              </w:rPr>
            </w:pPr>
            <w:r w:rsidRPr="006C2E63">
              <w:rPr>
                <w:b/>
              </w:rPr>
              <w:t>Closing balance</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0310AEAA" w14:textId="77777777">
            <w:pPr>
              <w:pStyle w:val="tablebody"/>
              <w:jc w:val="right"/>
              <w:rPr>
                <w:b/>
              </w:rPr>
            </w:pPr>
            <w:r w:rsidRPr="006C2E63">
              <w:rPr>
                <w:b/>
              </w:rPr>
              <w:t xml:space="preserve">(82,118) </w:t>
            </w:r>
          </w:p>
        </w:tc>
        <w:tc>
          <w:tcPr>
            <w:tcW w:w="141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320971D9" w14:textId="77777777">
            <w:pPr>
              <w:pStyle w:val="tablebody"/>
              <w:jc w:val="right"/>
              <w:rPr>
                <w:b/>
              </w:rPr>
            </w:pPr>
            <w:r w:rsidRPr="006C2E63">
              <w:rPr>
                <w:b/>
              </w:rPr>
              <w:t xml:space="preserve">(73,697) </w:t>
            </w:r>
          </w:p>
        </w:tc>
      </w:tr>
      <w:tr w:rsidRPr="006C2E63" w:rsidR="006C2E63" w:rsidTr="006C2E63" w14:paraId="5E1E088E"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42DD82AA" w14:textId="77777777">
            <w:pPr>
              <w:pStyle w:val="tablebody"/>
              <w:rPr>
                <w:b/>
              </w:rPr>
            </w:pPr>
            <w:r w:rsidRPr="006C2E63">
              <w:rPr>
                <w:b/>
              </w:rPr>
              <w:t>Net book value at end of financial year</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46EA9B9C" w14:textId="77777777">
            <w:pPr>
              <w:pStyle w:val="tablebody"/>
              <w:jc w:val="right"/>
              <w:rPr>
                <w:b/>
              </w:rPr>
            </w:pPr>
            <w:r w:rsidRPr="006C2E63">
              <w:rPr>
                <w:b/>
              </w:rPr>
              <w:t xml:space="preserve">57,417 </w:t>
            </w:r>
          </w:p>
        </w:tc>
        <w:tc>
          <w:tcPr>
            <w:tcW w:w="1418"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31608012" w14:textId="77777777">
            <w:pPr>
              <w:pStyle w:val="tablebody"/>
              <w:jc w:val="right"/>
              <w:rPr>
                <w:b/>
              </w:rPr>
            </w:pPr>
            <w:r w:rsidRPr="006C2E63">
              <w:rPr>
                <w:b/>
              </w:rPr>
              <w:t xml:space="preserve">70,499 </w:t>
            </w:r>
          </w:p>
        </w:tc>
      </w:tr>
    </w:tbl>
    <w:p w:rsidRPr="006C2E63" w:rsidR="006C2E63" w:rsidP="006C2E63" w:rsidRDefault="006C2E63" w14:paraId="13E7C99D" w14:textId="77777777">
      <w:pPr>
        <w:pStyle w:val="notes"/>
        <w:spacing w:after="0"/>
        <w:ind w:left="284" w:hanging="284"/>
      </w:pPr>
      <w:r w:rsidRPr="006C2E63">
        <w:t>(i)</w:t>
      </w:r>
      <w:r w:rsidRPr="006C2E63">
        <w:tab/>
        <w:t>Intangible assets reported include both intangible assets under construction and capitalised intangible assets.</w:t>
      </w:r>
    </w:p>
    <w:p w:rsidRPr="006C2E63" w:rsidR="006C2E63" w:rsidP="006C2E63" w:rsidRDefault="006C2E63" w14:paraId="3E2E4727" w14:textId="77777777">
      <w:pPr>
        <w:pStyle w:val="notes"/>
        <w:spacing w:after="0"/>
        <w:ind w:left="284" w:hanging="284"/>
      </w:pPr>
      <w:r w:rsidRPr="006C2E63">
        <w:t>(ii)</w:t>
      </w:r>
      <w:r w:rsidRPr="006C2E63">
        <w:tab/>
        <w:t>Victorian Infringement Enforcement Warrant (VIEW) System software impairment.</w:t>
      </w:r>
    </w:p>
    <w:p w:rsidRPr="006C2E63" w:rsidR="006C2E63" w:rsidP="006C2E63" w:rsidRDefault="006C2E63" w14:paraId="106C8913" w14:textId="77777777">
      <w:pPr>
        <w:pStyle w:val="notes"/>
        <w:ind w:left="284" w:hanging="284"/>
      </w:pPr>
      <w:r w:rsidRPr="006C2E63">
        <w:t>(iii)</w:t>
      </w:r>
      <w:r w:rsidRPr="006C2E63">
        <w:tab/>
        <w:t>The consumption of intangible assets is included in the depreciation expense line item in the comprehensive operating statement.</w:t>
      </w:r>
    </w:p>
    <w:p w:rsidRPr="006C2E63" w:rsidR="006C2E63" w:rsidP="006C2E63" w:rsidRDefault="006C2E63" w14:paraId="2ED35294" w14:textId="77777777">
      <w:pPr>
        <w:pStyle w:val="Heading4"/>
      </w:pPr>
      <w:r w:rsidRPr="006C2E63">
        <w:t>Initial recognition</w:t>
      </w:r>
    </w:p>
    <w:p w:rsidRPr="006C2E63" w:rsidR="006C2E63" w:rsidP="006C2E63" w:rsidRDefault="006C2E63" w14:paraId="7C13C5D6" w14:textId="77777777">
      <w:r w:rsidRPr="006C2E63">
        <w:rPr>
          <w:b/>
        </w:rPr>
        <w:t>Purchased intangible assets</w:t>
      </w:r>
      <w:r w:rsidRPr="006C2E63">
        <w:t xml:space="preserve"> are initially recognised at cost.  </w:t>
      </w:r>
    </w:p>
    <w:p w:rsidRPr="006C2E63" w:rsidR="006C2E63" w:rsidP="006C2E63" w:rsidRDefault="006C2E63" w14:paraId="1D99AD49" w14:textId="77777777">
      <w:r w:rsidRPr="006C2E63">
        <w:t xml:space="preserve">An </w:t>
      </w:r>
      <w:r w:rsidRPr="006C2E63">
        <w:rPr>
          <w:b/>
        </w:rPr>
        <w:t>internally generated intangible asset</w:t>
      </w:r>
      <w:r w:rsidRPr="006C2E63">
        <w:t xml:space="preserve"> arising from development is recognised if, and only if, all of the following are demonstrated:</w:t>
      </w:r>
    </w:p>
    <w:p w:rsidRPr="006C2E63" w:rsidR="006C2E63" w:rsidP="006C2E63" w:rsidRDefault="006C2E63" w14:paraId="2B999DD1" w14:textId="77777777">
      <w:pPr>
        <w:pStyle w:val="Bullet1"/>
      </w:pPr>
      <w:r w:rsidRPr="006C2E63">
        <w:t>the technical feasibility of completing the intangible asset so that it will be available for use or sale;</w:t>
      </w:r>
    </w:p>
    <w:p w:rsidRPr="006C2E63" w:rsidR="006C2E63" w:rsidP="006C2E63" w:rsidRDefault="006C2E63" w14:paraId="3F481BAA" w14:textId="77777777">
      <w:pPr>
        <w:pStyle w:val="Bullet1"/>
      </w:pPr>
      <w:r w:rsidRPr="006C2E63">
        <w:t>an intention to complete the intangible asset and use or sell it;</w:t>
      </w:r>
    </w:p>
    <w:p w:rsidRPr="006C2E63" w:rsidR="006C2E63" w:rsidP="006C2E63" w:rsidRDefault="006C2E63" w14:paraId="4C5A2033" w14:textId="77777777">
      <w:pPr>
        <w:pStyle w:val="Bullet1"/>
      </w:pPr>
      <w:r w:rsidRPr="006C2E63">
        <w:t>the ability to use or sell the intangible asset;</w:t>
      </w:r>
    </w:p>
    <w:p w:rsidRPr="006C2E63" w:rsidR="006C2E63" w:rsidP="006C2E63" w:rsidRDefault="006C2E63" w14:paraId="38921D65" w14:textId="77777777">
      <w:pPr>
        <w:pStyle w:val="Bullet1"/>
      </w:pPr>
      <w:r w:rsidRPr="006C2E63">
        <w:t>the intangible asset will generate probable future economic benefits;</w:t>
      </w:r>
    </w:p>
    <w:p w:rsidRPr="006C2E63" w:rsidR="006C2E63" w:rsidP="006C2E63" w:rsidRDefault="006C2E63" w14:paraId="587E6F80" w14:textId="77777777">
      <w:pPr>
        <w:pStyle w:val="Bullet1"/>
      </w:pPr>
      <w:r w:rsidRPr="006C2E63">
        <w:t>the availability of adequate technical, financial and other resources to complete the development and to use or sell the intangible asset; and</w:t>
      </w:r>
    </w:p>
    <w:p w:rsidRPr="006C2E63" w:rsidR="006C2E63" w:rsidP="006C2E63" w:rsidRDefault="006C2E63" w14:paraId="05886A1B" w14:textId="77777777">
      <w:pPr>
        <w:pStyle w:val="Bullet1"/>
      </w:pPr>
      <w:r w:rsidRPr="006C2E63">
        <w:t>the ability to measure reliably the expenditure attributable to the intangible asset during its development.</w:t>
      </w:r>
    </w:p>
    <w:p w:rsidRPr="006C2E63" w:rsidR="006C2E63" w:rsidP="006C2E63" w:rsidRDefault="006C2E63" w14:paraId="5D5B30CC" w14:textId="77777777">
      <w:pPr>
        <w:pStyle w:val="Heading4"/>
      </w:pPr>
      <w:r w:rsidRPr="006C2E63">
        <w:t>Subsequent measurement</w:t>
      </w:r>
    </w:p>
    <w:p w:rsidRPr="006C2E63" w:rsidR="006C2E63" w:rsidP="006C2E63" w:rsidRDefault="006C2E63" w14:paraId="0E6BFBA5" w14:textId="77777777">
      <w:r w:rsidRPr="006C2E63">
        <w:t>Intangible assets with finite useful lives are carried at cost less accumulated depreciation and impairment.  Refer to note 5.2.1 for information on depreciation and impairment.</w:t>
      </w:r>
    </w:p>
    <w:p w:rsidRPr="006C2E63" w:rsidR="006C2E63" w:rsidP="006C2E63" w:rsidRDefault="006C2E63" w14:paraId="5FA1B43E" w14:textId="77777777">
      <w:pPr>
        <w:pStyle w:val="Heading4"/>
      </w:pPr>
      <w:r w:rsidRPr="006C2E63">
        <w:t>Significant intangible assets</w:t>
      </w:r>
    </w:p>
    <w:p w:rsidRPr="006C2E63" w:rsidR="006C2E63" w:rsidP="006C2E63" w:rsidRDefault="006C2E63" w14:paraId="598C9D6B" w14:textId="77777777">
      <w:r w:rsidRPr="006C2E63">
        <w:t xml:space="preserve">The department implemented the Registry Information Online System (RIO) on 19 February 2019 at a value of $23.032 million. RIO replaces the legacy </w:t>
      </w:r>
      <w:proofErr w:type="spellStart"/>
      <w:r w:rsidRPr="006C2E63">
        <w:t>LifeData</w:t>
      </w:r>
      <w:proofErr w:type="spellEnd"/>
      <w:r w:rsidRPr="006C2E63">
        <w:t xml:space="preserve"> System and is capable of providing improved services for users of Births, Deaths and Marriages services.  </w:t>
      </w:r>
    </w:p>
    <w:p w:rsidRPr="006C2E63" w:rsidR="006C2E63" w:rsidP="006C2E63" w:rsidRDefault="006C2E63" w14:paraId="7F85822B" w14:textId="6D54F53F">
      <w:pPr>
        <w:pStyle w:val="Heading3"/>
      </w:pPr>
      <w:r w:rsidRPr="006C2E63">
        <w:t>5.4 Investments and other financial assets</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5B25E7" w:rsidR="006C2E63" w:rsidTr="005B25E7" w14:paraId="65E0D150" w14:textId="77777777">
        <w:trPr>
          <w:tblHeader/>
        </w:trPr>
        <w:tc>
          <w:tcPr>
            <w:tcW w:w="7087" w:type="dxa"/>
            <w:tcBorders>
              <w:top w:val="nil"/>
              <w:left w:val="nil"/>
              <w:bottom w:val="single" w:color="000000" w:sz="6" w:space="0"/>
              <w:right w:val="nil"/>
            </w:tcBorders>
            <w:tcMar>
              <w:top w:w="57" w:type="dxa"/>
              <w:left w:w="0" w:type="dxa"/>
              <w:bottom w:w="57" w:type="dxa"/>
              <w:right w:w="0" w:type="dxa"/>
            </w:tcMar>
            <w:vAlign w:val="bottom"/>
          </w:tcPr>
          <w:p w:rsidRPr="005B25E7" w:rsidR="006C2E63" w:rsidP="006C2E63" w:rsidRDefault="006C2E63" w14:paraId="3FDF9666" w14:textId="77777777">
            <w:pPr>
              <w:pStyle w:val="tablebody"/>
              <w:rPr>
                <w:b/>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7F998B50" w14:textId="77777777">
            <w:pPr>
              <w:pStyle w:val="tablebody"/>
              <w:jc w:val="right"/>
              <w:rPr>
                <w:b/>
                <w:lang w:val="en-US"/>
              </w:rPr>
            </w:pP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4082681C" w14:textId="77777777">
            <w:pPr>
              <w:pStyle w:val="tablebody"/>
              <w:jc w:val="right"/>
              <w:rPr>
                <w:b/>
              </w:rPr>
            </w:pPr>
            <w:r w:rsidRPr="005B25E7">
              <w:rPr>
                <w:b/>
              </w:rPr>
              <w:t>($ thousand)</w:t>
            </w:r>
          </w:p>
        </w:tc>
      </w:tr>
      <w:tr w:rsidRPr="005B25E7" w:rsidR="006C2E63" w:rsidTr="005B25E7" w14:paraId="1D7330BC" w14:textId="77777777">
        <w:trPr>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6C2E63" w:rsidRDefault="006C2E63" w14:paraId="7CCACD6A"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0B37562B" w14:textId="77777777">
            <w:pPr>
              <w:pStyle w:val="tablebody"/>
              <w:jc w:val="right"/>
              <w:rPr>
                <w:b/>
              </w:rPr>
            </w:pPr>
            <w:r w:rsidRPr="005B25E7">
              <w:rPr>
                <w:b/>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64F1706F" w14:textId="77777777">
            <w:pPr>
              <w:pStyle w:val="tablebody"/>
              <w:jc w:val="right"/>
              <w:rPr>
                <w:b/>
              </w:rPr>
            </w:pPr>
            <w:r w:rsidRPr="005B25E7">
              <w:rPr>
                <w:b/>
              </w:rPr>
              <w:t>2018</w:t>
            </w:r>
          </w:p>
        </w:tc>
      </w:tr>
      <w:tr w:rsidRPr="005B25E7" w:rsidR="006C2E63" w:rsidTr="005B25E7" w14:paraId="20B3947F" w14:textId="77777777">
        <w:tc>
          <w:tcPr>
            <w:tcW w:w="708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6C2E63" w:rsidRDefault="006C2E63" w14:paraId="6721710A" w14:textId="77777777">
            <w:pPr>
              <w:pStyle w:val="tablebody"/>
              <w:rPr>
                <w:b/>
              </w:rPr>
            </w:pPr>
            <w:r w:rsidRPr="005B25E7">
              <w:rPr>
                <w:b/>
              </w:rPr>
              <w:t>Current investments and other financial assets</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5B25E7" w:rsidRDefault="006C2E63" w14:paraId="08FA772F" w14:textId="77777777">
            <w:pPr>
              <w:pStyle w:val="tablebody"/>
              <w:jc w:val="right"/>
              <w:rPr>
                <w:b/>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5B25E7" w:rsidRDefault="006C2E63" w14:paraId="0BBB04CB" w14:textId="77777777">
            <w:pPr>
              <w:pStyle w:val="tablebody"/>
              <w:jc w:val="right"/>
              <w:rPr>
                <w:b/>
                <w:lang w:val="en-US"/>
              </w:rPr>
            </w:pPr>
          </w:p>
        </w:tc>
      </w:tr>
      <w:tr w:rsidRPr="006C2E63" w:rsidR="006C2E63" w:rsidTr="005B25E7" w14:paraId="5F79BC81" w14:textId="77777777">
        <w:tc>
          <w:tcPr>
            <w:tcW w:w="708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2454A12F" w14:textId="77777777">
            <w:pPr>
              <w:pStyle w:val="tablebody"/>
            </w:pPr>
            <w:r w:rsidRPr="006C2E63">
              <w:t xml:space="preserve">-Term deposits &gt; 3 months </w:t>
            </w:r>
            <w:r w:rsidRPr="006C2E63">
              <w:rPr>
                <w:vertAlign w:val="superscript"/>
              </w:rPr>
              <w:t>(i)</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5B25E7" w:rsidRDefault="006C2E63" w14:paraId="5DB841C4" w14:textId="77777777">
            <w:pPr>
              <w:pStyle w:val="tablebody"/>
              <w:jc w:val="right"/>
            </w:pPr>
            <w:r w:rsidRPr="006C2E63">
              <w:t xml:space="preserve">0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5B25E7" w:rsidRDefault="006C2E63" w14:paraId="00BFF72A" w14:textId="77777777">
            <w:pPr>
              <w:pStyle w:val="tablebody"/>
              <w:jc w:val="right"/>
            </w:pPr>
            <w:r w:rsidRPr="006C2E63">
              <w:t xml:space="preserve">24,654 </w:t>
            </w:r>
          </w:p>
        </w:tc>
      </w:tr>
      <w:tr w:rsidRPr="005B25E7" w:rsidR="006C2E63" w:rsidTr="005B25E7" w14:paraId="1F43FF1C"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6C2E63" w:rsidRDefault="006C2E63" w14:paraId="5C418E2F" w14:textId="77777777">
            <w:pPr>
              <w:pStyle w:val="tablebody"/>
              <w:rPr>
                <w:b/>
              </w:rPr>
            </w:pPr>
            <w:r w:rsidRPr="005B25E7">
              <w:rPr>
                <w:b/>
              </w:rPr>
              <w:t>Total current investments and other financial assets</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59F886E7" w14:textId="77777777">
            <w:pPr>
              <w:pStyle w:val="tablebody"/>
              <w:jc w:val="right"/>
              <w:rPr>
                <w:b/>
              </w:rPr>
            </w:pPr>
            <w:r w:rsidRPr="005B25E7">
              <w:rPr>
                <w:b/>
              </w:rPr>
              <w:t xml:space="preserve">0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2E5C1FFD" w14:textId="77777777">
            <w:pPr>
              <w:pStyle w:val="tablebody"/>
              <w:jc w:val="right"/>
              <w:rPr>
                <w:b/>
              </w:rPr>
            </w:pPr>
            <w:r w:rsidRPr="005B25E7">
              <w:rPr>
                <w:b/>
              </w:rPr>
              <w:t xml:space="preserve">24,654 </w:t>
            </w:r>
          </w:p>
        </w:tc>
      </w:tr>
      <w:tr w:rsidRPr="005B25E7" w:rsidR="006C2E63" w:rsidTr="005B25E7" w14:paraId="197F41F6" w14:textId="77777777">
        <w:tc>
          <w:tcPr>
            <w:tcW w:w="708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6C2E63" w:rsidRDefault="006C2E63" w14:paraId="0E9E929E" w14:textId="77777777">
            <w:pPr>
              <w:pStyle w:val="tablebody"/>
              <w:rPr>
                <w:b/>
              </w:rPr>
            </w:pPr>
            <w:r w:rsidRPr="005B25E7">
              <w:rPr>
                <w:b/>
              </w:rPr>
              <w:t>Non-current investments and other financial assets</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5B25E7" w:rsidRDefault="006C2E63" w14:paraId="746B68C6" w14:textId="77777777">
            <w:pPr>
              <w:pStyle w:val="tablebody"/>
              <w:jc w:val="right"/>
              <w:rPr>
                <w:b/>
                <w:lang w:val="en-US"/>
              </w:rPr>
            </w:pP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5B25E7" w:rsidR="006C2E63" w:rsidP="005B25E7" w:rsidRDefault="006C2E63" w14:paraId="579F68AB" w14:textId="77777777">
            <w:pPr>
              <w:pStyle w:val="tablebody"/>
              <w:jc w:val="right"/>
              <w:rPr>
                <w:b/>
                <w:lang w:val="en-US"/>
              </w:rPr>
            </w:pPr>
          </w:p>
        </w:tc>
      </w:tr>
      <w:tr w:rsidRPr="006C2E63" w:rsidR="006C2E63" w:rsidTr="005B25E7" w14:paraId="6E832288" w14:textId="77777777">
        <w:tc>
          <w:tcPr>
            <w:tcW w:w="7087" w:type="dxa"/>
            <w:tcBorders>
              <w:top w:val="nil"/>
              <w:left w:val="nil"/>
              <w:bottom w:val="nil"/>
              <w:right w:val="nil"/>
            </w:tcBorders>
            <w:tcMar>
              <w:top w:w="57" w:type="dxa"/>
              <w:left w:w="0" w:type="dxa"/>
              <w:bottom w:w="57" w:type="dxa"/>
              <w:right w:w="0" w:type="dxa"/>
            </w:tcMar>
            <w:vAlign w:val="bottom"/>
          </w:tcPr>
          <w:p w:rsidRPr="006C2E63" w:rsidR="006C2E63" w:rsidP="006C2E63" w:rsidRDefault="006C2E63" w14:paraId="42124C0A" w14:textId="77777777">
            <w:pPr>
              <w:pStyle w:val="tablebody"/>
            </w:pPr>
            <w:r w:rsidRPr="006C2E63">
              <w:t xml:space="preserve">Managed investment schemes </w:t>
            </w:r>
            <w:r w:rsidRPr="006C2E63">
              <w:rPr>
                <w:vertAlign w:val="superscript"/>
              </w:rPr>
              <w:t>(ii)</w:t>
            </w: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5B25E7" w:rsidRDefault="006C2E63" w14:paraId="52FBF505" w14:textId="77777777">
            <w:pPr>
              <w:pStyle w:val="tablebody"/>
              <w:jc w:val="right"/>
              <w:rPr>
                <w:lang w:val="en-US"/>
              </w:rPr>
            </w:pPr>
          </w:p>
        </w:tc>
        <w:tc>
          <w:tcPr>
            <w:tcW w:w="1417" w:type="dxa"/>
            <w:tcBorders>
              <w:top w:val="nil"/>
              <w:left w:val="nil"/>
              <w:bottom w:val="nil"/>
              <w:right w:val="nil"/>
            </w:tcBorders>
            <w:tcMar>
              <w:top w:w="57" w:type="dxa"/>
              <w:left w:w="0" w:type="dxa"/>
              <w:bottom w:w="57" w:type="dxa"/>
              <w:right w:w="0" w:type="dxa"/>
            </w:tcMar>
            <w:vAlign w:val="bottom"/>
          </w:tcPr>
          <w:p w:rsidRPr="006C2E63" w:rsidR="006C2E63" w:rsidP="005B25E7" w:rsidRDefault="006C2E63" w14:paraId="26F3B568" w14:textId="77777777">
            <w:pPr>
              <w:pStyle w:val="tablebody"/>
              <w:jc w:val="right"/>
              <w:rPr>
                <w:lang w:val="en-US"/>
              </w:rPr>
            </w:pPr>
          </w:p>
        </w:tc>
      </w:tr>
      <w:tr w:rsidRPr="006C2E63" w:rsidR="006C2E63" w:rsidTr="005B25E7" w14:paraId="6BCDA3EA" w14:textId="77777777">
        <w:tc>
          <w:tcPr>
            <w:tcW w:w="708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6C2E63" w:rsidRDefault="006C2E63" w14:paraId="37D0ADBF" w14:textId="77777777">
            <w:pPr>
              <w:pStyle w:val="tablebody"/>
            </w:pPr>
            <w:r w:rsidRPr="006C2E63">
              <w:t>-Multi-strategy funds</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5B25E7" w:rsidRDefault="006C2E63" w14:paraId="5BA6596B" w14:textId="77777777">
            <w:pPr>
              <w:pStyle w:val="tablebody"/>
              <w:jc w:val="right"/>
            </w:pPr>
            <w:r w:rsidRPr="006C2E63">
              <w:t xml:space="preserve">205,629 </w:t>
            </w:r>
          </w:p>
        </w:tc>
        <w:tc>
          <w:tcPr>
            <w:tcW w:w="1417" w:type="dxa"/>
            <w:tcBorders>
              <w:top w:val="nil"/>
              <w:left w:val="nil"/>
              <w:bottom w:val="single" w:color="000000" w:sz="6" w:space="0"/>
              <w:right w:val="nil"/>
            </w:tcBorders>
            <w:tcMar>
              <w:top w:w="57" w:type="dxa"/>
              <w:left w:w="0" w:type="dxa"/>
              <w:bottom w:w="57" w:type="dxa"/>
              <w:right w:w="0" w:type="dxa"/>
            </w:tcMar>
            <w:vAlign w:val="bottom"/>
          </w:tcPr>
          <w:p w:rsidRPr="006C2E63" w:rsidR="006C2E63" w:rsidP="005B25E7" w:rsidRDefault="006C2E63" w14:paraId="17C14054" w14:textId="77777777">
            <w:pPr>
              <w:pStyle w:val="tablebody"/>
              <w:jc w:val="right"/>
            </w:pPr>
            <w:r w:rsidRPr="006C2E63">
              <w:t xml:space="preserve">222,049 </w:t>
            </w:r>
          </w:p>
        </w:tc>
      </w:tr>
      <w:tr w:rsidRPr="005B25E7" w:rsidR="006C2E63" w:rsidTr="005B25E7" w14:paraId="59CA3EBC"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6C2E63" w:rsidRDefault="006C2E63" w14:paraId="4B163A33" w14:textId="77777777">
            <w:pPr>
              <w:pStyle w:val="tablebody"/>
              <w:rPr>
                <w:b/>
              </w:rPr>
            </w:pPr>
            <w:r w:rsidRPr="005B25E7">
              <w:rPr>
                <w:b/>
              </w:rPr>
              <w:t>Total non-current investments and other financial assets</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2EC38979" w14:textId="77777777">
            <w:pPr>
              <w:pStyle w:val="tablebody"/>
              <w:jc w:val="right"/>
              <w:rPr>
                <w:b/>
              </w:rPr>
            </w:pPr>
            <w:r w:rsidRPr="005B25E7">
              <w:rPr>
                <w:b/>
              </w:rPr>
              <w:t xml:space="preserve">205,629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1E7DC3B8" w14:textId="77777777">
            <w:pPr>
              <w:pStyle w:val="tablebody"/>
              <w:jc w:val="right"/>
              <w:rPr>
                <w:b/>
              </w:rPr>
            </w:pPr>
            <w:r w:rsidRPr="005B25E7">
              <w:rPr>
                <w:b/>
              </w:rPr>
              <w:t xml:space="preserve">222,049 </w:t>
            </w:r>
          </w:p>
        </w:tc>
      </w:tr>
      <w:tr w:rsidRPr="005B25E7" w:rsidR="006C2E63" w:rsidTr="005B25E7" w14:paraId="4F997337"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6C2E63" w:rsidRDefault="006C2E63" w14:paraId="3ED5AAC8" w14:textId="77777777">
            <w:pPr>
              <w:pStyle w:val="tablebody"/>
              <w:rPr>
                <w:b/>
              </w:rPr>
            </w:pPr>
            <w:r w:rsidRPr="005B25E7">
              <w:rPr>
                <w:b/>
              </w:rPr>
              <w:t>Total investments and other financial assets</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2605977F" w14:textId="77777777">
            <w:pPr>
              <w:pStyle w:val="tablebody"/>
              <w:jc w:val="right"/>
              <w:rPr>
                <w:b/>
              </w:rPr>
            </w:pPr>
            <w:r w:rsidRPr="005B25E7">
              <w:rPr>
                <w:b/>
              </w:rPr>
              <w:t xml:space="preserve">205,629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5B25E7" w:rsidR="006C2E63" w:rsidP="005B25E7" w:rsidRDefault="006C2E63" w14:paraId="3F9198A3" w14:textId="77777777">
            <w:pPr>
              <w:pStyle w:val="tablebody"/>
              <w:jc w:val="right"/>
              <w:rPr>
                <w:b/>
              </w:rPr>
            </w:pPr>
            <w:r w:rsidRPr="005B25E7">
              <w:rPr>
                <w:b/>
              </w:rPr>
              <w:t xml:space="preserve">246,703 </w:t>
            </w:r>
          </w:p>
        </w:tc>
      </w:tr>
    </w:tbl>
    <w:p w:rsidRPr="006C2E63" w:rsidR="006C2E63" w:rsidP="005B25E7" w:rsidRDefault="006C2E63" w14:paraId="2A234A25" w14:textId="2535FBDE">
      <w:pPr>
        <w:pStyle w:val="notes"/>
        <w:spacing w:after="0"/>
        <w:ind w:left="284" w:hanging="284"/>
      </w:pPr>
      <w:r w:rsidRPr="006C2E63">
        <w:t xml:space="preserve">(i) </w:t>
      </w:r>
      <w:r w:rsidR="005B25E7">
        <w:tab/>
      </w:r>
      <w:r w:rsidRPr="006C2E63">
        <w:t>Term deposits under ‘investments and other financial assets’ class include only term deposits with maturity greater than 3 months.</w:t>
      </w:r>
    </w:p>
    <w:p w:rsidR="00047807" w:rsidP="005B25E7" w:rsidRDefault="006C2E63" w14:paraId="4B3513D6" w14:textId="25D83631">
      <w:pPr>
        <w:pStyle w:val="notes"/>
        <w:spacing w:after="0"/>
        <w:ind w:left="284" w:hanging="284"/>
      </w:pPr>
      <w:r w:rsidRPr="006C2E63">
        <w:t xml:space="preserve">(ii) </w:t>
      </w:r>
      <w:r w:rsidR="005B25E7">
        <w:tab/>
      </w:r>
      <w:r w:rsidRPr="006C2E63">
        <w:t>The department designated all its managed investment schemes at fair value through net result.</w:t>
      </w:r>
    </w:p>
    <w:p w:rsidR="005B25E7" w:rsidRDefault="005B25E7" w14:paraId="72A3CDB0" w14:textId="1116DB9E">
      <w:pPr>
        <w:spacing w:after="0"/>
        <w:rPr>
          <w:sz w:val="15"/>
          <w:szCs w:val="15"/>
          <w:lang w:val="en-AU"/>
        </w:rPr>
      </w:pPr>
      <w:r>
        <w:rPr>
          <w:lang w:val="en-AU"/>
        </w:rPr>
        <w:br w:type="page"/>
      </w:r>
    </w:p>
    <w:p w:rsidRPr="005B25E7" w:rsidR="005B25E7" w:rsidP="005B25E7" w:rsidRDefault="005B25E7" w14:paraId="485CCDC9" w14:textId="6AE004A0">
      <w:pPr>
        <w:pStyle w:val="Heading2"/>
      </w:pPr>
      <w:bookmarkStart w:id="20" w:name="_Toc21870908"/>
      <w:r w:rsidRPr="005B25E7">
        <w:lastRenderedPageBreak/>
        <w:t>6. Other assets and liabilities</w:t>
      </w:r>
      <w:bookmarkEnd w:id="20"/>
    </w:p>
    <w:p w:rsidRPr="005B25E7" w:rsidR="005B25E7" w:rsidP="005B25E7" w:rsidRDefault="005B25E7" w14:paraId="2B4F841B" w14:textId="77777777">
      <w:pPr>
        <w:pStyle w:val="Heading3"/>
      </w:pPr>
      <w:r w:rsidRPr="005B25E7">
        <w:t>6.1 Introduction</w:t>
      </w:r>
    </w:p>
    <w:p w:rsidRPr="005B25E7" w:rsidR="005B25E7" w:rsidP="005B25E7" w:rsidRDefault="005B25E7" w14:paraId="248BC724" w14:textId="77777777">
      <w:r w:rsidRPr="005B25E7">
        <w:t>This note sets out those assets and liabilities that arose from the department’s controlled operations.</w:t>
      </w:r>
    </w:p>
    <w:p w:rsidRPr="005B25E7" w:rsidR="005B25E7" w:rsidP="005B25E7" w:rsidRDefault="005B25E7" w14:paraId="023BD338" w14:textId="2F1E5E5F">
      <w:pPr>
        <w:pStyle w:val="Heading3"/>
      </w:pPr>
      <w:r w:rsidRPr="005B25E7">
        <w:t>6.2 Receivables</w:t>
      </w:r>
    </w:p>
    <w:tbl>
      <w:tblPr>
        <w:tblW w:w="0" w:type="auto"/>
        <w:tblLayout w:type="fixed"/>
        <w:tblCellMar>
          <w:left w:w="0" w:type="dxa"/>
          <w:right w:w="0" w:type="dxa"/>
        </w:tblCellMar>
        <w:tblLook w:firstRow="1" w:lastRow="0" w:firstColumn="0" w:lastColumn="0" w:noHBand="0" w:noVBand="0" w:val="0020"/>
      </w:tblPr>
      <w:tblGrid>
        <w:gridCol w:w="7098"/>
        <w:gridCol w:w="1417"/>
        <w:gridCol w:w="1418"/>
      </w:tblGrid>
      <w:tr w:rsidRPr="005B25E7" w:rsidR="005B25E7" w:rsidTr="005B25E7" w14:paraId="3CEA2631" w14:textId="77777777">
        <w:trPr>
          <w:tblHeader/>
        </w:trPr>
        <w:tc>
          <w:tcPr>
            <w:tcW w:w="709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6DA2FD14" w14:textId="77777777">
            <w:pPr>
              <w:pStyle w:val="tablebody"/>
              <w:rPr>
                <w:b/>
                <w:lang w:val="en-US"/>
              </w:rPr>
            </w:pP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20D3E4CC" w14:textId="77777777">
            <w:pPr>
              <w:pStyle w:val="tablebody"/>
              <w:rPr>
                <w:b/>
                <w:lang w:val="en-US"/>
              </w:rPr>
            </w:pPr>
          </w:p>
        </w:tc>
        <w:tc>
          <w:tcPr>
            <w:tcW w:w="141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7BFD3BC0" w14:textId="77777777">
            <w:pPr>
              <w:pStyle w:val="tablebody"/>
              <w:rPr>
                <w:b/>
              </w:rPr>
            </w:pPr>
            <w:r w:rsidRPr="005B25E7">
              <w:rPr>
                <w:b/>
              </w:rPr>
              <w:t>($ thousand)</w:t>
            </w:r>
          </w:p>
        </w:tc>
      </w:tr>
      <w:tr w:rsidRPr="005B25E7" w:rsidR="005B25E7" w:rsidTr="005B25E7" w14:paraId="660A10B7" w14:textId="77777777">
        <w:trPr>
          <w:tblHeader/>
        </w:trPr>
        <w:tc>
          <w:tcPr>
            <w:tcW w:w="709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7CB287BB"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680E005A" w14:textId="77777777">
            <w:pPr>
              <w:pStyle w:val="tablebody"/>
              <w:rPr>
                <w:b/>
              </w:rPr>
            </w:pPr>
            <w:r w:rsidRPr="005B25E7">
              <w:rPr>
                <w:b/>
              </w:rPr>
              <w:t>2019</w:t>
            </w:r>
          </w:p>
        </w:tc>
        <w:tc>
          <w:tcPr>
            <w:tcW w:w="141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7C305A6D" w14:textId="77777777">
            <w:pPr>
              <w:pStyle w:val="tablebody"/>
              <w:rPr>
                <w:b/>
              </w:rPr>
            </w:pPr>
            <w:r w:rsidRPr="005B25E7">
              <w:rPr>
                <w:b/>
              </w:rPr>
              <w:t>2018</w:t>
            </w:r>
          </w:p>
        </w:tc>
      </w:tr>
      <w:tr w:rsidRPr="005B25E7" w:rsidR="005B25E7" w:rsidTr="005B25E7" w14:paraId="2B24E574" w14:textId="77777777">
        <w:tc>
          <w:tcPr>
            <w:tcW w:w="709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2B3025E8" w14:textId="77777777">
            <w:pPr>
              <w:pStyle w:val="tablebody"/>
              <w:rPr>
                <w:b/>
              </w:rPr>
            </w:pPr>
            <w:r w:rsidRPr="005B25E7">
              <w:rPr>
                <w:b/>
              </w:rPr>
              <w:t>Contractual</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712AFE8F" w14:textId="77777777">
            <w:pPr>
              <w:pStyle w:val="tablebody"/>
              <w:rPr>
                <w:b/>
                <w:lang w:val="en-US"/>
              </w:rPr>
            </w:pPr>
          </w:p>
        </w:tc>
        <w:tc>
          <w:tcPr>
            <w:tcW w:w="141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1974A684" w14:textId="77777777">
            <w:pPr>
              <w:pStyle w:val="tablebody"/>
              <w:rPr>
                <w:b/>
                <w:lang w:val="en-US"/>
              </w:rPr>
            </w:pPr>
          </w:p>
        </w:tc>
      </w:tr>
      <w:tr w:rsidRPr="005B25E7" w:rsidR="005B25E7" w:rsidTr="005B25E7" w14:paraId="0A22A783" w14:textId="77777777">
        <w:tc>
          <w:tcPr>
            <w:tcW w:w="7098" w:type="dxa"/>
            <w:tcBorders>
              <w:top w:val="nil"/>
              <w:left w:val="nil"/>
              <w:bottom w:val="nil"/>
              <w:right w:val="nil"/>
            </w:tcBorders>
            <w:tcMar>
              <w:top w:w="0" w:type="dxa"/>
              <w:left w:w="0" w:type="dxa"/>
              <w:bottom w:w="57" w:type="dxa"/>
              <w:right w:w="0" w:type="dxa"/>
            </w:tcMar>
          </w:tcPr>
          <w:p w:rsidRPr="005B25E7" w:rsidR="005B25E7" w:rsidP="005B25E7" w:rsidRDefault="005B25E7" w14:paraId="41836244" w14:textId="77777777">
            <w:pPr>
              <w:pStyle w:val="tablebody"/>
            </w:pPr>
            <w:r w:rsidRPr="005B25E7">
              <w:t>Advance to Metropolitan Fire and Emergency Services Board</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685D9D59" w14:textId="77777777">
            <w:pPr>
              <w:pStyle w:val="tablebody"/>
            </w:pPr>
            <w:r w:rsidRPr="005B25E7">
              <w:t xml:space="preserve">952 </w:t>
            </w:r>
          </w:p>
        </w:tc>
        <w:tc>
          <w:tcPr>
            <w:tcW w:w="1418" w:type="dxa"/>
            <w:tcBorders>
              <w:top w:val="nil"/>
              <w:left w:val="nil"/>
              <w:bottom w:val="nil"/>
              <w:right w:val="nil"/>
            </w:tcBorders>
            <w:tcMar>
              <w:top w:w="0" w:type="dxa"/>
              <w:left w:w="0" w:type="dxa"/>
              <w:bottom w:w="57" w:type="dxa"/>
              <w:right w:w="0" w:type="dxa"/>
            </w:tcMar>
          </w:tcPr>
          <w:p w:rsidRPr="005B25E7" w:rsidR="005B25E7" w:rsidP="005B25E7" w:rsidRDefault="005B25E7" w14:paraId="6A6A4695" w14:textId="77777777">
            <w:pPr>
              <w:pStyle w:val="tablebody"/>
            </w:pPr>
            <w:r w:rsidRPr="005B25E7">
              <w:t xml:space="preserve">1,189 </w:t>
            </w:r>
          </w:p>
        </w:tc>
      </w:tr>
      <w:tr w:rsidRPr="005B25E7" w:rsidR="005B25E7" w:rsidTr="005B25E7" w14:paraId="0B1ADADE" w14:textId="77777777">
        <w:tc>
          <w:tcPr>
            <w:tcW w:w="7098" w:type="dxa"/>
            <w:tcBorders>
              <w:top w:val="nil"/>
              <w:left w:val="nil"/>
              <w:bottom w:val="nil"/>
              <w:right w:val="nil"/>
            </w:tcBorders>
            <w:tcMar>
              <w:top w:w="0" w:type="dxa"/>
              <w:left w:w="0" w:type="dxa"/>
              <w:bottom w:w="57" w:type="dxa"/>
              <w:right w:w="0" w:type="dxa"/>
            </w:tcMar>
          </w:tcPr>
          <w:p w:rsidRPr="005B25E7" w:rsidR="005B25E7" w:rsidP="005B25E7" w:rsidRDefault="005B25E7" w14:paraId="6E80F6D9" w14:textId="77777777">
            <w:pPr>
              <w:pStyle w:val="tablebody"/>
            </w:pPr>
            <w:r w:rsidRPr="005B25E7">
              <w:t>Accrued interest income</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648ACDC1" w14:textId="77777777">
            <w:pPr>
              <w:pStyle w:val="tablebody"/>
            </w:pPr>
            <w:r w:rsidRPr="005B25E7">
              <w:t xml:space="preserve">1,750 </w:t>
            </w:r>
          </w:p>
        </w:tc>
        <w:tc>
          <w:tcPr>
            <w:tcW w:w="1418" w:type="dxa"/>
            <w:tcBorders>
              <w:top w:val="nil"/>
              <w:left w:val="nil"/>
              <w:bottom w:val="nil"/>
              <w:right w:val="nil"/>
            </w:tcBorders>
            <w:tcMar>
              <w:top w:w="0" w:type="dxa"/>
              <w:left w:w="0" w:type="dxa"/>
              <w:bottom w:w="57" w:type="dxa"/>
              <w:right w:w="0" w:type="dxa"/>
            </w:tcMar>
          </w:tcPr>
          <w:p w:rsidRPr="005B25E7" w:rsidR="005B25E7" w:rsidP="005B25E7" w:rsidRDefault="005B25E7" w14:paraId="3C0446BF" w14:textId="77777777">
            <w:pPr>
              <w:pStyle w:val="tablebody"/>
            </w:pPr>
            <w:r w:rsidRPr="005B25E7">
              <w:t xml:space="preserve">2,214 </w:t>
            </w:r>
          </w:p>
        </w:tc>
      </w:tr>
      <w:tr w:rsidRPr="005B25E7" w:rsidR="005B25E7" w:rsidTr="005B25E7" w14:paraId="32E89B3E" w14:textId="77777777">
        <w:tc>
          <w:tcPr>
            <w:tcW w:w="7098" w:type="dxa"/>
            <w:tcBorders>
              <w:top w:val="nil"/>
              <w:left w:val="nil"/>
              <w:bottom w:val="nil"/>
              <w:right w:val="nil"/>
            </w:tcBorders>
            <w:tcMar>
              <w:top w:w="0" w:type="dxa"/>
              <w:left w:w="0" w:type="dxa"/>
              <w:bottom w:w="57" w:type="dxa"/>
              <w:right w:w="0" w:type="dxa"/>
            </w:tcMar>
          </w:tcPr>
          <w:p w:rsidRPr="005B25E7" w:rsidR="005B25E7" w:rsidP="005B25E7" w:rsidRDefault="005B25E7" w14:paraId="204B2315" w14:textId="77777777">
            <w:pPr>
              <w:pStyle w:val="tablebody"/>
            </w:pPr>
            <w:r w:rsidRPr="005B25E7">
              <w:t>Other receivables</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D8DAB73" w14:textId="77777777">
            <w:pPr>
              <w:pStyle w:val="tablebody"/>
            </w:pPr>
            <w:r w:rsidRPr="005B25E7">
              <w:t xml:space="preserve">18,582 </w:t>
            </w:r>
          </w:p>
        </w:tc>
        <w:tc>
          <w:tcPr>
            <w:tcW w:w="1418" w:type="dxa"/>
            <w:tcBorders>
              <w:top w:val="nil"/>
              <w:left w:val="nil"/>
              <w:bottom w:val="nil"/>
              <w:right w:val="nil"/>
            </w:tcBorders>
            <w:tcMar>
              <w:top w:w="0" w:type="dxa"/>
              <w:left w:w="0" w:type="dxa"/>
              <w:bottom w:w="57" w:type="dxa"/>
              <w:right w:w="0" w:type="dxa"/>
            </w:tcMar>
          </w:tcPr>
          <w:p w:rsidRPr="005B25E7" w:rsidR="005B25E7" w:rsidP="005B25E7" w:rsidRDefault="005B25E7" w14:paraId="3EF75E47" w14:textId="77777777">
            <w:pPr>
              <w:pStyle w:val="tablebody"/>
            </w:pPr>
            <w:r w:rsidRPr="005B25E7">
              <w:t xml:space="preserve">14,339 </w:t>
            </w:r>
          </w:p>
        </w:tc>
      </w:tr>
      <w:tr w:rsidRPr="005B25E7" w:rsidR="005B25E7" w:rsidTr="005B25E7" w14:paraId="58F9DAA0" w14:textId="77777777">
        <w:tc>
          <w:tcPr>
            <w:tcW w:w="709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20985E03" w14:textId="77777777">
            <w:pPr>
              <w:pStyle w:val="tablebody"/>
            </w:pPr>
            <w:r w:rsidRPr="005B25E7">
              <w:t>Allowance for impairment losses of contractual receivables</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105B4D51" w14:textId="77777777">
            <w:pPr>
              <w:pStyle w:val="tablebody"/>
            </w:pPr>
            <w:r w:rsidRPr="005B25E7">
              <w:t xml:space="preserve">(1,223) </w:t>
            </w:r>
          </w:p>
        </w:tc>
        <w:tc>
          <w:tcPr>
            <w:tcW w:w="141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19B1E70F" w14:textId="77777777">
            <w:pPr>
              <w:pStyle w:val="tablebody"/>
            </w:pPr>
            <w:r w:rsidRPr="005B25E7">
              <w:t xml:space="preserve">(771) </w:t>
            </w:r>
          </w:p>
        </w:tc>
      </w:tr>
      <w:tr w:rsidRPr="005B25E7" w:rsidR="005B25E7" w:rsidTr="005B25E7" w14:paraId="1517D3F4"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04452477" w14:textId="77777777">
            <w:pPr>
              <w:pStyle w:val="tablebody"/>
              <w:rPr>
                <w:b/>
              </w:rPr>
            </w:pPr>
            <w:r w:rsidRPr="005B25E7">
              <w:rPr>
                <w:b/>
              </w:rPr>
              <w:t>Total contractual receivables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6B9491C4" w14:textId="77777777">
            <w:pPr>
              <w:pStyle w:val="tablebody"/>
              <w:rPr>
                <w:b/>
              </w:rPr>
            </w:pPr>
            <w:r w:rsidRPr="005B25E7">
              <w:rPr>
                <w:b/>
              </w:rPr>
              <w:t xml:space="preserve">20,061 </w:t>
            </w:r>
          </w:p>
        </w:tc>
        <w:tc>
          <w:tcPr>
            <w:tcW w:w="141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3DA8F04F" w14:textId="77777777">
            <w:pPr>
              <w:pStyle w:val="tablebody"/>
              <w:rPr>
                <w:b/>
              </w:rPr>
            </w:pPr>
            <w:r w:rsidRPr="005B25E7">
              <w:rPr>
                <w:b/>
              </w:rPr>
              <w:t xml:space="preserve">16,971 </w:t>
            </w:r>
          </w:p>
        </w:tc>
      </w:tr>
      <w:tr w:rsidRPr="005B25E7" w:rsidR="005B25E7" w:rsidTr="005B25E7" w14:paraId="60DCCF5E" w14:textId="77777777">
        <w:tc>
          <w:tcPr>
            <w:tcW w:w="709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4E2AF588" w14:textId="77777777">
            <w:pPr>
              <w:pStyle w:val="tablebody"/>
              <w:rPr>
                <w:b/>
              </w:rPr>
            </w:pPr>
            <w:r w:rsidRPr="005B25E7">
              <w:rPr>
                <w:b/>
              </w:rPr>
              <w:t>Statutory</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611A3D98" w14:textId="77777777">
            <w:pPr>
              <w:pStyle w:val="tablebody"/>
              <w:rPr>
                <w:b/>
                <w:lang w:val="en-US"/>
              </w:rPr>
            </w:pPr>
          </w:p>
        </w:tc>
        <w:tc>
          <w:tcPr>
            <w:tcW w:w="141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46B9CC3B" w14:textId="77777777">
            <w:pPr>
              <w:pStyle w:val="tablebody"/>
              <w:rPr>
                <w:b/>
                <w:lang w:val="en-US"/>
              </w:rPr>
            </w:pPr>
          </w:p>
        </w:tc>
      </w:tr>
      <w:tr w:rsidRPr="005B25E7" w:rsidR="005B25E7" w:rsidTr="005B25E7" w14:paraId="20869D2E" w14:textId="77777777">
        <w:tc>
          <w:tcPr>
            <w:tcW w:w="7098" w:type="dxa"/>
            <w:tcBorders>
              <w:top w:val="nil"/>
              <w:left w:val="nil"/>
              <w:bottom w:val="nil"/>
              <w:right w:val="nil"/>
            </w:tcBorders>
            <w:tcMar>
              <w:top w:w="0" w:type="dxa"/>
              <w:left w:w="0" w:type="dxa"/>
              <w:bottom w:w="57" w:type="dxa"/>
              <w:right w:w="0" w:type="dxa"/>
            </w:tcMar>
          </w:tcPr>
          <w:p w:rsidRPr="005B25E7" w:rsidR="005B25E7" w:rsidP="005B25E7" w:rsidRDefault="005B25E7" w14:paraId="120C447C" w14:textId="77777777">
            <w:pPr>
              <w:pStyle w:val="tablebody"/>
            </w:pPr>
            <w:r w:rsidRPr="005B25E7">
              <w:t>Amounts owing from Victorian Government</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BABFBC5" w14:textId="77777777">
            <w:pPr>
              <w:pStyle w:val="tablebody"/>
            </w:pPr>
            <w:r w:rsidRPr="005B25E7">
              <w:t xml:space="preserve">1,064,672 </w:t>
            </w:r>
          </w:p>
        </w:tc>
        <w:tc>
          <w:tcPr>
            <w:tcW w:w="1418" w:type="dxa"/>
            <w:tcBorders>
              <w:top w:val="nil"/>
              <w:left w:val="nil"/>
              <w:bottom w:val="nil"/>
              <w:right w:val="nil"/>
            </w:tcBorders>
            <w:tcMar>
              <w:top w:w="0" w:type="dxa"/>
              <w:left w:w="0" w:type="dxa"/>
              <w:bottom w:w="57" w:type="dxa"/>
              <w:right w:w="0" w:type="dxa"/>
            </w:tcMar>
          </w:tcPr>
          <w:p w:rsidRPr="005B25E7" w:rsidR="005B25E7" w:rsidP="005B25E7" w:rsidRDefault="005B25E7" w14:paraId="0FE6B3A6" w14:textId="77777777">
            <w:pPr>
              <w:pStyle w:val="tablebody"/>
            </w:pPr>
            <w:r w:rsidRPr="005B25E7">
              <w:t xml:space="preserve">1,008,359 </w:t>
            </w:r>
          </w:p>
        </w:tc>
      </w:tr>
      <w:tr w:rsidRPr="005B25E7" w:rsidR="005B25E7" w:rsidTr="005B25E7" w14:paraId="279A0FCA" w14:textId="77777777">
        <w:tc>
          <w:tcPr>
            <w:tcW w:w="709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6748B830" w14:textId="77777777">
            <w:pPr>
              <w:pStyle w:val="tablebody"/>
            </w:pPr>
            <w:r w:rsidRPr="005B25E7">
              <w:t>GST input tax credit recoverable</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6BCEF867" w14:textId="77777777">
            <w:pPr>
              <w:pStyle w:val="tablebody"/>
            </w:pPr>
            <w:r w:rsidRPr="005B25E7">
              <w:t xml:space="preserve">35,952 </w:t>
            </w:r>
          </w:p>
        </w:tc>
        <w:tc>
          <w:tcPr>
            <w:tcW w:w="141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7E1C87FE" w14:textId="77777777">
            <w:pPr>
              <w:pStyle w:val="tablebody"/>
            </w:pPr>
            <w:r w:rsidRPr="005B25E7">
              <w:t xml:space="preserve">36,315 </w:t>
            </w:r>
          </w:p>
        </w:tc>
      </w:tr>
      <w:tr w:rsidRPr="005B25E7" w:rsidR="005B25E7" w:rsidTr="005B25E7" w14:paraId="0BBBE5F1"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5C5C7D3E" w14:textId="77777777">
            <w:pPr>
              <w:pStyle w:val="tablebody"/>
              <w:rPr>
                <w:b/>
              </w:rPr>
            </w:pPr>
            <w:r w:rsidRPr="005B25E7">
              <w:rPr>
                <w:b/>
              </w:rPr>
              <w:t>Total statutory receivables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633D8A97" w14:textId="77777777">
            <w:pPr>
              <w:pStyle w:val="tablebody"/>
              <w:rPr>
                <w:b/>
              </w:rPr>
            </w:pPr>
            <w:r w:rsidRPr="005B25E7">
              <w:rPr>
                <w:b/>
              </w:rPr>
              <w:t xml:space="preserve">1,100,624 </w:t>
            </w:r>
          </w:p>
        </w:tc>
        <w:tc>
          <w:tcPr>
            <w:tcW w:w="141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4AFA9F3E" w14:textId="77777777">
            <w:pPr>
              <w:pStyle w:val="tablebody"/>
              <w:rPr>
                <w:b/>
              </w:rPr>
            </w:pPr>
            <w:r w:rsidRPr="005B25E7">
              <w:rPr>
                <w:b/>
              </w:rPr>
              <w:t xml:space="preserve">1,044,674 </w:t>
            </w:r>
          </w:p>
        </w:tc>
      </w:tr>
      <w:tr w:rsidRPr="005B25E7" w:rsidR="005B25E7" w:rsidTr="005B25E7" w14:paraId="2302A09D" w14:textId="77777777">
        <w:tc>
          <w:tcPr>
            <w:tcW w:w="709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42710EEA" w14:textId="77777777">
            <w:pPr>
              <w:pStyle w:val="tablebody"/>
              <w:rPr>
                <w:b/>
              </w:rPr>
            </w:pPr>
            <w:r w:rsidRPr="005B25E7">
              <w:rPr>
                <w:b/>
              </w:rPr>
              <w:t>Total receivables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065601F9" w14:textId="77777777">
            <w:pPr>
              <w:pStyle w:val="tablebody"/>
              <w:rPr>
                <w:b/>
              </w:rPr>
            </w:pPr>
            <w:r w:rsidRPr="005B25E7">
              <w:rPr>
                <w:b/>
              </w:rPr>
              <w:t xml:space="preserve">1,120,685 </w:t>
            </w:r>
          </w:p>
        </w:tc>
        <w:tc>
          <w:tcPr>
            <w:tcW w:w="1418"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2C967491" w14:textId="77777777">
            <w:pPr>
              <w:pStyle w:val="tablebody"/>
              <w:rPr>
                <w:b/>
              </w:rPr>
            </w:pPr>
            <w:r w:rsidRPr="005B25E7">
              <w:rPr>
                <w:b/>
              </w:rPr>
              <w:t xml:space="preserve">1,061,645 </w:t>
            </w:r>
          </w:p>
        </w:tc>
      </w:tr>
      <w:tr w:rsidRPr="005B25E7" w:rsidR="005B25E7" w:rsidTr="005B25E7" w14:paraId="3DDDAFC1" w14:textId="77777777">
        <w:tc>
          <w:tcPr>
            <w:tcW w:w="709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36D87AE1" w14:textId="77777777">
            <w:pPr>
              <w:pStyle w:val="tablebody"/>
            </w:pPr>
            <w:r w:rsidRPr="005B25E7">
              <w:t>Represented by</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29EEED65" w14:textId="77777777">
            <w:pPr>
              <w:pStyle w:val="tablebody"/>
              <w:rPr>
                <w:lang w:val="en-US"/>
              </w:rPr>
            </w:pPr>
          </w:p>
        </w:tc>
        <w:tc>
          <w:tcPr>
            <w:tcW w:w="1418"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4E16057F" w14:textId="77777777">
            <w:pPr>
              <w:pStyle w:val="tablebody"/>
              <w:rPr>
                <w:lang w:val="en-US"/>
              </w:rPr>
            </w:pPr>
          </w:p>
        </w:tc>
      </w:tr>
      <w:tr w:rsidRPr="005B25E7" w:rsidR="005B25E7" w:rsidTr="005B25E7" w14:paraId="4658B533" w14:textId="77777777">
        <w:tc>
          <w:tcPr>
            <w:tcW w:w="7098" w:type="dxa"/>
            <w:tcBorders>
              <w:top w:val="nil"/>
              <w:left w:val="nil"/>
              <w:bottom w:val="nil"/>
              <w:right w:val="nil"/>
            </w:tcBorders>
            <w:tcMar>
              <w:top w:w="0" w:type="dxa"/>
              <w:left w:w="284" w:type="dxa"/>
              <w:bottom w:w="57" w:type="dxa"/>
              <w:right w:w="0" w:type="dxa"/>
            </w:tcMar>
          </w:tcPr>
          <w:p w:rsidRPr="005B25E7" w:rsidR="005B25E7" w:rsidP="005B25E7" w:rsidRDefault="005B25E7" w14:paraId="7ABADBDC" w14:textId="77777777">
            <w:pPr>
              <w:pStyle w:val="tablebody"/>
            </w:pPr>
            <w:r w:rsidRPr="005B25E7">
              <w:t>Current receivables</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6D9191E9" w14:textId="77777777">
            <w:pPr>
              <w:pStyle w:val="tablebody"/>
            </w:pPr>
            <w:r w:rsidRPr="005B25E7">
              <w:t xml:space="preserve">994,975 </w:t>
            </w:r>
          </w:p>
        </w:tc>
        <w:tc>
          <w:tcPr>
            <w:tcW w:w="1418" w:type="dxa"/>
            <w:tcBorders>
              <w:top w:val="nil"/>
              <w:left w:val="nil"/>
              <w:bottom w:val="nil"/>
              <w:right w:val="nil"/>
            </w:tcBorders>
            <w:tcMar>
              <w:top w:w="0" w:type="dxa"/>
              <w:left w:w="0" w:type="dxa"/>
              <w:bottom w:w="57" w:type="dxa"/>
              <w:right w:w="0" w:type="dxa"/>
            </w:tcMar>
          </w:tcPr>
          <w:p w:rsidRPr="005B25E7" w:rsidR="005B25E7" w:rsidP="005B25E7" w:rsidRDefault="005B25E7" w14:paraId="049795C1" w14:textId="77777777">
            <w:pPr>
              <w:pStyle w:val="tablebody"/>
            </w:pPr>
            <w:r w:rsidRPr="005B25E7">
              <w:t xml:space="preserve">868,569 </w:t>
            </w:r>
          </w:p>
        </w:tc>
      </w:tr>
      <w:tr w:rsidRPr="005B25E7" w:rsidR="005B25E7" w:rsidTr="005B25E7" w14:paraId="6BDF6B04" w14:textId="77777777">
        <w:tc>
          <w:tcPr>
            <w:tcW w:w="7098" w:type="dxa"/>
            <w:tcBorders>
              <w:top w:val="nil"/>
              <w:left w:val="nil"/>
              <w:bottom w:val="single" w:color="000000" w:sz="6" w:space="0"/>
              <w:right w:val="nil"/>
            </w:tcBorders>
            <w:tcMar>
              <w:top w:w="0" w:type="dxa"/>
              <w:left w:w="284" w:type="dxa"/>
              <w:bottom w:w="57" w:type="dxa"/>
              <w:right w:w="0" w:type="dxa"/>
            </w:tcMar>
          </w:tcPr>
          <w:p w:rsidRPr="005B25E7" w:rsidR="005B25E7" w:rsidP="005B25E7" w:rsidRDefault="005B25E7" w14:paraId="418D5F0D" w14:textId="77777777">
            <w:pPr>
              <w:pStyle w:val="tablebody"/>
            </w:pPr>
            <w:r w:rsidRPr="005B25E7">
              <w:t>Non-current receivables</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678457BA" w14:textId="77777777">
            <w:pPr>
              <w:pStyle w:val="tablebody"/>
            </w:pPr>
            <w:r w:rsidRPr="005B25E7">
              <w:t xml:space="preserve">125,710 </w:t>
            </w:r>
          </w:p>
        </w:tc>
        <w:tc>
          <w:tcPr>
            <w:tcW w:w="1418"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5B266AE3" w14:textId="77777777">
            <w:pPr>
              <w:pStyle w:val="tablebody"/>
            </w:pPr>
            <w:r w:rsidRPr="005B25E7">
              <w:t xml:space="preserve">193,076 </w:t>
            </w:r>
          </w:p>
        </w:tc>
      </w:tr>
    </w:tbl>
    <w:p w:rsidRPr="005B25E7" w:rsidR="005B25E7" w:rsidP="005B25E7" w:rsidRDefault="005B25E7" w14:paraId="6BD7E68E" w14:textId="77777777">
      <w:r w:rsidRPr="005B25E7">
        <w:rPr>
          <w:b/>
        </w:rPr>
        <w:t>Contractual receivables</w:t>
      </w:r>
      <w:r w:rsidRPr="005B25E7">
        <w:t xml:space="preserve"> arise from an agreement between the department and another party.  They are classified as financial instruments and categorised as ‘financial assets at amortised costs’.  They are initially recognised at fair value plus any directly attributable transaction costs, and are subsequently measured at amortised cost using the effective interest method, less any impairment.</w:t>
      </w:r>
    </w:p>
    <w:p w:rsidRPr="005B25E7" w:rsidR="005B25E7" w:rsidP="005B25E7" w:rsidRDefault="005B25E7" w14:paraId="54B4BA10" w14:textId="77777777">
      <w:r w:rsidRPr="005B25E7">
        <w:rPr>
          <w:b/>
        </w:rPr>
        <w:t>Statutory receivables</w:t>
      </w:r>
      <w:r w:rsidRPr="005B25E7">
        <w:t xml:space="preserve"> do not arise from contracts and are recognised and measured similarly to contractual receivables, but are not classified as financial instruments for disclosure purposes.  Amounts owing from the Victorian Government represent funding for all commitments incurred and are drawn from the Consolidated Fund as the commitments fall due.</w:t>
      </w:r>
    </w:p>
    <w:p w:rsidRPr="005B25E7" w:rsidR="005B25E7" w:rsidP="005B25E7" w:rsidRDefault="005B25E7" w14:paraId="3452E7FB" w14:textId="77777777">
      <w:r w:rsidRPr="005B25E7">
        <w:t>Details about the department’s impairment policies, exposure to credit risk, and calculations of the allowance for impairment losses of contractual receivables are set out in note 8.2.3.</w:t>
      </w:r>
    </w:p>
    <w:p w:rsidRPr="005B25E7" w:rsidR="005B25E7" w:rsidP="005B25E7" w:rsidRDefault="005B25E7" w14:paraId="1C33B76A" w14:textId="635B9238">
      <w:pPr>
        <w:pStyle w:val="Heading3"/>
      </w:pPr>
      <w:r w:rsidRPr="005B25E7">
        <w:t>6.3 Payables</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5B25E7" w:rsidR="005B25E7" w:rsidTr="005B25E7" w14:paraId="2CCE0B8F" w14:textId="77777777">
        <w:trPr>
          <w:tblHeader/>
        </w:trPr>
        <w:tc>
          <w:tcPr>
            <w:tcW w:w="708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11E93CDF" w14:textId="77777777">
            <w:pPr>
              <w:pStyle w:val="tablebody"/>
              <w:rPr>
                <w:b/>
                <w:lang w:val="en-US"/>
              </w:rPr>
            </w:pP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3BD0FC9F" w14:textId="77777777">
            <w:pPr>
              <w:pStyle w:val="tablebody"/>
              <w:jc w:val="right"/>
              <w:rPr>
                <w:b/>
                <w:lang w:val="en-US"/>
              </w:rPr>
            </w:pP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5B782FC9" w14:textId="77777777">
            <w:pPr>
              <w:pStyle w:val="tablebody"/>
              <w:jc w:val="right"/>
              <w:rPr>
                <w:b/>
              </w:rPr>
            </w:pPr>
            <w:r w:rsidRPr="005B25E7">
              <w:rPr>
                <w:b/>
              </w:rPr>
              <w:t>($ thousand)</w:t>
            </w:r>
          </w:p>
        </w:tc>
      </w:tr>
      <w:tr w:rsidRPr="005B25E7" w:rsidR="005B25E7" w:rsidTr="005B25E7" w14:paraId="6107DDF1" w14:textId="77777777">
        <w:trPr>
          <w:tblHeader/>
        </w:trPr>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0E67A10D"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389A1629" w14:textId="77777777">
            <w:pPr>
              <w:pStyle w:val="tablebody"/>
              <w:jc w:val="right"/>
              <w:rPr>
                <w:b/>
              </w:rPr>
            </w:pPr>
            <w:r w:rsidRPr="005B25E7">
              <w:rPr>
                <w:b/>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0A5103B5" w14:textId="77777777">
            <w:pPr>
              <w:pStyle w:val="tablebody"/>
              <w:jc w:val="right"/>
              <w:rPr>
                <w:b/>
              </w:rPr>
            </w:pPr>
            <w:r w:rsidRPr="005B25E7">
              <w:rPr>
                <w:b/>
              </w:rPr>
              <w:t>2018</w:t>
            </w:r>
          </w:p>
        </w:tc>
      </w:tr>
      <w:tr w:rsidRPr="005B25E7" w:rsidR="005B25E7" w:rsidTr="005B25E7" w14:paraId="34DE4D5A" w14:textId="77777777">
        <w:tc>
          <w:tcPr>
            <w:tcW w:w="708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05DA4052" w14:textId="77777777">
            <w:pPr>
              <w:pStyle w:val="tablebody"/>
              <w:rPr>
                <w:b/>
              </w:rPr>
            </w:pPr>
            <w:r w:rsidRPr="005B25E7">
              <w:rPr>
                <w:b/>
              </w:rPr>
              <w:t>Contractual</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20E22E22" w14:textId="77777777">
            <w:pPr>
              <w:pStyle w:val="tablebody"/>
              <w:jc w:val="right"/>
              <w:rPr>
                <w:b/>
                <w:lang w:val="en-US"/>
              </w:rPr>
            </w:pP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20108580" w14:textId="77777777">
            <w:pPr>
              <w:pStyle w:val="tablebody"/>
              <w:jc w:val="right"/>
              <w:rPr>
                <w:b/>
                <w:lang w:val="en-US"/>
              </w:rPr>
            </w:pPr>
          </w:p>
        </w:tc>
      </w:tr>
      <w:tr w:rsidRPr="005B25E7" w:rsidR="005B25E7" w:rsidTr="005B25E7" w14:paraId="19A6A4B0" w14:textId="77777777">
        <w:tc>
          <w:tcPr>
            <w:tcW w:w="7087" w:type="dxa"/>
            <w:tcBorders>
              <w:top w:val="nil"/>
              <w:left w:val="nil"/>
              <w:bottom w:val="nil"/>
              <w:right w:val="nil"/>
            </w:tcBorders>
            <w:tcMar>
              <w:top w:w="0" w:type="dxa"/>
              <w:left w:w="0" w:type="dxa"/>
              <w:bottom w:w="57" w:type="dxa"/>
              <w:right w:w="0" w:type="dxa"/>
            </w:tcMar>
          </w:tcPr>
          <w:p w:rsidRPr="005B25E7" w:rsidR="005B25E7" w:rsidP="005B25E7" w:rsidRDefault="005B25E7" w14:paraId="4F4A44F8" w14:textId="77777777">
            <w:pPr>
              <w:pStyle w:val="tablebody"/>
            </w:pPr>
            <w:r w:rsidRPr="005B25E7">
              <w:t>Trade creditors and other payables</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6F44BEAC" w14:textId="77777777">
            <w:pPr>
              <w:pStyle w:val="tablebody"/>
              <w:jc w:val="right"/>
            </w:pPr>
            <w:r w:rsidRPr="005B25E7">
              <w:t xml:space="preserve">270,020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3B53D1DB" w14:textId="77777777">
            <w:pPr>
              <w:pStyle w:val="tablebody"/>
              <w:jc w:val="right"/>
            </w:pPr>
            <w:r w:rsidRPr="005B25E7">
              <w:t xml:space="preserve">259,601 </w:t>
            </w:r>
          </w:p>
        </w:tc>
      </w:tr>
      <w:tr w:rsidRPr="005B25E7" w:rsidR="005B25E7" w:rsidTr="005B25E7" w14:paraId="2771BC7D" w14:textId="77777777">
        <w:tc>
          <w:tcPr>
            <w:tcW w:w="7087" w:type="dxa"/>
            <w:tcBorders>
              <w:top w:val="nil"/>
              <w:left w:val="nil"/>
              <w:bottom w:val="nil"/>
              <w:right w:val="nil"/>
            </w:tcBorders>
            <w:tcMar>
              <w:top w:w="0" w:type="dxa"/>
              <w:left w:w="0" w:type="dxa"/>
              <w:bottom w:w="57" w:type="dxa"/>
              <w:right w:w="0" w:type="dxa"/>
            </w:tcMar>
          </w:tcPr>
          <w:p w:rsidRPr="005B25E7" w:rsidR="005B25E7" w:rsidP="005B25E7" w:rsidRDefault="005B25E7" w14:paraId="2908BD85" w14:textId="77777777">
            <w:pPr>
              <w:pStyle w:val="tablebody"/>
            </w:pPr>
            <w:r w:rsidRPr="005B25E7">
              <w:t>Accrued capital works</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4F5B5907" w14:textId="77777777">
            <w:pPr>
              <w:pStyle w:val="tablebody"/>
              <w:jc w:val="right"/>
            </w:pPr>
            <w:r w:rsidRPr="005B25E7">
              <w:t xml:space="preserve">55,054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E7346D8" w14:textId="77777777">
            <w:pPr>
              <w:pStyle w:val="tablebody"/>
              <w:jc w:val="right"/>
            </w:pPr>
            <w:r w:rsidRPr="005B25E7">
              <w:t xml:space="preserve">56,991 </w:t>
            </w:r>
          </w:p>
        </w:tc>
      </w:tr>
      <w:tr w:rsidRPr="005B25E7" w:rsidR="005B25E7" w:rsidTr="005B25E7" w14:paraId="14AC339F" w14:textId="77777777">
        <w:tc>
          <w:tcPr>
            <w:tcW w:w="708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5158D02A" w14:textId="77777777">
            <w:pPr>
              <w:pStyle w:val="tablebody"/>
            </w:pPr>
            <w:r w:rsidRPr="005B25E7">
              <w:t>Salaries and wages</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5736C368" w14:textId="77777777">
            <w:pPr>
              <w:pStyle w:val="tablebody"/>
              <w:jc w:val="right"/>
            </w:pPr>
            <w:r w:rsidRPr="005B25E7">
              <w:t xml:space="preserve">28,823 </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6AF3590D" w14:textId="77777777">
            <w:pPr>
              <w:pStyle w:val="tablebody"/>
              <w:jc w:val="right"/>
            </w:pPr>
            <w:r w:rsidRPr="005B25E7">
              <w:t xml:space="preserve">19,279 </w:t>
            </w:r>
          </w:p>
        </w:tc>
      </w:tr>
      <w:tr w:rsidRPr="005B25E7" w:rsidR="005B25E7" w:rsidTr="005B25E7" w14:paraId="79C7652F"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2D4523D1" w14:textId="77777777">
            <w:pPr>
              <w:pStyle w:val="tablebody"/>
              <w:rPr>
                <w:b/>
              </w:rPr>
            </w:pPr>
            <w:r w:rsidRPr="005B25E7">
              <w:rPr>
                <w:b/>
              </w:rPr>
              <w:t>Total contractual payables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507BE696" w14:textId="77777777">
            <w:pPr>
              <w:pStyle w:val="tablebody"/>
              <w:jc w:val="right"/>
              <w:rPr>
                <w:b/>
              </w:rPr>
            </w:pPr>
            <w:r w:rsidRPr="005B25E7">
              <w:rPr>
                <w:b/>
              </w:rPr>
              <w:t xml:space="preserve">353,897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3C49E448" w14:textId="77777777">
            <w:pPr>
              <w:pStyle w:val="tablebody"/>
              <w:jc w:val="right"/>
              <w:rPr>
                <w:b/>
              </w:rPr>
            </w:pPr>
            <w:r w:rsidRPr="005B25E7">
              <w:rPr>
                <w:b/>
              </w:rPr>
              <w:t xml:space="preserve">335,871 </w:t>
            </w:r>
          </w:p>
        </w:tc>
      </w:tr>
      <w:tr w:rsidRPr="005B25E7" w:rsidR="005B25E7" w:rsidTr="005B25E7" w14:paraId="236AFF07" w14:textId="77777777">
        <w:tc>
          <w:tcPr>
            <w:tcW w:w="708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7181C3C4" w14:textId="77777777">
            <w:pPr>
              <w:pStyle w:val="tablebody"/>
              <w:rPr>
                <w:b/>
              </w:rPr>
            </w:pPr>
            <w:r w:rsidRPr="005B25E7">
              <w:rPr>
                <w:b/>
              </w:rPr>
              <w:t>Statutory</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1A40349C" w14:textId="77777777">
            <w:pPr>
              <w:pStyle w:val="tablebody"/>
              <w:jc w:val="right"/>
              <w:rPr>
                <w:b/>
                <w:lang w:val="en-US"/>
              </w:rPr>
            </w:pP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2C2F08A2" w14:textId="77777777">
            <w:pPr>
              <w:pStyle w:val="tablebody"/>
              <w:jc w:val="right"/>
              <w:rPr>
                <w:b/>
                <w:lang w:val="en-US"/>
              </w:rPr>
            </w:pPr>
          </w:p>
        </w:tc>
      </w:tr>
      <w:tr w:rsidRPr="005B25E7" w:rsidR="005B25E7" w:rsidTr="005B25E7" w14:paraId="4AC9179A" w14:textId="77777777">
        <w:tc>
          <w:tcPr>
            <w:tcW w:w="7087" w:type="dxa"/>
            <w:tcBorders>
              <w:top w:val="nil"/>
              <w:left w:val="nil"/>
              <w:bottom w:val="nil"/>
              <w:right w:val="nil"/>
            </w:tcBorders>
            <w:tcMar>
              <w:top w:w="0" w:type="dxa"/>
              <w:left w:w="0" w:type="dxa"/>
              <w:bottom w:w="57" w:type="dxa"/>
              <w:right w:w="0" w:type="dxa"/>
            </w:tcMar>
          </w:tcPr>
          <w:p w:rsidRPr="005B25E7" w:rsidR="005B25E7" w:rsidP="005B25E7" w:rsidRDefault="005B25E7" w14:paraId="5AC670A8" w14:textId="77777777">
            <w:pPr>
              <w:pStyle w:val="tablebody"/>
            </w:pPr>
            <w:r w:rsidRPr="005B25E7">
              <w:t>Payroll tax</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09DCB0F4" w14:textId="77777777">
            <w:pPr>
              <w:pStyle w:val="tablebody"/>
              <w:jc w:val="right"/>
            </w:pPr>
            <w:r w:rsidRPr="005B25E7">
              <w:t xml:space="preserve">4,530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27D44E6" w14:textId="77777777">
            <w:pPr>
              <w:pStyle w:val="tablebody"/>
              <w:jc w:val="right"/>
            </w:pPr>
            <w:r w:rsidRPr="005B25E7">
              <w:t xml:space="preserve">3,898 </w:t>
            </w:r>
          </w:p>
        </w:tc>
      </w:tr>
      <w:tr w:rsidRPr="005B25E7" w:rsidR="005B25E7" w:rsidTr="005B25E7" w14:paraId="3802683A" w14:textId="77777777">
        <w:tc>
          <w:tcPr>
            <w:tcW w:w="7087" w:type="dxa"/>
            <w:tcBorders>
              <w:top w:val="nil"/>
              <w:left w:val="nil"/>
              <w:bottom w:val="nil"/>
              <w:right w:val="nil"/>
            </w:tcBorders>
            <w:tcMar>
              <w:top w:w="0" w:type="dxa"/>
              <w:left w:w="0" w:type="dxa"/>
              <w:bottom w:w="57" w:type="dxa"/>
              <w:right w:w="0" w:type="dxa"/>
            </w:tcMar>
          </w:tcPr>
          <w:p w:rsidRPr="005B25E7" w:rsidR="005B25E7" w:rsidP="005B25E7" w:rsidRDefault="005B25E7" w14:paraId="1F9B4617" w14:textId="77777777">
            <w:pPr>
              <w:pStyle w:val="tablebody"/>
            </w:pPr>
            <w:r w:rsidRPr="005B25E7">
              <w:t>Pay as you go (PAYG) tax withheld</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22DC9D59" w14:textId="77777777">
            <w:pPr>
              <w:pStyle w:val="tablebody"/>
              <w:jc w:val="right"/>
            </w:pPr>
            <w:r w:rsidRPr="005B25E7">
              <w:t xml:space="preserve">4,158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048D33A1" w14:textId="77777777">
            <w:pPr>
              <w:pStyle w:val="tablebody"/>
              <w:jc w:val="right"/>
            </w:pPr>
            <w:r w:rsidRPr="005B25E7">
              <w:t xml:space="preserve">3,167 </w:t>
            </w:r>
          </w:p>
        </w:tc>
      </w:tr>
      <w:tr w:rsidRPr="005B25E7" w:rsidR="005B25E7" w:rsidTr="005B25E7" w14:paraId="646EDBBC" w14:textId="77777777">
        <w:tc>
          <w:tcPr>
            <w:tcW w:w="7087" w:type="dxa"/>
            <w:tcBorders>
              <w:top w:val="nil"/>
              <w:left w:val="nil"/>
              <w:bottom w:val="nil"/>
              <w:right w:val="nil"/>
            </w:tcBorders>
            <w:tcMar>
              <w:top w:w="0" w:type="dxa"/>
              <w:left w:w="0" w:type="dxa"/>
              <w:bottom w:w="57" w:type="dxa"/>
              <w:right w:w="0" w:type="dxa"/>
            </w:tcMar>
          </w:tcPr>
          <w:p w:rsidRPr="005B25E7" w:rsidR="005B25E7" w:rsidP="005B25E7" w:rsidRDefault="005B25E7" w14:paraId="4F655083" w14:textId="77777777">
            <w:pPr>
              <w:pStyle w:val="tablebody"/>
            </w:pPr>
            <w:r w:rsidRPr="005B25E7">
              <w:t>Fringe benefits tax</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CCE8A74" w14:textId="77777777">
            <w:pPr>
              <w:pStyle w:val="tablebody"/>
              <w:jc w:val="right"/>
            </w:pPr>
            <w:r w:rsidRPr="005B25E7">
              <w:t xml:space="preserve">226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1AA26E51" w14:textId="77777777">
            <w:pPr>
              <w:pStyle w:val="tablebody"/>
              <w:jc w:val="right"/>
            </w:pPr>
            <w:r w:rsidRPr="005B25E7">
              <w:t xml:space="preserve">135 </w:t>
            </w:r>
          </w:p>
        </w:tc>
      </w:tr>
      <w:tr w:rsidRPr="005B25E7" w:rsidR="005B25E7" w:rsidTr="005B25E7" w14:paraId="0C011B5A" w14:textId="77777777">
        <w:tc>
          <w:tcPr>
            <w:tcW w:w="708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0BF0B1FD" w14:textId="77777777">
            <w:pPr>
              <w:pStyle w:val="tablebody"/>
            </w:pPr>
            <w:r w:rsidRPr="005B25E7">
              <w:t>Amounts payable to government agencies</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2BE8DF99" w14:textId="77777777">
            <w:pPr>
              <w:pStyle w:val="tablebody"/>
              <w:jc w:val="right"/>
            </w:pPr>
            <w:r w:rsidRPr="005B25E7">
              <w:t xml:space="preserve">513,580 </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1FD6BC43" w14:textId="77777777">
            <w:pPr>
              <w:pStyle w:val="tablebody"/>
              <w:jc w:val="right"/>
            </w:pPr>
            <w:r w:rsidRPr="005B25E7">
              <w:t xml:space="preserve">521,995 </w:t>
            </w:r>
          </w:p>
        </w:tc>
      </w:tr>
      <w:tr w:rsidRPr="005B25E7" w:rsidR="005B25E7" w:rsidTr="005B25E7" w14:paraId="21C545AD"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21830A56" w14:textId="77777777">
            <w:pPr>
              <w:pStyle w:val="tablebody"/>
              <w:rPr>
                <w:b/>
              </w:rPr>
            </w:pPr>
            <w:r w:rsidRPr="005B25E7">
              <w:rPr>
                <w:b/>
              </w:rPr>
              <w:t>Total statutory payables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3B305963" w14:textId="77777777">
            <w:pPr>
              <w:pStyle w:val="tablebody"/>
              <w:jc w:val="right"/>
              <w:rPr>
                <w:b/>
              </w:rPr>
            </w:pPr>
            <w:r w:rsidRPr="005B25E7">
              <w:rPr>
                <w:b/>
              </w:rPr>
              <w:t xml:space="preserve">522,494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48E20421" w14:textId="77777777">
            <w:pPr>
              <w:pStyle w:val="tablebody"/>
              <w:jc w:val="right"/>
              <w:rPr>
                <w:b/>
              </w:rPr>
            </w:pPr>
            <w:r w:rsidRPr="005B25E7">
              <w:rPr>
                <w:b/>
              </w:rPr>
              <w:t xml:space="preserve">529,195 </w:t>
            </w:r>
          </w:p>
        </w:tc>
      </w:tr>
      <w:tr w:rsidRPr="005B25E7" w:rsidR="005B25E7" w:rsidTr="005B25E7" w14:paraId="588D558E" w14:textId="77777777">
        <w:tc>
          <w:tcPr>
            <w:tcW w:w="708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280EAF9A" w14:textId="77777777">
            <w:pPr>
              <w:pStyle w:val="tablebody"/>
              <w:rPr>
                <w:b/>
              </w:rPr>
            </w:pPr>
            <w:r w:rsidRPr="005B25E7">
              <w:rPr>
                <w:b/>
              </w:rPr>
              <w:t>Total payables</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567371CC" w14:textId="77777777">
            <w:pPr>
              <w:pStyle w:val="tablebody"/>
              <w:jc w:val="right"/>
              <w:rPr>
                <w:b/>
              </w:rPr>
            </w:pPr>
            <w:r w:rsidRPr="005B25E7">
              <w:rPr>
                <w:b/>
              </w:rPr>
              <w:t xml:space="preserve">876,391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5B25E7" w:rsidR="005B25E7" w:rsidP="005B25E7" w:rsidRDefault="005B25E7" w14:paraId="25E18A8F" w14:textId="77777777">
            <w:pPr>
              <w:pStyle w:val="tablebody"/>
              <w:jc w:val="right"/>
              <w:rPr>
                <w:b/>
              </w:rPr>
            </w:pPr>
            <w:r w:rsidRPr="005B25E7">
              <w:rPr>
                <w:b/>
              </w:rPr>
              <w:t xml:space="preserve">865,066 </w:t>
            </w:r>
          </w:p>
        </w:tc>
      </w:tr>
      <w:tr w:rsidRPr="005B25E7" w:rsidR="005B25E7" w:rsidTr="005B25E7" w14:paraId="61F4CCFB" w14:textId="77777777">
        <w:tc>
          <w:tcPr>
            <w:tcW w:w="708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41181EF9" w14:textId="77777777">
            <w:pPr>
              <w:pStyle w:val="tablebody"/>
            </w:pPr>
            <w:r w:rsidRPr="005B25E7">
              <w:t>Represented by</w:t>
            </w: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55690FFF" w14:textId="77777777">
            <w:pPr>
              <w:pStyle w:val="tablebody"/>
              <w:jc w:val="right"/>
              <w:rPr>
                <w:lang w:val="en-US"/>
              </w:rPr>
            </w:pPr>
          </w:p>
        </w:tc>
        <w:tc>
          <w:tcPr>
            <w:tcW w:w="1417" w:type="dxa"/>
            <w:tcBorders>
              <w:top w:val="single" w:color="000000" w:sz="6" w:space="0"/>
              <w:left w:val="nil"/>
              <w:bottom w:val="nil"/>
              <w:right w:val="nil"/>
            </w:tcBorders>
            <w:tcMar>
              <w:top w:w="57" w:type="dxa"/>
              <w:left w:w="0" w:type="dxa"/>
              <w:bottom w:w="57" w:type="dxa"/>
              <w:right w:w="0" w:type="dxa"/>
            </w:tcMar>
          </w:tcPr>
          <w:p w:rsidRPr="005B25E7" w:rsidR="005B25E7" w:rsidP="005B25E7" w:rsidRDefault="005B25E7" w14:paraId="3A9785CD" w14:textId="77777777">
            <w:pPr>
              <w:pStyle w:val="tablebody"/>
              <w:jc w:val="right"/>
              <w:rPr>
                <w:lang w:val="en-US"/>
              </w:rPr>
            </w:pPr>
          </w:p>
        </w:tc>
      </w:tr>
      <w:tr w:rsidRPr="005B25E7" w:rsidR="005B25E7" w:rsidTr="005B25E7" w14:paraId="6D5743F2" w14:textId="77777777">
        <w:tc>
          <w:tcPr>
            <w:tcW w:w="7087" w:type="dxa"/>
            <w:tcBorders>
              <w:top w:val="nil"/>
              <w:left w:val="nil"/>
              <w:bottom w:val="nil"/>
              <w:right w:val="nil"/>
            </w:tcBorders>
            <w:tcMar>
              <w:top w:w="0" w:type="dxa"/>
              <w:left w:w="284" w:type="dxa"/>
              <w:bottom w:w="57" w:type="dxa"/>
              <w:right w:w="0" w:type="dxa"/>
            </w:tcMar>
          </w:tcPr>
          <w:p w:rsidRPr="005B25E7" w:rsidR="005B25E7" w:rsidP="005B25E7" w:rsidRDefault="005B25E7" w14:paraId="55A5D345" w14:textId="77777777">
            <w:pPr>
              <w:pStyle w:val="tablebody"/>
            </w:pPr>
            <w:r w:rsidRPr="005B25E7">
              <w:t>Current payables</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55A6CFBD" w14:textId="77777777">
            <w:pPr>
              <w:pStyle w:val="tablebody"/>
              <w:jc w:val="right"/>
            </w:pPr>
            <w:r w:rsidRPr="005B25E7">
              <w:t xml:space="preserve">785,772 </w:t>
            </w:r>
          </w:p>
        </w:tc>
        <w:tc>
          <w:tcPr>
            <w:tcW w:w="1417" w:type="dxa"/>
            <w:tcBorders>
              <w:top w:val="nil"/>
              <w:left w:val="nil"/>
              <w:bottom w:val="nil"/>
              <w:right w:val="nil"/>
            </w:tcBorders>
            <w:tcMar>
              <w:top w:w="0" w:type="dxa"/>
              <w:left w:w="0" w:type="dxa"/>
              <w:bottom w:w="57" w:type="dxa"/>
              <w:right w:w="0" w:type="dxa"/>
            </w:tcMar>
          </w:tcPr>
          <w:p w:rsidRPr="005B25E7" w:rsidR="005B25E7" w:rsidP="005B25E7" w:rsidRDefault="005B25E7" w14:paraId="7B7C5F0C" w14:textId="77777777">
            <w:pPr>
              <w:pStyle w:val="tablebody"/>
              <w:jc w:val="right"/>
            </w:pPr>
            <w:r w:rsidRPr="005B25E7">
              <w:t xml:space="preserve">699,263 </w:t>
            </w:r>
          </w:p>
        </w:tc>
      </w:tr>
      <w:tr w:rsidRPr="005B25E7" w:rsidR="005B25E7" w:rsidTr="005B25E7" w14:paraId="06E02B07" w14:textId="77777777">
        <w:tc>
          <w:tcPr>
            <w:tcW w:w="7087" w:type="dxa"/>
            <w:tcBorders>
              <w:top w:val="nil"/>
              <w:left w:val="nil"/>
              <w:bottom w:val="single" w:color="000000" w:sz="6" w:space="0"/>
              <w:right w:val="nil"/>
            </w:tcBorders>
            <w:tcMar>
              <w:top w:w="0" w:type="dxa"/>
              <w:left w:w="284" w:type="dxa"/>
              <w:bottom w:w="57" w:type="dxa"/>
              <w:right w:w="0" w:type="dxa"/>
            </w:tcMar>
          </w:tcPr>
          <w:p w:rsidRPr="005B25E7" w:rsidR="005B25E7" w:rsidP="005B25E7" w:rsidRDefault="005B25E7" w14:paraId="0CED37F6" w14:textId="77777777">
            <w:pPr>
              <w:pStyle w:val="tablebody"/>
            </w:pPr>
            <w:r w:rsidRPr="005B25E7">
              <w:t>Non-current payables</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038899DC" w14:textId="77777777">
            <w:pPr>
              <w:pStyle w:val="tablebody"/>
              <w:jc w:val="right"/>
            </w:pPr>
            <w:r w:rsidRPr="005B25E7">
              <w:t xml:space="preserve">90,619 </w:t>
            </w:r>
          </w:p>
        </w:tc>
        <w:tc>
          <w:tcPr>
            <w:tcW w:w="1417" w:type="dxa"/>
            <w:tcBorders>
              <w:top w:val="nil"/>
              <w:left w:val="nil"/>
              <w:bottom w:val="single" w:color="000000" w:sz="6" w:space="0"/>
              <w:right w:val="nil"/>
            </w:tcBorders>
            <w:tcMar>
              <w:top w:w="0" w:type="dxa"/>
              <w:left w:w="0" w:type="dxa"/>
              <w:bottom w:w="57" w:type="dxa"/>
              <w:right w:w="0" w:type="dxa"/>
            </w:tcMar>
          </w:tcPr>
          <w:p w:rsidRPr="005B25E7" w:rsidR="005B25E7" w:rsidP="005B25E7" w:rsidRDefault="005B25E7" w14:paraId="2A8336F5" w14:textId="77777777">
            <w:pPr>
              <w:pStyle w:val="tablebody"/>
              <w:jc w:val="right"/>
            </w:pPr>
            <w:r w:rsidRPr="005B25E7">
              <w:t xml:space="preserve">165,803 </w:t>
            </w:r>
          </w:p>
        </w:tc>
      </w:tr>
    </w:tbl>
    <w:p w:rsidRPr="005B25E7" w:rsidR="005B25E7" w:rsidP="005B25E7" w:rsidRDefault="005B25E7" w14:paraId="718FB40B" w14:textId="694E2F88">
      <w:pPr>
        <w:spacing w:after="0"/>
      </w:pPr>
      <w:r w:rsidRPr="005B25E7">
        <w:rPr>
          <w:b/>
        </w:rPr>
        <w:t>Contractual payables</w:t>
      </w:r>
      <w:r w:rsidRPr="005B25E7">
        <w:t xml:space="preserve"> arise from an agreement between the department and another party.  They are classified as financial instruments and measured at amortised cost.  </w:t>
      </w:r>
    </w:p>
    <w:p w:rsidRPr="005B25E7" w:rsidR="005B25E7" w:rsidP="005B25E7" w:rsidRDefault="005B25E7" w14:paraId="30FAEB7B" w14:textId="77777777">
      <w:r w:rsidRPr="005B25E7">
        <w:t>The average credit period for trade creditors and other payables is 30 days.</w:t>
      </w:r>
    </w:p>
    <w:p w:rsidR="005B25E7" w:rsidP="005B25E7" w:rsidRDefault="005B25E7" w14:paraId="34F3E77C" w14:textId="778261F3">
      <w:r w:rsidRPr="005B25E7">
        <w:rPr>
          <w:b/>
        </w:rPr>
        <w:t>Statutory payables</w:t>
      </w:r>
      <w:r w:rsidRPr="005B25E7">
        <w:t xml:space="preserve"> do not arise from contracts and are recognised and measured similarly to contractual payables, but are not classified as financial instruments.</w:t>
      </w:r>
    </w:p>
    <w:p w:rsidRPr="005B25E7" w:rsidR="005B25E7" w:rsidP="005B25E7" w:rsidRDefault="005B25E7" w14:paraId="12F96200" w14:textId="4B3574DD">
      <w:pPr>
        <w:pStyle w:val="Heading2"/>
      </w:pPr>
      <w:bookmarkStart w:id="21" w:name="_Toc21870909"/>
      <w:r w:rsidRPr="005B25E7">
        <w:lastRenderedPageBreak/>
        <w:t>7. Financing operations</w:t>
      </w:r>
      <w:bookmarkEnd w:id="21"/>
    </w:p>
    <w:p w:rsidRPr="005B25E7" w:rsidR="005B25E7" w:rsidP="005B25E7" w:rsidRDefault="005B25E7" w14:paraId="04314B02" w14:textId="77777777">
      <w:pPr>
        <w:pStyle w:val="Heading3"/>
      </w:pPr>
      <w:r w:rsidRPr="005B25E7">
        <w:t>7.1 Introduction</w:t>
      </w:r>
    </w:p>
    <w:p w:rsidRPr="005B25E7" w:rsidR="005B25E7" w:rsidP="005B25E7" w:rsidRDefault="005B25E7" w14:paraId="72173742" w14:textId="77777777">
      <w:r w:rsidRPr="005B25E7">
        <w:t>This note provides information on the sources of finance utilised by the department during its operations, along with interest expenses (the cost of borrowings) and other information related to financing activities of the department.</w:t>
      </w:r>
    </w:p>
    <w:p w:rsidRPr="005B25E7" w:rsidR="005B25E7" w:rsidP="005B25E7" w:rsidRDefault="005B25E7" w14:paraId="7FAFCD44" w14:textId="77777777">
      <w:r w:rsidRPr="005B25E7">
        <w:t>This note includes disclosures of balances that are financial instruments (such as borrowings and cash balances).  Note 8.2 provides additional disclosures.</w:t>
      </w:r>
    </w:p>
    <w:p w:rsidRPr="005B25E7" w:rsidR="005B25E7" w:rsidP="005B25E7" w:rsidRDefault="005B25E7" w14:paraId="1662B84B" w14:textId="77777777">
      <w:pPr>
        <w:pStyle w:val="Heading3"/>
      </w:pPr>
      <w:r w:rsidRPr="005B25E7">
        <w:t>7.2 Borrowings (finance lease liabilities)</w:t>
      </w:r>
    </w:p>
    <w:p w:rsidRPr="005B25E7" w:rsidR="005B25E7" w:rsidP="005B25E7" w:rsidRDefault="005B25E7" w14:paraId="6444E232" w14:textId="77777777">
      <w:r w:rsidRPr="005B25E7">
        <w:t xml:space="preserve">The department’s borrowings consists only of its finance lease liabilities.  Finance leases are effectively secured by the leased assets, as the rights to the leased assets revert to the lessor in the event of default.  Borrowings are classified as financial instruments and are measured at amortised cost.  </w:t>
      </w:r>
    </w:p>
    <w:p w:rsidRPr="005B25E7" w:rsidR="005B25E7" w:rsidP="005B25E7" w:rsidRDefault="005B25E7" w14:paraId="41A686E9" w14:textId="77777777">
      <w:r w:rsidRPr="005B25E7">
        <w:t>At the commencement of the lease term, finance lease liabilities are recognised at amounts equal to the fair value of the leased property or, if lower, the present value of the minimum lease payment, each determined at the inception of the lease.  Minimum finance lease payments are apportioned between the reduction of the outstanding lease liability and the periodic finance expense (interest expense) which is calculated using the interest rate implicit in the lease and charged directly to the comprehensive operating statement.</w:t>
      </w:r>
    </w:p>
    <w:p w:rsidRPr="005B25E7" w:rsidR="005B25E7" w:rsidP="005B25E7" w:rsidRDefault="005B25E7" w14:paraId="2C925DF4" w14:textId="77777777">
      <w:r w:rsidRPr="005B25E7">
        <w:t>Contingent rentals associated with finance leases are recognised as an expense in the period in which they are incurred.</w:t>
      </w:r>
    </w:p>
    <w:p w:rsidRPr="005B25E7" w:rsidR="005B25E7" w:rsidP="005B25E7" w:rsidRDefault="005B25E7" w14:paraId="062B3428" w14:textId="77777777">
      <w:r w:rsidRPr="005B25E7">
        <w:rPr>
          <w:b/>
        </w:rPr>
        <w:t>Commissioned public private partnerships (PPP):</w:t>
      </w:r>
      <w:r w:rsidRPr="005B25E7">
        <w:t xml:space="preserve"> In December 2003, the State entered into a PPP arrangement with Victorian Correctional Infrastructure Partnership Pty Ltd (VCIP) for the design, construction and maintenance of two prisons, </w:t>
      </w:r>
      <w:proofErr w:type="spellStart"/>
      <w:r w:rsidRPr="005B25E7">
        <w:t>Marngoneet</w:t>
      </w:r>
      <w:proofErr w:type="spellEnd"/>
      <w:r w:rsidRPr="005B25E7">
        <w:t xml:space="preserve"> Correctional Centre and Metropolitan Remand Centre.  This contract ends in 2031.  </w:t>
      </w:r>
    </w:p>
    <w:p w:rsidRPr="005B25E7" w:rsidR="005B25E7" w:rsidP="005B25E7" w:rsidRDefault="005B25E7" w14:paraId="427CA631" w14:textId="77777777">
      <w:r w:rsidRPr="005B25E7">
        <w:t>In September 2014, the State entered into a PPP arrangement with GEO Consortium for the design, construction, operation and maintenance of Ravenhall Correctional Centre.  This contract ends in 2042.</w:t>
      </w:r>
    </w:p>
    <w:p w:rsidRPr="005B25E7" w:rsidR="005B25E7" w:rsidP="005B25E7" w:rsidRDefault="005B25E7" w14:paraId="43008077" w14:textId="77777777">
      <w:r w:rsidRPr="005B25E7">
        <w:t>The portion of total payments relating to the department’s right to use the prison assets under these contracts are accounted for as finance lease liabilities.  The payments relating to the ongoing maintenance and operation of the prisons are expensed.  Refer to note 7.5 for commitments for expenditure for PPPs.</w:t>
      </w:r>
    </w:p>
    <w:p w:rsidRPr="005B25E7" w:rsidR="005B25E7" w:rsidP="005B25E7" w:rsidRDefault="005B25E7" w14:paraId="054D26D5" w14:textId="77777777">
      <w:r w:rsidRPr="005B25E7">
        <w:rPr>
          <w:b/>
        </w:rPr>
        <w:t>Modification to the State’s payments to GEO Consortium</w:t>
      </w:r>
      <w:r w:rsidRPr="005B25E7">
        <w:t>: In May 2019, GEO refinanced its external debt, which resulted in the State being entitled to reduce its payments to GEO by $162.9 million to reflect the changes in the financing costs incurred by GEO.  This modification to the State’s payments to GEO resulted in the department being required to derecognise its remaining finance lease liability and recognise a new finance lease liability calculated by discounting the revised cash flow using a current discount rate.  As the new discount rate was significantly lower than the original discount rate, the new finance lease liability was higher than the remaining finance lease liability, which resulted in a net loss of $59.0 million being recognised at the date of the refinancing.  However, the new principal repayment and interest expense profile resulted in the future finance charges being reduced by $220.5 million.</w:t>
      </w:r>
    </w:p>
    <w:p w:rsidRPr="005B25E7" w:rsidR="005B25E7" w:rsidP="005B25E7" w:rsidRDefault="005B25E7" w14:paraId="7BD7656F" w14:textId="77777777">
      <w:r w:rsidRPr="005B25E7">
        <w:rPr>
          <w:b/>
        </w:rPr>
        <w:t>Other leasing arrangements:</w:t>
      </w:r>
      <w:r w:rsidRPr="005B25E7">
        <w:t xml:space="preserve"> The other finance leases relate to vehicles with lease terms of up to five years.  </w:t>
      </w:r>
    </w:p>
    <w:p w:rsidRPr="00547CE1" w:rsidR="00547CE1" w:rsidP="00547CE1" w:rsidRDefault="00547CE1" w14:paraId="444771F5" w14:textId="56C06EAF">
      <w:pPr>
        <w:pStyle w:val="Heading4"/>
      </w:pPr>
      <w:r w:rsidRPr="00547CE1">
        <w:t>Finance lease liabilities payable</w:t>
      </w:r>
    </w:p>
    <w:tbl>
      <w:tblPr>
        <w:tblW w:w="0" w:type="auto"/>
        <w:tblLayout w:type="fixed"/>
        <w:tblCellMar>
          <w:left w:w="0" w:type="dxa"/>
          <w:right w:w="0" w:type="dxa"/>
        </w:tblCellMar>
        <w:tblLook w:firstRow="1" w:lastRow="0" w:firstColumn="0" w:lastColumn="0" w:noHBand="0" w:noVBand="0" w:val="0020"/>
      </w:tblPr>
      <w:tblGrid>
        <w:gridCol w:w="283"/>
        <w:gridCol w:w="5103"/>
        <w:gridCol w:w="1134"/>
        <w:gridCol w:w="1134"/>
        <w:gridCol w:w="1133"/>
        <w:gridCol w:w="1134"/>
      </w:tblGrid>
      <w:tr w:rsidRPr="002A3B62" w:rsidR="00547CE1" w:rsidTr="002A3B62" w14:paraId="3585A5D0" w14:textId="77777777">
        <w:trPr>
          <w:tblHeader/>
        </w:trPr>
        <w:tc>
          <w:tcPr>
            <w:tcW w:w="283" w:type="dxa"/>
            <w:tcBorders>
              <w:top w:val="nil"/>
              <w:left w:val="nil"/>
              <w:bottom w:val="single" w:color="000000" w:sz="6" w:space="0"/>
              <w:right w:val="nil"/>
            </w:tcBorders>
            <w:tcMar>
              <w:top w:w="0" w:type="dxa"/>
              <w:left w:w="0" w:type="dxa"/>
              <w:bottom w:w="28" w:type="dxa"/>
              <w:right w:w="0" w:type="dxa"/>
            </w:tcMar>
          </w:tcPr>
          <w:p w:rsidRPr="002A3B62" w:rsidR="00547CE1" w:rsidP="00547CE1" w:rsidRDefault="00547CE1" w14:paraId="03EB8FE9" w14:textId="77777777">
            <w:pPr>
              <w:pStyle w:val="tablebody"/>
              <w:rPr>
                <w:b/>
                <w:lang w:val="en-US"/>
              </w:rPr>
            </w:pPr>
          </w:p>
        </w:tc>
        <w:tc>
          <w:tcPr>
            <w:tcW w:w="5103" w:type="dxa"/>
            <w:tcBorders>
              <w:top w:val="nil"/>
              <w:left w:val="nil"/>
              <w:bottom w:val="single" w:color="000000" w:sz="6" w:space="0"/>
              <w:right w:val="nil"/>
            </w:tcBorders>
            <w:tcMar>
              <w:top w:w="0" w:type="dxa"/>
              <w:left w:w="0" w:type="dxa"/>
              <w:bottom w:w="28" w:type="dxa"/>
              <w:right w:w="0" w:type="dxa"/>
            </w:tcMar>
          </w:tcPr>
          <w:p w:rsidRPr="002A3B62" w:rsidR="00547CE1" w:rsidP="00547CE1" w:rsidRDefault="00547CE1" w14:paraId="7EFC9131" w14:textId="77777777">
            <w:pPr>
              <w:pStyle w:val="tablebody"/>
              <w:rPr>
                <w:b/>
                <w:lang w:val="en-US"/>
              </w:rPr>
            </w:pPr>
          </w:p>
        </w:tc>
        <w:tc>
          <w:tcPr>
            <w:tcW w:w="1134" w:type="dxa"/>
            <w:tcBorders>
              <w:top w:val="nil"/>
              <w:left w:val="nil"/>
              <w:bottom w:val="single" w:color="000000" w:sz="6" w:space="0"/>
              <w:right w:val="nil"/>
            </w:tcBorders>
            <w:tcMar>
              <w:top w:w="0" w:type="dxa"/>
              <w:left w:w="0" w:type="dxa"/>
              <w:bottom w:w="28" w:type="dxa"/>
              <w:right w:w="0" w:type="dxa"/>
            </w:tcMar>
          </w:tcPr>
          <w:p w:rsidRPr="002A3B62" w:rsidR="00547CE1" w:rsidP="002A3B62" w:rsidRDefault="00547CE1" w14:paraId="3A5B03CE" w14:textId="77777777">
            <w:pPr>
              <w:pStyle w:val="tablebody"/>
              <w:jc w:val="right"/>
              <w:rPr>
                <w:b/>
                <w:lang w:val="en-US"/>
              </w:rPr>
            </w:pPr>
          </w:p>
        </w:tc>
        <w:tc>
          <w:tcPr>
            <w:tcW w:w="1134" w:type="dxa"/>
            <w:tcBorders>
              <w:top w:val="nil"/>
              <w:left w:val="nil"/>
              <w:bottom w:val="single" w:color="000000" w:sz="6" w:space="0"/>
              <w:right w:val="nil"/>
            </w:tcBorders>
            <w:tcMar>
              <w:top w:w="0" w:type="dxa"/>
              <w:left w:w="0" w:type="dxa"/>
              <w:bottom w:w="28" w:type="dxa"/>
              <w:right w:w="0" w:type="dxa"/>
            </w:tcMar>
          </w:tcPr>
          <w:p w:rsidRPr="002A3B62" w:rsidR="00547CE1" w:rsidP="002A3B62" w:rsidRDefault="00547CE1" w14:paraId="50ADCB2E" w14:textId="77777777">
            <w:pPr>
              <w:pStyle w:val="tablebody"/>
              <w:jc w:val="right"/>
              <w:rPr>
                <w:b/>
                <w:lang w:val="en-US"/>
              </w:rPr>
            </w:pPr>
          </w:p>
        </w:tc>
        <w:tc>
          <w:tcPr>
            <w:tcW w:w="1133" w:type="dxa"/>
            <w:tcBorders>
              <w:top w:val="nil"/>
              <w:left w:val="nil"/>
              <w:bottom w:val="single" w:color="000000" w:sz="6" w:space="0"/>
              <w:right w:val="nil"/>
            </w:tcBorders>
            <w:tcMar>
              <w:top w:w="0" w:type="dxa"/>
              <w:left w:w="0" w:type="dxa"/>
              <w:bottom w:w="28" w:type="dxa"/>
              <w:right w:w="0" w:type="dxa"/>
            </w:tcMar>
          </w:tcPr>
          <w:p w:rsidRPr="002A3B62" w:rsidR="00547CE1" w:rsidP="002A3B62" w:rsidRDefault="00547CE1" w14:paraId="36587948" w14:textId="77777777">
            <w:pPr>
              <w:pStyle w:val="tablebody"/>
              <w:jc w:val="right"/>
              <w:rPr>
                <w:b/>
                <w:lang w:val="en-US"/>
              </w:rPr>
            </w:pPr>
          </w:p>
        </w:tc>
        <w:tc>
          <w:tcPr>
            <w:tcW w:w="1134" w:type="dxa"/>
            <w:tcBorders>
              <w:top w:val="nil"/>
              <w:left w:val="nil"/>
              <w:bottom w:val="single" w:color="000000" w:sz="6" w:space="0"/>
              <w:right w:val="nil"/>
            </w:tcBorders>
            <w:tcMar>
              <w:top w:w="0" w:type="dxa"/>
              <w:left w:w="0" w:type="dxa"/>
              <w:bottom w:w="28" w:type="dxa"/>
              <w:right w:w="0" w:type="dxa"/>
            </w:tcMar>
          </w:tcPr>
          <w:p w:rsidRPr="002A3B62" w:rsidR="00547CE1" w:rsidP="002A3B62" w:rsidRDefault="00547CE1" w14:paraId="7B318343" w14:textId="77777777">
            <w:pPr>
              <w:pStyle w:val="tablebody"/>
              <w:jc w:val="right"/>
              <w:rPr>
                <w:b/>
              </w:rPr>
            </w:pPr>
            <w:r w:rsidRPr="002A3B62">
              <w:rPr>
                <w:b/>
              </w:rPr>
              <w:t>($ thousand)</w:t>
            </w:r>
          </w:p>
        </w:tc>
      </w:tr>
      <w:tr w:rsidRPr="002A3B62" w:rsidR="00547CE1" w:rsidTr="002A3B62" w14:paraId="42F37C5B" w14:textId="77777777">
        <w:trPr>
          <w:tblHeader/>
        </w:trPr>
        <w:tc>
          <w:tcPr>
            <w:tcW w:w="28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547CE1" w:rsidRDefault="00547CE1" w14:paraId="6336FBCB" w14:textId="77777777">
            <w:pPr>
              <w:pStyle w:val="tablebody"/>
              <w:rPr>
                <w:b/>
                <w:lang w:val="en-US"/>
              </w:rPr>
            </w:pPr>
          </w:p>
        </w:tc>
        <w:tc>
          <w:tcPr>
            <w:tcW w:w="510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547CE1" w:rsidRDefault="00547CE1" w14:paraId="4F6695C7" w14:textId="77777777">
            <w:pPr>
              <w:pStyle w:val="tablebody"/>
              <w:rPr>
                <w:b/>
                <w:lang w:val="en-US"/>
              </w:rPr>
            </w:pPr>
          </w:p>
        </w:tc>
        <w:tc>
          <w:tcPr>
            <w:tcW w:w="2268" w:type="dxa"/>
            <w:gridSpan w:val="2"/>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2D8CD6E0" w14:textId="77777777">
            <w:pPr>
              <w:pStyle w:val="tablebody"/>
              <w:jc w:val="right"/>
              <w:rPr>
                <w:b/>
              </w:rPr>
            </w:pPr>
            <w:r w:rsidRPr="002A3B62">
              <w:rPr>
                <w:b/>
              </w:rPr>
              <w:t>Minimum future lease payments</w:t>
            </w:r>
          </w:p>
        </w:tc>
        <w:tc>
          <w:tcPr>
            <w:tcW w:w="2267" w:type="dxa"/>
            <w:gridSpan w:val="2"/>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0F1C1237" w14:textId="77777777">
            <w:pPr>
              <w:pStyle w:val="tablebody"/>
              <w:jc w:val="right"/>
              <w:rPr>
                <w:b/>
              </w:rPr>
            </w:pPr>
            <w:r w:rsidRPr="002A3B62">
              <w:rPr>
                <w:b/>
              </w:rPr>
              <w:t>Present value of minimum future lease payments</w:t>
            </w:r>
          </w:p>
        </w:tc>
      </w:tr>
      <w:tr w:rsidRPr="002A3B62" w:rsidR="00547CE1" w:rsidTr="002A3B62" w14:paraId="773E8414" w14:textId="77777777">
        <w:trPr>
          <w:tblHeader/>
        </w:trPr>
        <w:tc>
          <w:tcPr>
            <w:tcW w:w="28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547CE1" w:rsidRDefault="00547CE1" w14:paraId="11F687A1" w14:textId="77777777">
            <w:pPr>
              <w:pStyle w:val="tablebody"/>
              <w:rPr>
                <w:b/>
                <w:lang w:val="en-US"/>
              </w:rPr>
            </w:pPr>
          </w:p>
        </w:tc>
        <w:tc>
          <w:tcPr>
            <w:tcW w:w="510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547CE1" w:rsidRDefault="00547CE1" w14:paraId="39BDD36D" w14:textId="77777777">
            <w:pPr>
              <w:pStyle w:val="tablebody"/>
              <w:rPr>
                <w:b/>
                <w:lang w:val="en-US"/>
              </w:rPr>
            </w:pP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4264CF52" w14:textId="77777777">
            <w:pPr>
              <w:pStyle w:val="tablebody"/>
              <w:jc w:val="right"/>
              <w:rPr>
                <w:b/>
              </w:rPr>
            </w:pPr>
            <w:r w:rsidRPr="002A3B62">
              <w:rPr>
                <w:b/>
              </w:rPr>
              <w:t>2019</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307244A6" w14:textId="77777777">
            <w:pPr>
              <w:pStyle w:val="tablebody"/>
              <w:jc w:val="right"/>
              <w:rPr>
                <w:b/>
              </w:rPr>
            </w:pPr>
            <w:r w:rsidRPr="002A3B62">
              <w:rPr>
                <w:b/>
              </w:rPr>
              <w:t>2018</w:t>
            </w:r>
          </w:p>
        </w:tc>
        <w:tc>
          <w:tcPr>
            <w:tcW w:w="113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2AC04F33" w14:textId="77777777">
            <w:pPr>
              <w:pStyle w:val="tablebody"/>
              <w:jc w:val="right"/>
              <w:rPr>
                <w:b/>
              </w:rPr>
            </w:pPr>
            <w:r w:rsidRPr="002A3B62">
              <w:rPr>
                <w:b/>
              </w:rPr>
              <w:t>2019</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2EAB2887" w14:textId="77777777">
            <w:pPr>
              <w:pStyle w:val="tablebody"/>
              <w:jc w:val="right"/>
              <w:rPr>
                <w:b/>
              </w:rPr>
            </w:pPr>
            <w:r w:rsidRPr="002A3B62">
              <w:rPr>
                <w:b/>
              </w:rPr>
              <w:t>2018</w:t>
            </w:r>
          </w:p>
        </w:tc>
      </w:tr>
      <w:tr w:rsidRPr="002A3B62" w:rsidR="00547CE1" w:rsidTr="002A3B62" w14:paraId="2C9E5E90" w14:textId="77777777">
        <w:tc>
          <w:tcPr>
            <w:tcW w:w="5386" w:type="dxa"/>
            <w:gridSpan w:val="2"/>
            <w:tcBorders>
              <w:top w:val="single" w:color="000000" w:sz="6" w:space="0"/>
              <w:left w:val="nil"/>
              <w:bottom w:val="nil"/>
              <w:right w:val="nil"/>
            </w:tcBorders>
            <w:tcMar>
              <w:top w:w="57" w:type="dxa"/>
              <w:left w:w="0" w:type="dxa"/>
              <w:bottom w:w="28" w:type="dxa"/>
              <w:right w:w="0" w:type="dxa"/>
            </w:tcMar>
          </w:tcPr>
          <w:p w:rsidRPr="002A3B62" w:rsidR="00547CE1" w:rsidP="00547CE1" w:rsidRDefault="00547CE1" w14:paraId="345DE695" w14:textId="77777777">
            <w:pPr>
              <w:pStyle w:val="tablebody"/>
              <w:rPr>
                <w:b/>
              </w:rPr>
            </w:pPr>
            <w:r w:rsidRPr="002A3B62">
              <w:rPr>
                <w:b/>
              </w:rPr>
              <w:t>Commissioned PPP related finance lease liabilities payable</w:t>
            </w:r>
          </w:p>
        </w:tc>
        <w:tc>
          <w:tcPr>
            <w:tcW w:w="1134" w:type="dxa"/>
            <w:tcBorders>
              <w:top w:val="single" w:color="000000" w:sz="6" w:space="0"/>
              <w:left w:val="nil"/>
              <w:bottom w:val="nil"/>
              <w:right w:val="nil"/>
            </w:tcBorders>
            <w:tcMar>
              <w:top w:w="57" w:type="dxa"/>
              <w:left w:w="0" w:type="dxa"/>
              <w:bottom w:w="28" w:type="dxa"/>
              <w:right w:w="0" w:type="dxa"/>
            </w:tcMar>
          </w:tcPr>
          <w:p w:rsidRPr="002A3B62" w:rsidR="00547CE1" w:rsidP="002A3B62" w:rsidRDefault="00547CE1" w14:paraId="1163AA96" w14:textId="77777777">
            <w:pPr>
              <w:pStyle w:val="tablebody"/>
              <w:jc w:val="right"/>
              <w:rPr>
                <w:b/>
                <w:lang w:val="en-US"/>
              </w:rPr>
            </w:pPr>
          </w:p>
        </w:tc>
        <w:tc>
          <w:tcPr>
            <w:tcW w:w="1134" w:type="dxa"/>
            <w:tcBorders>
              <w:top w:val="single" w:color="000000" w:sz="6" w:space="0"/>
              <w:left w:val="nil"/>
              <w:bottom w:val="nil"/>
              <w:right w:val="nil"/>
            </w:tcBorders>
            <w:tcMar>
              <w:top w:w="57" w:type="dxa"/>
              <w:left w:w="0" w:type="dxa"/>
              <w:bottom w:w="28" w:type="dxa"/>
              <w:right w:w="0" w:type="dxa"/>
            </w:tcMar>
          </w:tcPr>
          <w:p w:rsidRPr="002A3B62" w:rsidR="00547CE1" w:rsidP="002A3B62" w:rsidRDefault="00547CE1" w14:paraId="379408C5" w14:textId="77777777">
            <w:pPr>
              <w:pStyle w:val="tablebody"/>
              <w:jc w:val="right"/>
              <w:rPr>
                <w:b/>
                <w:lang w:val="en-US"/>
              </w:rPr>
            </w:pPr>
          </w:p>
        </w:tc>
        <w:tc>
          <w:tcPr>
            <w:tcW w:w="1133" w:type="dxa"/>
            <w:tcBorders>
              <w:top w:val="single" w:color="000000" w:sz="6" w:space="0"/>
              <w:left w:val="nil"/>
              <w:bottom w:val="nil"/>
              <w:right w:val="nil"/>
            </w:tcBorders>
            <w:tcMar>
              <w:top w:w="57" w:type="dxa"/>
              <w:left w:w="0" w:type="dxa"/>
              <w:bottom w:w="28" w:type="dxa"/>
              <w:right w:w="0" w:type="dxa"/>
            </w:tcMar>
          </w:tcPr>
          <w:p w:rsidRPr="002A3B62" w:rsidR="00547CE1" w:rsidP="002A3B62" w:rsidRDefault="00547CE1" w14:paraId="452143F5" w14:textId="77777777">
            <w:pPr>
              <w:pStyle w:val="tablebody"/>
              <w:jc w:val="right"/>
              <w:rPr>
                <w:b/>
                <w:lang w:val="en-US"/>
              </w:rPr>
            </w:pPr>
          </w:p>
        </w:tc>
        <w:tc>
          <w:tcPr>
            <w:tcW w:w="1134" w:type="dxa"/>
            <w:tcBorders>
              <w:top w:val="single" w:color="000000" w:sz="6" w:space="0"/>
              <w:left w:val="nil"/>
              <w:bottom w:val="nil"/>
              <w:right w:val="nil"/>
            </w:tcBorders>
            <w:tcMar>
              <w:top w:w="57" w:type="dxa"/>
              <w:left w:w="0" w:type="dxa"/>
              <w:bottom w:w="28" w:type="dxa"/>
              <w:right w:w="0" w:type="dxa"/>
            </w:tcMar>
          </w:tcPr>
          <w:p w:rsidRPr="002A3B62" w:rsidR="00547CE1" w:rsidP="002A3B62" w:rsidRDefault="00547CE1" w14:paraId="2838F867" w14:textId="77777777">
            <w:pPr>
              <w:pStyle w:val="tablebody"/>
              <w:jc w:val="right"/>
              <w:rPr>
                <w:b/>
                <w:lang w:val="en-US"/>
              </w:rPr>
            </w:pPr>
          </w:p>
        </w:tc>
      </w:tr>
      <w:tr w:rsidRPr="00547CE1" w:rsidR="00547CE1" w:rsidTr="002A3B62" w14:paraId="07BD3498"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529E774E"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2453BFA2" w14:textId="77777777">
            <w:pPr>
              <w:pStyle w:val="tablebody"/>
            </w:pPr>
            <w:proofErr w:type="spellStart"/>
            <w:r w:rsidRPr="00547CE1">
              <w:t>Not longer</w:t>
            </w:r>
            <w:proofErr w:type="spellEnd"/>
            <w:r w:rsidRPr="00547CE1">
              <w:t xml:space="preserve"> than 1 year</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3BEB6A97" w14:textId="77777777">
            <w:pPr>
              <w:pStyle w:val="tablebody"/>
              <w:jc w:val="right"/>
            </w:pPr>
            <w:r w:rsidRPr="00547CE1">
              <w:t xml:space="preserve">68,953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5164FA4C" w14:textId="77777777">
            <w:pPr>
              <w:pStyle w:val="tablebody"/>
              <w:jc w:val="right"/>
            </w:pPr>
            <w:r w:rsidRPr="00547CE1">
              <w:t xml:space="preserve">77,201 </w:t>
            </w:r>
          </w:p>
        </w:tc>
        <w:tc>
          <w:tcPr>
            <w:tcW w:w="1133" w:type="dxa"/>
            <w:tcBorders>
              <w:top w:val="nil"/>
              <w:left w:val="nil"/>
              <w:bottom w:val="nil"/>
              <w:right w:val="nil"/>
            </w:tcBorders>
            <w:tcMar>
              <w:top w:w="0" w:type="dxa"/>
              <w:left w:w="0" w:type="dxa"/>
              <w:bottom w:w="28" w:type="dxa"/>
              <w:right w:w="0" w:type="dxa"/>
            </w:tcMar>
          </w:tcPr>
          <w:p w:rsidRPr="00547CE1" w:rsidR="00547CE1" w:rsidP="002A3B62" w:rsidRDefault="00547CE1" w14:paraId="29E30E7A" w14:textId="77777777">
            <w:pPr>
              <w:pStyle w:val="tablebody"/>
              <w:jc w:val="right"/>
            </w:pPr>
            <w:r w:rsidRPr="00547CE1">
              <w:t xml:space="preserve">17,927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06AF2222" w14:textId="77777777">
            <w:pPr>
              <w:pStyle w:val="tablebody"/>
              <w:jc w:val="right"/>
            </w:pPr>
            <w:r w:rsidRPr="00547CE1">
              <w:t xml:space="preserve">12,521 </w:t>
            </w:r>
          </w:p>
        </w:tc>
      </w:tr>
      <w:tr w:rsidRPr="00547CE1" w:rsidR="00547CE1" w:rsidTr="002A3B62" w14:paraId="74CCB4AB"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00974E37"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47A040CA" w14:textId="77777777">
            <w:pPr>
              <w:pStyle w:val="tablebody"/>
            </w:pPr>
            <w:r w:rsidRPr="00547CE1">
              <w:t>Longer than 1 year but not longer than 5 years</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69E250AF" w14:textId="77777777">
            <w:pPr>
              <w:pStyle w:val="tablebody"/>
              <w:jc w:val="right"/>
            </w:pPr>
            <w:r w:rsidRPr="00547CE1">
              <w:t xml:space="preserve">272,154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2A3E43EF" w14:textId="77777777">
            <w:pPr>
              <w:pStyle w:val="tablebody"/>
              <w:jc w:val="right"/>
            </w:pPr>
            <w:r w:rsidRPr="00547CE1">
              <w:t xml:space="preserve">314,272 </w:t>
            </w:r>
          </w:p>
        </w:tc>
        <w:tc>
          <w:tcPr>
            <w:tcW w:w="1133" w:type="dxa"/>
            <w:tcBorders>
              <w:top w:val="nil"/>
              <w:left w:val="nil"/>
              <w:bottom w:val="nil"/>
              <w:right w:val="nil"/>
            </w:tcBorders>
            <w:tcMar>
              <w:top w:w="0" w:type="dxa"/>
              <w:left w:w="0" w:type="dxa"/>
              <w:bottom w:w="28" w:type="dxa"/>
              <w:right w:w="0" w:type="dxa"/>
            </w:tcMar>
          </w:tcPr>
          <w:p w:rsidRPr="00547CE1" w:rsidR="00547CE1" w:rsidP="002A3B62" w:rsidRDefault="00547CE1" w14:paraId="31C0F30E" w14:textId="77777777">
            <w:pPr>
              <w:pStyle w:val="tablebody"/>
              <w:jc w:val="right"/>
            </w:pPr>
            <w:r w:rsidRPr="00547CE1">
              <w:t xml:space="preserve">74,627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523921A6" w14:textId="77777777">
            <w:pPr>
              <w:pStyle w:val="tablebody"/>
              <w:jc w:val="right"/>
            </w:pPr>
            <w:r w:rsidRPr="00547CE1">
              <w:t xml:space="preserve">61,971 </w:t>
            </w:r>
          </w:p>
        </w:tc>
      </w:tr>
      <w:tr w:rsidRPr="00547CE1" w:rsidR="00547CE1" w:rsidTr="002A3B62" w14:paraId="3CC16E41"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6C3BFC61"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544E039B" w14:textId="77777777">
            <w:pPr>
              <w:pStyle w:val="tablebody"/>
            </w:pPr>
            <w:r w:rsidRPr="00547CE1">
              <w:t>Longer than 5 years</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4FED4094" w14:textId="77777777">
            <w:pPr>
              <w:pStyle w:val="tablebody"/>
              <w:jc w:val="right"/>
            </w:pPr>
            <w:r w:rsidRPr="00547CE1">
              <w:t xml:space="preserve">1,035,019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5BD33D7D" w14:textId="77777777">
            <w:pPr>
              <w:pStyle w:val="tablebody"/>
              <w:jc w:val="right"/>
            </w:pPr>
            <w:r w:rsidRPr="00547CE1">
              <w:t xml:space="preserve">1,224,454 </w:t>
            </w:r>
          </w:p>
        </w:tc>
        <w:tc>
          <w:tcPr>
            <w:tcW w:w="1133"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51EAC870" w14:textId="77777777">
            <w:pPr>
              <w:pStyle w:val="tablebody"/>
              <w:jc w:val="right"/>
            </w:pPr>
            <w:r w:rsidRPr="00547CE1">
              <w:t xml:space="preserve">588,713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37185D56" w14:textId="77777777">
            <w:pPr>
              <w:pStyle w:val="tablebody"/>
              <w:jc w:val="right"/>
            </w:pPr>
            <w:r w:rsidRPr="00547CE1">
              <w:t xml:space="preserve">561,420 </w:t>
            </w:r>
          </w:p>
        </w:tc>
      </w:tr>
      <w:tr w:rsidRPr="00547CE1" w:rsidR="00547CE1" w:rsidTr="002A3B62" w14:paraId="3837DA95"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63AF8E6D"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60F7CB21" w14:textId="77777777">
            <w:pPr>
              <w:pStyle w:val="tablebody"/>
              <w:rPr>
                <w:lang w:val="en-US"/>
              </w:rPr>
            </w:pP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1D38A188" w14:textId="77777777">
            <w:pPr>
              <w:pStyle w:val="tablebody"/>
              <w:jc w:val="right"/>
            </w:pPr>
            <w:r w:rsidRPr="00547CE1">
              <w:t xml:space="preserve">1,376,126 </w:t>
            </w: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2099B181" w14:textId="77777777">
            <w:pPr>
              <w:pStyle w:val="tablebody"/>
              <w:jc w:val="right"/>
            </w:pPr>
            <w:r w:rsidRPr="00547CE1">
              <w:t xml:space="preserve">1,615,927 </w:t>
            </w:r>
          </w:p>
        </w:tc>
        <w:tc>
          <w:tcPr>
            <w:tcW w:w="1133"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433B6633" w14:textId="77777777">
            <w:pPr>
              <w:pStyle w:val="tablebody"/>
              <w:jc w:val="right"/>
            </w:pPr>
            <w:r w:rsidRPr="00547CE1">
              <w:t xml:space="preserve">681,267 </w:t>
            </w: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58CC7F2E" w14:textId="77777777">
            <w:pPr>
              <w:pStyle w:val="tablebody"/>
              <w:jc w:val="right"/>
            </w:pPr>
            <w:r w:rsidRPr="00547CE1">
              <w:t xml:space="preserve">635,912 </w:t>
            </w:r>
          </w:p>
        </w:tc>
      </w:tr>
      <w:tr w:rsidRPr="002A3B62" w:rsidR="00547CE1" w:rsidTr="002A3B62" w14:paraId="34D845C0" w14:textId="77777777">
        <w:tc>
          <w:tcPr>
            <w:tcW w:w="9921" w:type="dxa"/>
            <w:gridSpan w:val="6"/>
            <w:tcBorders>
              <w:top w:val="nil"/>
              <w:left w:val="nil"/>
              <w:bottom w:val="nil"/>
              <w:right w:val="nil"/>
            </w:tcBorders>
            <w:tcMar>
              <w:top w:w="0" w:type="dxa"/>
              <w:left w:w="0" w:type="dxa"/>
              <w:bottom w:w="28" w:type="dxa"/>
              <w:right w:w="0" w:type="dxa"/>
            </w:tcMar>
          </w:tcPr>
          <w:p w:rsidRPr="002A3B62" w:rsidR="00547CE1" w:rsidP="00547CE1" w:rsidRDefault="00547CE1" w14:paraId="51C95BEC" w14:textId="77777777">
            <w:pPr>
              <w:pStyle w:val="tablebody"/>
              <w:rPr>
                <w:b/>
              </w:rPr>
            </w:pPr>
            <w:r w:rsidRPr="002A3B62">
              <w:rPr>
                <w:b/>
              </w:rPr>
              <w:t>Other finance lease liabilities payable</w:t>
            </w:r>
          </w:p>
        </w:tc>
      </w:tr>
      <w:tr w:rsidRPr="00547CE1" w:rsidR="00547CE1" w:rsidTr="002A3B62" w14:paraId="0848E650"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67F8A87F"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4964F07F" w14:textId="77777777">
            <w:pPr>
              <w:pStyle w:val="tablebody"/>
            </w:pPr>
            <w:proofErr w:type="spellStart"/>
            <w:r w:rsidRPr="00547CE1">
              <w:t>Not longer</w:t>
            </w:r>
            <w:proofErr w:type="spellEnd"/>
            <w:r w:rsidRPr="00547CE1">
              <w:t xml:space="preserve"> than 1 year</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406B023E" w14:textId="77777777">
            <w:pPr>
              <w:pStyle w:val="tablebody"/>
              <w:jc w:val="right"/>
            </w:pPr>
            <w:r w:rsidRPr="00547CE1">
              <w:t xml:space="preserve">8,614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6441D0A6" w14:textId="77777777">
            <w:pPr>
              <w:pStyle w:val="tablebody"/>
              <w:jc w:val="right"/>
            </w:pPr>
            <w:r w:rsidRPr="00547CE1">
              <w:t xml:space="preserve">8,826 </w:t>
            </w:r>
          </w:p>
        </w:tc>
        <w:tc>
          <w:tcPr>
            <w:tcW w:w="1133" w:type="dxa"/>
            <w:tcBorders>
              <w:top w:val="nil"/>
              <w:left w:val="nil"/>
              <w:bottom w:val="nil"/>
              <w:right w:val="nil"/>
            </w:tcBorders>
            <w:tcMar>
              <w:top w:w="0" w:type="dxa"/>
              <w:left w:w="0" w:type="dxa"/>
              <w:bottom w:w="28" w:type="dxa"/>
              <w:right w:w="0" w:type="dxa"/>
            </w:tcMar>
          </w:tcPr>
          <w:p w:rsidRPr="00547CE1" w:rsidR="00547CE1" w:rsidP="002A3B62" w:rsidRDefault="00547CE1" w14:paraId="4BEE5F20" w14:textId="77777777">
            <w:pPr>
              <w:pStyle w:val="tablebody"/>
              <w:jc w:val="right"/>
            </w:pPr>
            <w:r w:rsidRPr="00547CE1">
              <w:t xml:space="preserve">8,278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12C41AE8" w14:textId="77777777">
            <w:pPr>
              <w:pStyle w:val="tablebody"/>
              <w:jc w:val="right"/>
            </w:pPr>
            <w:r w:rsidRPr="00547CE1">
              <w:t xml:space="preserve">8,455 </w:t>
            </w:r>
          </w:p>
        </w:tc>
      </w:tr>
      <w:tr w:rsidRPr="00547CE1" w:rsidR="00547CE1" w:rsidTr="002A3B62" w14:paraId="04DDFD3B"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6FB84F18"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0CBF493A" w14:textId="77777777">
            <w:pPr>
              <w:pStyle w:val="tablebody"/>
            </w:pPr>
            <w:r w:rsidRPr="00547CE1">
              <w:t>Longer than 1 year but not longer than 5 years</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2168F324" w14:textId="77777777">
            <w:pPr>
              <w:pStyle w:val="tablebody"/>
              <w:jc w:val="right"/>
            </w:pPr>
            <w:r w:rsidRPr="00547CE1">
              <w:t xml:space="preserve">6,805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524460FA" w14:textId="77777777">
            <w:pPr>
              <w:pStyle w:val="tablebody"/>
              <w:jc w:val="right"/>
            </w:pPr>
            <w:r w:rsidRPr="00547CE1">
              <w:t xml:space="preserve">7,717 </w:t>
            </w:r>
          </w:p>
        </w:tc>
        <w:tc>
          <w:tcPr>
            <w:tcW w:w="1133" w:type="dxa"/>
            <w:tcBorders>
              <w:top w:val="nil"/>
              <w:left w:val="nil"/>
              <w:bottom w:val="nil"/>
              <w:right w:val="nil"/>
            </w:tcBorders>
            <w:tcMar>
              <w:top w:w="0" w:type="dxa"/>
              <w:left w:w="0" w:type="dxa"/>
              <w:bottom w:w="28" w:type="dxa"/>
              <w:right w:w="0" w:type="dxa"/>
            </w:tcMar>
          </w:tcPr>
          <w:p w:rsidRPr="00547CE1" w:rsidR="00547CE1" w:rsidP="002A3B62" w:rsidRDefault="00547CE1" w14:paraId="244939CD" w14:textId="77777777">
            <w:pPr>
              <w:pStyle w:val="tablebody"/>
              <w:jc w:val="right"/>
            </w:pPr>
            <w:r w:rsidRPr="00547CE1">
              <w:t xml:space="preserve">6,662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283B454A" w14:textId="77777777">
            <w:pPr>
              <w:pStyle w:val="tablebody"/>
              <w:jc w:val="right"/>
            </w:pPr>
            <w:r w:rsidRPr="00547CE1">
              <w:t xml:space="preserve">7,521 </w:t>
            </w:r>
          </w:p>
        </w:tc>
      </w:tr>
      <w:tr w:rsidRPr="00547CE1" w:rsidR="00547CE1" w:rsidTr="002A3B62" w14:paraId="2881E132"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53486FA3"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1CEFAAB1" w14:textId="77777777">
            <w:pPr>
              <w:pStyle w:val="tablebody"/>
            </w:pPr>
            <w:r w:rsidRPr="00547CE1">
              <w:t>Longer than 5 years</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3174000C" w14:textId="77777777">
            <w:pPr>
              <w:pStyle w:val="tablebody"/>
              <w:jc w:val="right"/>
            </w:pPr>
            <w:r w:rsidRPr="00547CE1">
              <w:t xml:space="preserve">0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4A32AB98" w14:textId="77777777">
            <w:pPr>
              <w:pStyle w:val="tablebody"/>
              <w:jc w:val="right"/>
            </w:pPr>
            <w:r w:rsidRPr="00547CE1">
              <w:t xml:space="preserve">0 </w:t>
            </w:r>
          </w:p>
        </w:tc>
        <w:tc>
          <w:tcPr>
            <w:tcW w:w="1133"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14EDBAE4" w14:textId="77777777">
            <w:pPr>
              <w:pStyle w:val="tablebody"/>
              <w:jc w:val="right"/>
            </w:pPr>
            <w:r w:rsidRPr="00547CE1">
              <w:t xml:space="preserve">0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7F277A0A" w14:textId="77777777">
            <w:pPr>
              <w:pStyle w:val="tablebody"/>
              <w:jc w:val="right"/>
            </w:pPr>
            <w:r w:rsidRPr="00547CE1">
              <w:t xml:space="preserve">0 </w:t>
            </w:r>
          </w:p>
        </w:tc>
      </w:tr>
      <w:tr w:rsidRPr="00547CE1" w:rsidR="00547CE1" w:rsidTr="002A3B62" w14:paraId="08E7C712" w14:textId="77777777">
        <w:tc>
          <w:tcPr>
            <w:tcW w:w="283" w:type="dxa"/>
            <w:tcBorders>
              <w:top w:val="nil"/>
              <w:left w:val="nil"/>
              <w:bottom w:val="nil"/>
              <w:right w:val="nil"/>
            </w:tcBorders>
            <w:tcMar>
              <w:top w:w="57" w:type="dxa"/>
              <w:left w:w="0" w:type="dxa"/>
              <w:bottom w:w="28" w:type="dxa"/>
              <w:right w:w="0" w:type="dxa"/>
            </w:tcMar>
          </w:tcPr>
          <w:p w:rsidRPr="00547CE1" w:rsidR="00547CE1" w:rsidP="00547CE1" w:rsidRDefault="00547CE1" w14:paraId="19A915E8" w14:textId="77777777">
            <w:pPr>
              <w:pStyle w:val="tablebody"/>
              <w:rPr>
                <w:lang w:val="en-US"/>
              </w:rPr>
            </w:pPr>
          </w:p>
        </w:tc>
        <w:tc>
          <w:tcPr>
            <w:tcW w:w="5103" w:type="dxa"/>
            <w:tcBorders>
              <w:top w:val="nil"/>
              <w:left w:val="nil"/>
              <w:bottom w:val="nil"/>
              <w:right w:val="nil"/>
            </w:tcBorders>
            <w:tcMar>
              <w:top w:w="57" w:type="dxa"/>
              <w:left w:w="0" w:type="dxa"/>
              <w:bottom w:w="28" w:type="dxa"/>
              <w:right w:w="0" w:type="dxa"/>
            </w:tcMar>
          </w:tcPr>
          <w:p w:rsidRPr="00547CE1" w:rsidR="00547CE1" w:rsidP="00547CE1" w:rsidRDefault="00547CE1" w14:paraId="06BA177D" w14:textId="77777777">
            <w:pPr>
              <w:pStyle w:val="tablebody"/>
              <w:rPr>
                <w:lang w:val="en-US"/>
              </w:rPr>
            </w:pP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2C23BE59" w14:textId="77777777">
            <w:pPr>
              <w:pStyle w:val="tablebody"/>
              <w:jc w:val="right"/>
            </w:pPr>
            <w:r w:rsidRPr="00547CE1">
              <w:t xml:space="preserve">15,419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724A2F0D" w14:textId="77777777">
            <w:pPr>
              <w:pStyle w:val="tablebody"/>
              <w:jc w:val="right"/>
            </w:pPr>
            <w:r w:rsidRPr="00547CE1">
              <w:t xml:space="preserve">16,543 </w:t>
            </w:r>
          </w:p>
        </w:tc>
        <w:tc>
          <w:tcPr>
            <w:tcW w:w="1133"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22FBF3F2" w14:textId="77777777">
            <w:pPr>
              <w:pStyle w:val="tablebody"/>
              <w:jc w:val="right"/>
            </w:pPr>
            <w:r w:rsidRPr="00547CE1">
              <w:t xml:space="preserve">14,940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36CA45E2" w14:textId="77777777">
            <w:pPr>
              <w:pStyle w:val="tablebody"/>
              <w:jc w:val="right"/>
            </w:pPr>
            <w:r w:rsidRPr="00547CE1">
              <w:t xml:space="preserve">15,976 </w:t>
            </w:r>
          </w:p>
        </w:tc>
      </w:tr>
      <w:tr w:rsidRPr="00547CE1" w:rsidR="00547CE1" w:rsidTr="002A3B62" w14:paraId="58EE2519" w14:textId="77777777">
        <w:tc>
          <w:tcPr>
            <w:tcW w:w="283" w:type="dxa"/>
            <w:tcBorders>
              <w:top w:val="nil"/>
              <w:left w:val="nil"/>
              <w:bottom w:val="nil"/>
              <w:right w:val="nil"/>
            </w:tcBorders>
            <w:tcMar>
              <w:top w:w="57" w:type="dxa"/>
              <w:left w:w="0" w:type="dxa"/>
              <w:bottom w:w="28" w:type="dxa"/>
              <w:right w:w="0" w:type="dxa"/>
            </w:tcMar>
          </w:tcPr>
          <w:p w:rsidRPr="00547CE1" w:rsidR="00547CE1" w:rsidP="00547CE1" w:rsidRDefault="00547CE1" w14:paraId="3ECCBA75" w14:textId="77777777">
            <w:pPr>
              <w:pStyle w:val="tablebody"/>
              <w:rPr>
                <w:lang w:val="en-US"/>
              </w:rPr>
            </w:pPr>
          </w:p>
        </w:tc>
        <w:tc>
          <w:tcPr>
            <w:tcW w:w="5103" w:type="dxa"/>
            <w:tcBorders>
              <w:top w:val="nil"/>
              <w:left w:val="nil"/>
              <w:bottom w:val="nil"/>
              <w:right w:val="nil"/>
            </w:tcBorders>
            <w:tcMar>
              <w:top w:w="57" w:type="dxa"/>
              <w:left w:w="0" w:type="dxa"/>
              <w:bottom w:w="28" w:type="dxa"/>
              <w:right w:w="0" w:type="dxa"/>
            </w:tcMar>
          </w:tcPr>
          <w:p w:rsidRPr="00547CE1" w:rsidR="00547CE1" w:rsidP="00547CE1" w:rsidRDefault="00547CE1" w14:paraId="4F19E7D4" w14:textId="77777777">
            <w:pPr>
              <w:pStyle w:val="tablebody"/>
              <w:rPr>
                <w:lang w:val="en-US"/>
              </w:rPr>
            </w:pP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2FDF9B3D" w14:textId="77777777">
            <w:pPr>
              <w:pStyle w:val="tablebody"/>
              <w:jc w:val="right"/>
            </w:pPr>
            <w:r w:rsidRPr="00547CE1">
              <w:t xml:space="preserve">1,391,545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30534A3A" w14:textId="77777777">
            <w:pPr>
              <w:pStyle w:val="tablebody"/>
              <w:jc w:val="right"/>
            </w:pPr>
            <w:r w:rsidRPr="00547CE1">
              <w:t xml:space="preserve">1,632,470 </w:t>
            </w:r>
          </w:p>
        </w:tc>
        <w:tc>
          <w:tcPr>
            <w:tcW w:w="1133"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06536F76" w14:textId="77777777">
            <w:pPr>
              <w:pStyle w:val="tablebody"/>
              <w:jc w:val="right"/>
            </w:pPr>
            <w:r w:rsidRPr="00547CE1">
              <w:t xml:space="preserve">696,207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49E7B3EB" w14:textId="77777777">
            <w:pPr>
              <w:pStyle w:val="tablebody"/>
              <w:jc w:val="right"/>
            </w:pPr>
            <w:r w:rsidRPr="00547CE1">
              <w:t xml:space="preserve">651,888 </w:t>
            </w:r>
          </w:p>
        </w:tc>
      </w:tr>
      <w:tr w:rsidRPr="002A3B62" w:rsidR="00547CE1" w:rsidTr="002A3B62" w14:paraId="263E9278" w14:textId="77777777">
        <w:tc>
          <w:tcPr>
            <w:tcW w:w="9921" w:type="dxa"/>
            <w:gridSpan w:val="6"/>
            <w:tcBorders>
              <w:top w:val="nil"/>
              <w:left w:val="nil"/>
              <w:bottom w:val="nil"/>
              <w:right w:val="nil"/>
            </w:tcBorders>
            <w:tcMar>
              <w:top w:w="0" w:type="dxa"/>
              <w:left w:w="0" w:type="dxa"/>
              <w:bottom w:w="28" w:type="dxa"/>
              <w:right w:w="0" w:type="dxa"/>
            </w:tcMar>
          </w:tcPr>
          <w:p w:rsidRPr="002A3B62" w:rsidR="00547CE1" w:rsidP="00547CE1" w:rsidRDefault="00547CE1" w14:paraId="43120B0C" w14:textId="77777777">
            <w:pPr>
              <w:pStyle w:val="tablebody"/>
              <w:rPr>
                <w:b/>
              </w:rPr>
            </w:pPr>
            <w:r w:rsidRPr="002A3B62">
              <w:rPr>
                <w:b/>
              </w:rPr>
              <w:t xml:space="preserve">Minimum future lease payments </w:t>
            </w:r>
            <w:r w:rsidRPr="002A3B62">
              <w:rPr>
                <w:b/>
                <w:vertAlign w:val="superscript"/>
              </w:rPr>
              <w:t>(i)</w:t>
            </w:r>
          </w:p>
        </w:tc>
      </w:tr>
      <w:tr w:rsidRPr="00547CE1" w:rsidR="00547CE1" w:rsidTr="002A3B62" w14:paraId="493F98D0"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4985C788"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2C448041" w14:textId="77777777">
            <w:pPr>
              <w:pStyle w:val="tablebody"/>
            </w:pPr>
            <w:r w:rsidRPr="00547CE1">
              <w:t>Less future finance charges</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5AF8FAE7" w14:textId="77777777">
            <w:pPr>
              <w:pStyle w:val="tablebody"/>
              <w:jc w:val="right"/>
            </w:pPr>
            <w:r w:rsidRPr="00547CE1">
              <w:t xml:space="preserve">(695,338)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1CBE6017" w14:textId="77777777">
            <w:pPr>
              <w:pStyle w:val="tablebody"/>
              <w:jc w:val="right"/>
            </w:pPr>
            <w:r w:rsidRPr="00547CE1">
              <w:t xml:space="preserve">(980,582) </w:t>
            </w:r>
          </w:p>
        </w:tc>
        <w:tc>
          <w:tcPr>
            <w:tcW w:w="1133"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4E79029C" w14:textId="77777777">
            <w:pPr>
              <w:pStyle w:val="tablebody"/>
              <w:jc w:val="right"/>
            </w:pPr>
            <w:r w:rsidRPr="00547CE1">
              <w:t xml:space="preserve">0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1365F39D" w14:textId="77777777">
            <w:pPr>
              <w:pStyle w:val="tablebody"/>
              <w:jc w:val="right"/>
            </w:pPr>
            <w:r w:rsidRPr="00547CE1">
              <w:t xml:space="preserve">0 </w:t>
            </w:r>
          </w:p>
        </w:tc>
      </w:tr>
      <w:tr w:rsidRPr="002A3B62" w:rsidR="00547CE1" w:rsidTr="002A3B62" w14:paraId="1F858E14" w14:textId="77777777">
        <w:tc>
          <w:tcPr>
            <w:tcW w:w="5386" w:type="dxa"/>
            <w:gridSpan w:val="2"/>
            <w:tcBorders>
              <w:top w:val="nil"/>
              <w:left w:val="nil"/>
              <w:bottom w:val="nil"/>
              <w:right w:val="nil"/>
            </w:tcBorders>
            <w:tcMar>
              <w:top w:w="57" w:type="dxa"/>
              <w:left w:w="0" w:type="dxa"/>
              <w:bottom w:w="28" w:type="dxa"/>
              <w:right w:w="0" w:type="dxa"/>
            </w:tcMar>
          </w:tcPr>
          <w:p w:rsidRPr="002A3B62" w:rsidR="00547CE1" w:rsidP="00547CE1" w:rsidRDefault="00547CE1" w14:paraId="27D6480B" w14:textId="77777777">
            <w:pPr>
              <w:pStyle w:val="tablebody"/>
              <w:rPr>
                <w:b/>
              </w:rPr>
            </w:pPr>
            <w:r w:rsidRPr="002A3B62">
              <w:rPr>
                <w:b/>
              </w:rPr>
              <w:t>Present value of minimum lease payments</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629697B9" w14:textId="77777777">
            <w:pPr>
              <w:pStyle w:val="tablebody"/>
              <w:jc w:val="right"/>
              <w:rPr>
                <w:b/>
              </w:rPr>
            </w:pPr>
            <w:r w:rsidRPr="002A3B62">
              <w:rPr>
                <w:b/>
              </w:rPr>
              <w:t xml:space="preserve">696,207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46478A38" w14:textId="77777777">
            <w:pPr>
              <w:pStyle w:val="tablebody"/>
              <w:jc w:val="right"/>
              <w:rPr>
                <w:b/>
              </w:rPr>
            </w:pPr>
            <w:r w:rsidRPr="002A3B62">
              <w:rPr>
                <w:b/>
              </w:rPr>
              <w:t xml:space="preserve">651,888 </w:t>
            </w:r>
          </w:p>
        </w:tc>
        <w:tc>
          <w:tcPr>
            <w:tcW w:w="1133"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418E6368" w14:textId="77777777">
            <w:pPr>
              <w:pStyle w:val="tablebody"/>
              <w:jc w:val="right"/>
              <w:rPr>
                <w:b/>
              </w:rPr>
            </w:pPr>
            <w:r w:rsidRPr="002A3B62">
              <w:rPr>
                <w:b/>
              </w:rPr>
              <w:t xml:space="preserve">696,207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2A3B62" w:rsidR="00547CE1" w:rsidP="002A3B62" w:rsidRDefault="00547CE1" w14:paraId="0E885730" w14:textId="77777777">
            <w:pPr>
              <w:pStyle w:val="tablebody"/>
              <w:jc w:val="right"/>
              <w:rPr>
                <w:b/>
              </w:rPr>
            </w:pPr>
            <w:r w:rsidRPr="002A3B62">
              <w:rPr>
                <w:b/>
              </w:rPr>
              <w:t xml:space="preserve">651,888 </w:t>
            </w:r>
          </w:p>
        </w:tc>
      </w:tr>
      <w:tr w:rsidRPr="00547CE1" w:rsidR="00547CE1" w:rsidTr="002A3B62" w14:paraId="02AE834B" w14:textId="77777777">
        <w:tc>
          <w:tcPr>
            <w:tcW w:w="5386" w:type="dxa"/>
            <w:gridSpan w:val="2"/>
            <w:tcBorders>
              <w:top w:val="nil"/>
              <w:left w:val="nil"/>
              <w:bottom w:val="nil"/>
              <w:right w:val="nil"/>
            </w:tcBorders>
            <w:tcMar>
              <w:top w:w="0" w:type="dxa"/>
              <w:left w:w="0" w:type="dxa"/>
              <w:bottom w:w="28" w:type="dxa"/>
              <w:right w:w="0" w:type="dxa"/>
            </w:tcMar>
          </w:tcPr>
          <w:p w:rsidRPr="00547CE1" w:rsidR="00547CE1" w:rsidP="00547CE1" w:rsidRDefault="00547CE1" w14:paraId="61A84D3C" w14:textId="77777777">
            <w:pPr>
              <w:pStyle w:val="tablebody"/>
            </w:pPr>
            <w:r w:rsidRPr="00547CE1">
              <w:t>Included in the financial statements as:</w:t>
            </w: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10A7EAF0" w14:textId="77777777">
            <w:pPr>
              <w:pStyle w:val="tablebody"/>
              <w:jc w:val="right"/>
              <w:rPr>
                <w:lang w:val="en-US"/>
              </w:rPr>
            </w:pP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14ECC17F" w14:textId="77777777">
            <w:pPr>
              <w:pStyle w:val="tablebody"/>
              <w:jc w:val="right"/>
              <w:rPr>
                <w:lang w:val="en-US"/>
              </w:rPr>
            </w:pPr>
          </w:p>
        </w:tc>
        <w:tc>
          <w:tcPr>
            <w:tcW w:w="1133"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59C7E37A" w14:textId="77777777">
            <w:pPr>
              <w:pStyle w:val="tablebody"/>
              <w:jc w:val="right"/>
              <w:rPr>
                <w:lang w:val="en-US"/>
              </w:rPr>
            </w:pPr>
          </w:p>
        </w:tc>
        <w:tc>
          <w:tcPr>
            <w:tcW w:w="1134" w:type="dxa"/>
            <w:tcBorders>
              <w:top w:val="single" w:color="000000" w:sz="6" w:space="0"/>
              <w:left w:val="nil"/>
              <w:bottom w:val="nil"/>
              <w:right w:val="nil"/>
            </w:tcBorders>
            <w:tcMar>
              <w:top w:w="0" w:type="dxa"/>
              <w:left w:w="0" w:type="dxa"/>
              <w:bottom w:w="28" w:type="dxa"/>
              <w:right w:w="0" w:type="dxa"/>
            </w:tcMar>
          </w:tcPr>
          <w:p w:rsidRPr="00547CE1" w:rsidR="00547CE1" w:rsidP="002A3B62" w:rsidRDefault="00547CE1" w14:paraId="646E9DF4" w14:textId="77777777">
            <w:pPr>
              <w:pStyle w:val="tablebody"/>
              <w:jc w:val="right"/>
              <w:rPr>
                <w:lang w:val="en-US"/>
              </w:rPr>
            </w:pPr>
          </w:p>
        </w:tc>
      </w:tr>
      <w:tr w:rsidRPr="00547CE1" w:rsidR="00547CE1" w:rsidTr="002A3B62" w14:paraId="2FD13FEC"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7BEF8C10"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2FDD4E62" w14:textId="77777777">
            <w:pPr>
              <w:pStyle w:val="tablebody"/>
            </w:pPr>
            <w:r w:rsidRPr="00547CE1">
              <w:t>Current borrowings lease liabilities</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5814C6DD" w14:textId="77777777">
            <w:pPr>
              <w:pStyle w:val="tablebody"/>
              <w:jc w:val="right"/>
              <w:rPr>
                <w:lang w:val="en-US"/>
              </w:rPr>
            </w:pP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301DEE25" w14:textId="77777777">
            <w:pPr>
              <w:pStyle w:val="tablebody"/>
              <w:jc w:val="right"/>
              <w:rPr>
                <w:lang w:val="en-US"/>
              </w:rPr>
            </w:pPr>
          </w:p>
        </w:tc>
        <w:tc>
          <w:tcPr>
            <w:tcW w:w="1133" w:type="dxa"/>
            <w:tcBorders>
              <w:top w:val="nil"/>
              <w:left w:val="nil"/>
              <w:bottom w:val="nil"/>
              <w:right w:val="nil"/>
            </w:tcBorders>
            <w:tcMar>
              <w:top w:w="0" w:type="dxa"/>
              <w:left w:w="0" w:type="dxa"/>
              <w:bottom w:w="28" w:type="dxa"/>
              <w:right w:w="0" w:type="dxa"/>
            </w:tcMar>
          </w:tcPr>
          <w:p w:rsidRPr="00547CE1" w:rsidR="00547CE1" w:rsidP="002A3B62" w:rsidRDefault="00547CE1" w14:paraId="0745BD76" w14:textId="77777777">
            <w:pPr>
              <w:pStyle w:val="tablebody"/>
              <w:jc w:val="right"/>
            </w:pPr>
            <w:r w:rsidRPr="00547CE1">
              <w:t xml:space="preserve">26,205 </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19821E4D" w14:textId="77777777">
            <w:pPr>
              <w:pStyle w:val="tablebody"/>
              <w:jc w:val="right"/>
            </w:pPr>
            <w:r w:rsidRPr="00547CE1">
              <w:t xml:space="preserve">20,976 </w:t>
            </w:r>
          </w:p>
        </w:tc>
      </w:tr>
      <w:tr w:rsidRPr="00547CE1" w:rsidR="00547CE1" w:rsidTr="002A3B62" w14:paraId="5FCD41B1" w14:textId="77777777">
        <w:tc>
          <w:tcPr>
            <w:tcW w:w="283" w:type="dxa"/>
            <w:tcBorders>
              <w:top w:val="nil"/>
              <w:left w:val="nil"/>
              <w:bottom w:val="nil"/>
              <w:right w:val="nil"/>
            </w:tcBorders>
            <w:tcMar>
              <w:top w:w="0" w:type="dxa"/>
              <w:left w:w="0" w:type="dxa"/>
              <w:bottom w:w="28" w:type="dxa"/>
              <w:right w:w="0" w:type="dxa"/>
            </w:tcMar>
          </w:tcPr>
          <w:p w:rsidRPr="00547CE1" w:rsidR="00547CE1" w:rsidP="00547CE1" w:rsidRDefault="00547CE1" w14:paraId="098E134F" w14:textId="77777777">
            <w:pPr>
              <w:pStyle w:val="tablebody"/>
              <w:rPr>
                <w:lang w:val="en-US"/>
              </w:rPr>
            </w:pPr>
          </w:p>
        </w:tc>
        <w:tc>
          <w:tcPr>
            <w:tcW w:w="5103" w:type="dxa"/>
            <w:tcBorders>
              <w:top w:val="nil"/>
              <w:left w:val="nil"/>
              <w:bottom w:val="nil"/>
              <w:right w:val="nil"/>
            </w:tcBorders>
            <w:tcMar>
              <w:top w:w="0" w:type="dxa"/>
              <w:left w:w="0" w:type="dxa"/>
              <w:bottom w:w="28" w:type="dxa"/>
              <w:right w:w="0" w:type="dxa"/>
            </w:tcMar>
          </w:tcPr>
          <w:p w:rsidRPr="00547CE1" w:rsidR="00547CE1" w:rsidP="00547CE1" w:rsidRDefault="00547CE1" w14:paraId="2A87779F" w14:textId="77777777">
            <w:pPr>
              <w:pStyle w:val="tablebody"/>
            </w:pPr>
            <w:r w:rsidRPr="00547CE1">
              <w:t>Non-current borrowing lease liabilities</w:t>
            </w: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2A04D1E6" w14:textId="77777777">
            <w:pPr>
              <w:pStyle w:val="tablebody"/>
              <w:jc w:val="right"/>
              <w:rPr>
                <w:lang w:val="en-US"/>
              </w:rPr>
            </w:pPr>
          </w:p>
        </w:tc>
        <w:tc>
          <w:tcPr>
            <w:tcW w:w="1134" w:type="dxa"/>
            <w:tcBorders>
              <w:top w:val="nil"/>
              <w:left w:val="nil"/>
              <w:bottom w:val="nil"/>
              <w:right w:val="nil"/>
            </w:tcBorders>
            <w:tcMar>
              <w:top w:w="0" w:type="dxa"/>
              <w:left w:w="0" w:type="dxa"/>
              <w:bottom w:w="28" w:type="dxa"/>
              <w:right w:w="0" w:type="dxa"/>
            </w:tcMar>
          </w:tcPr>
          <w:p w:rsidRPr="00547CE1" w:rsidR="00547CE1" w:rsidP="002A3B62" w:rsidRDefault="00547CE1" w14:paraId="15F534CE" w14:textId="77777777">
            <w:pPr>
              <w:pStyle w:val="tablebody"/>
              <w:jc w:val="right"/>
              <w:rPr>
                <w:lang w:val="en-US"/>
              </w:rPr>
            </w:pPr>
          </w:p>
        </w:tc>
        <w:tc>
          <w:tcPr>
            <w:tcW w:w="1133"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7AF78AEA" w14:textId="77777777">
            <w:pPr>
              <w:pStyle w:val="tablebody"/>
              <w:jc w:val="right"/>
            </w:pPr>
            <w:r w:rsidRPr="00547CE1">
              <w:t xml:space="preserve">670,002 </w:t>
            </w:r>
          </w:p>
        </w:tc>
        <w:tc>
          <w:tcPr>
            <w:tcW w:w="1134" w:type="dxa"/>
            <w:tcBorders>
              <w:top w:val="nil"/>
              <w:left w:val="nil"/>
              <w:bottom w:val="single" w:color="000000" w:sz="6" w:space="0"/>
              <w:right w:val="nil"/>
            </w:tcBorders>
            <w:tcMar>
              <w:top w:w="0" w:type="dxa"/>
              <w:left w:w="0" w:type="dxa"/>
              <w:bottom w:w="28" w:type="dxa"/>
              <w:right w:w="0" w:type="dxa"/>
            </w:tcMar>
          </w:tcPr>
          <w:p w:rsidRPr="00547CE1" w:rsidR="00547CE1" w:rsidP="002A3B62" w:rsidRDefault="00547CE1" w14:paraId="0599292C" w14:textId="77777777">
            <w:pPr>
              <w:pStyle w:val="tablebody"/>
              <w:jc w:val="right"/>
            </w:pPr>
            <w:r w:rsidRPr="00547CE1">
              <w:t xml:space="preserve">630,912 </w:t>
            </w:r>
          </w:p>
        </w:tc>
      </w:tr>
      <w:tr w:rsidRPr="00547CE1" w:rsidR="00547CE1" w:rsidTr="002A3B62" w14:paraId="0715574B" w14:textId="77777777">
        <w:tc>
          <w:tcPr>
            <w:tcW w:w="283" w:type="dxa"/>
            <w:tcBorders>
              <w:top w:val="nil"/>
              <w:left w:val="nil"/>
              <w:bottom w:val="single" w:color="000000" w:sz="6" w:space="0"/>
              <w:right w:val="nil"/>
            </w:tcBorders>
            <w:tcMar>
              <w:top w:w="57" w:type="dxa"/>
              <w:left w:w="0" w:type="dxa"/>
              <w:bottom w:w="28" w:type="dxa"/>
              <w:right w:w="0" w:type="dxa"/>
            </w:tcMar>
          </w:tcPr>
          <w:p w:rsidRPr="00547CE1" w:rsidR="00547CE1" w:rsidP="00547CE1" w:rsidRDefault="00547CE1" w14:paraId="605E12CB" w14:textId="77777777">
            <w:pPr>
              <w:pStyle w:val="tablebody"/>
              <w:rPr>
                <w:lang w:val="en-US"/>
              </w:rPr>
            </w:pPr>
          </w:p>
        </w:tc>
        <w:tc>
          <w:tcPr>
            <w:tcW w:w="5103" w:type="dxa"/>
            <w:tcBorders>
              <w:top w:val="nil"/>
              <w:left w:val="nil"/>
              <w:bottom w:val="single" w:color="000000" w:sz="6" w:space="0"/>
              <w:right w:val="nil"/>
            </w:tcBorders>
            <w:tcMar>
              <w:top w:w="57" w:type="dxa"/>
              <w:left w:w="0" w:type="dxa"/>
              <w:bottom w:w="28" w:type="dxa"/>
              <w:right w:w="0" w:type="dxa"/>
            </w:tcMar>
          </w:tcPr>
          <w:p w:rsidRPr="00547CE1" w:rsidR="00547CE1" w:rsidP="00547CE1" w:rsidRDefault="00547CE1" w14:paraId="1403DA61" w14:textId="77777777">
            <w:pPr>
              <w:pStyle w:val="tablebody"/>
              <w:rPr>
                <w:lang w:val="en-US"/>
              </w:rPr>
            </w:pPr>
          </w:p>
        </w:tc>
        <w:tc>
          <w:tcPr>
            <w:tcW w:w="1134" w:type="dxa"/>
            <w:tcBorders>
              <w:top w:val="nil"/>
              <w:left w:val="nil"/>
              <w:bottom w:val="single" w:color="000000" w:sz="6" w:space="0"/>
              <w:right w:val="nil"/>
            </w:tcBorders>
            <w:tcMar>
              <w:top w:w="57" w:type="dxa"/>
              <w:left w:w="0" w:type="dxa"/>
              <w:bottom w:w="28" w:type="dxa"/>
              <w:right w:w="0" w:type="dxa"/>
            </w:tcMar>
          </w:tcPr>
          <w:p w:rsidRPr="00547CE1" w:rsidR="00547CE1" w:rsidP="002A3B62" w:rsidRDefault="00547CE1" w14:paraId="72DD6C8A" w14:textId="77777777">
            <w:pPr>
              <w:pStyle w:val="tablebody"/>
              <w:jc w:val="right"/>
              <w:rPr>
                <w:lang w:val="en-US"/>
              </w:rPr>
            </w:pPr>
          </w:p>
        </w:tc>
        <w:tc>
          <w:tcPr>
            <w:tcW w:w="1134" w:type="dxa"/>
            <w:tcBorders>
              <w:top w:val="nil"/>
              <w:left w:val="nil"/>
              <w:bottom w:val="single" w:color="000000" w:sz="6" w:space="0"/>
              <w:right w:val="nil"/>
            </w:tcBorders>
            <w:tcMar>
              <w:top w:w="57" w:type="dxa"/>
              <w:left w:w="0" w:type="dxa"/>
              <w:bottom w:w="28" w:type="dxa"/>
              <w:right w:w="0" w:type="dxa"/>
            </w:tcMar>
          </w:tcPr>
          <w:p w:rsidRPr="00547CE1" w:rsidR="00547CE1" w:rsidP="002A3B62" w:rsidRDefault="00547CE1" w14:paraId="3399D7E7" w14:textId="77777777">
            <w:pPr>
              <w:pStyle w:val="tablebody"/>
              <w:jc w:val="right"/>
              <w:rPr>
                <w:lang w:val="en-US"/>
              </w:rPr>
            </w:pPr>
          </w:p>
        </w:tc>
        <w:tc>
          <w:tcPr>
            <w:tcW w:w="1133"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2FFC96CE" w14:textId="77777777">
            <w:pPr>
              <w:pStyle w:val="tablebody"/>
              <w:jc w:val="right"/>
            </w:pPr>
            <w:r w:rsidRPr="00547CE1">
              <w:t xml:space="preserve">696,207 </w:t>
            </w:r>
          </w:p>
        </w:tc>
        <w:tc>
          <w:tcPr>
            <w:tcW w:w="1134" w:type="dxa"/>
            <w:tcBorders>
              <w:top w:val="single" w:color="000000" w:sz="6" w:space="0"/>
              <w:left w:val="nil"/>
              <w:bottom w:val="single" w:color="000000" w:sz="6" w:space="0"/>
              <w:right w:val="nil"/>
            </w:tcBorders>
            <w:tcMar>
              <w:top w:w="57" w:type="dxa"/>
              <w:left w:w="0" w:type="dxa"/>
              <w:bottom w:w="28" w:type="dxa"/>
              <w:right w:w="0" w:type="dxa"/>
            </w:tcMar>
          </w:tcPr>
          <w:p w:rsidRPr="00547CE1" w:rsidR="00547CE1" w:rsidP="002A3B62" w:rsidRDefault="00547CE1" w14:paraId="0832272B" w14:textId="77777777">
            <w:pPr>
              <w:pStyle w:val="tablebody"/>
              <w:jc w:val="right"/>
            </w:pPr>
            <w:r w:rsidRPr="00547CE1">
              <w:t xml:space="preserve">651,888 </w:t>
            </w:r>
          </w:p>
        </w:tc>
      </w:tr>
    </w:tbl>
    <w:p w:rsidRPr="00547CE1" w:rsidR="00547CE1" w:rsidP="002A3B62" w:rsidRDefault="00547CE1" w14:paraId="3BC19B02" w14:textId="77777777">
      <w:pPr>
        <w:pStyle w:val="notes"/>
      </w:pPr>
      <w:r w:rsidRPr="00547CE1">
        <w:t>(i) Minimum future lease payments include the aggregate of all lease payments and any guaranteed residual.</w:t>
      </w:r>
    </w:p>
    <w:p w:rsidRPr="002A3B62" w:rsidR="00547CE1" w:rsidP="002A3B62" w:rsidRDefault="00547CE1" w14:paraId="5FE58588" w14:textId="6DC3EE6D">
      <w:pPr>
        <w:pStyle w:val="Heading4"/>
      </w:pPr>
      <w:r w:rsidRPr="002A3B62">
        <w:lastRenderedPageBreak/>
        <w:t>Interest expense</w:t>
      </w:r>
    </w:p>
    <w:tbl>
      <w:tblPr>
        <w:tblW w:w="0" w:type="auto"/>
        <w:tblLayout w:type="fixed"/>
        <w:tblCellMar>
          <w:left w:w="0" w:type="dxa"/>
          <w:right w:w="0" w:type="dxa"/>
        </w:tblCellMar>
        <w:tblLook w:firstRow="1" w:lastRow="0" w:firstColumn="0" w:lastColumn="0" w:noHBand="0" w:noVBand="0" w:val="0020"/>
      </w:tblPr>
      <w:tblGrid>
        <w:gridCol w:w="283"/>
        <w:gridCol w:w="6804"/>
        <w:gridCol w:w="1417"/>
        <w:gridCol w:w="1417"/>
      </w:tblGrid>
      <w:tr w:rsidRPr="002A3B62" w:rsidR="00547CE1" w:rsidTr="002A3B62" w14:paraId="55C76ED1" w14:textId="77777777">
        <w:trPr>
          <w:tblHeader/>
        </w:trPr>
        <w:tc>
          <w:tcPr>
            <w:tcW w:w="283" w:type="dxa"/>
            <w:tcBorders>
              <w:top w:val="nil"/>
              <w:left w:val="nil"/>
              <w:bottom w:val="single" w:color="000000" w:sz="6" w:space="0"/>
              <w:right w:val="nil"/>
            </w:tcBorders>
            <w:tcMar>
              <w:top w:w="0" w:type="dxa"/>
              <w:left w:w="0" w:type="dxa"/>
              <w:bottom w:w="57" w:type="dxa"/>
              <w:right w:w="0" w:type="dxa"/>
            </w:tcMar>
          </w:tcPr>
          <w:p w:rsidRPr="002A3B62" w:rsidR="00547CE1" w:rsidP="002A3B62" w:rsidRDefault="00547CE1" w14:paraId="03408F2C" w14:textId="77777777">
            <w:pPr>
              <w:pStyle w:val="tablebody"/>
              <w:rPr>
                <w:b/>
                <w:lang w:val="en-US"/>
              </w:rPr>
            </w:pPr>
          </w:p>
        </w:tc>
        <w:tc>
          <w:tcPr>
            <w:tcW w:w="6804" w:type="dxa"/>
            <w:tcBorders>
              <w:top w:val="nil"/>
              <w:left w:val="nil"/>
              <w:bottom w:val="single" w:color="000000" w:sz="6" w:space="0"/>
              <w:right w:val="nil"/>
            </w:tcBorders>
            <w:tcMar>
              <w:top w:w="0" w:type="dxa"/>
              <w:left w:w="0" w:type="dxa"/>
              <w:bottom w:w="57" w:type="dxa"/>
              <w:right w:w="0" w:type="dxa"/>
            </w:tcMar>
          </w:tcPr>
          <w:p w:rsidRPr="002A3B62" w:rsidR="00547CE1" w:rsidP="002A3B62" w:rsidRDefault="00547CE1" w14:paraId="5EC13983" w14:textId="77777777">
            <w:pPr>
              <w:pStyle w:val="tablebody"/>
              <w:rPr>
                <w:b/>
                <w:lang w:val="en-US"/>
              </w:rPr>
            </w:pPr>
          </w:p>
        </w:tc>
        <w:tc>
          <w:tcPr>
            <w:tcW w:w="1417" w:type="dxa"/>
            <w:tcBorders>
              <w:top w:val="nil"/>
              <w:left w:val="nil"/>
              <w:bottom w:val="single" w:color="000000" w:sz="6" w:space="0"/>
              <w:right w:val="nil"/>
            </w:tcBorders>
            <w:tcMar>
              <w:top w:w="0" w:type="dxa"/>
              <w:left w:w="0" w:type="dxa"/>
              <w:bottom w:w="57" w:type="dxa"/>
              <w:right w:w="0" w:type="dxa"/>
            </w:tcMar>
          </w:tcPr>
          <w:p w:rsidRPr="002A3B62" w:rsidR="00547CE1" w:rsidP="002A3B62" w:rsidRDefault="00547CE1" w14:paraId="35C84F14" w14:textId="77777777">
            <w:pPr>
              <w:pStyle w:val="tablebody"/>
              <w:jc w:val="right"/>
              <w:rPr>
                <w:b/>
                <w:lang w:val="en-US"/>
              </w:rPr>
            </w:pPr>
          </w:p>
        </w:tc>
        <w:tc>
          <w:tcPr>
            <w:tcW w:w="1417" w:type="dxa"/>
            <w:tcBorders>
              <w:top w:val="nil"/>
              <w:left w:val="nil"/>
              <w:bottom w:val="single" w:color="000000" w:sz="6" w:space="0"/>
              <w:right w:val="nil"/>
            </w:tcBorders>
            <w:tcMar>
              <w:top w:w="0" w:type="dxa"/>
              <w:left w:w="0" w:type="dxa"/>
              <w:bottom w:w="57" w:type="dxa"/>
              <w:right w:w="0" w:type="dxa"/>
            </w:tcMar>
          </w:tcPr>
          <w:p w:rsidRPr="002A3B62" w:rsidR="00547CE1" w:rsidP="002A3B62" w:rsidRDefault="00547CE1" w14:paraId="608E7FBD" w14:textId="77777777">
            <w:pPr>
              <w:pStyle w:val="tablebody"/>
              <w:jc w:val="right"/>
              <w:rPr>
                <w:b/>
              </w:rPr>
            </w:pPr>
            <w:r w:rsidRPr="002A3B62">
              <w:rPr>
                <w:b/>
              </w:rPr>
              <w:t>($ thousand)</w:t>
            </w:r>
          </w:p>
        </w:tc>
      </w:tr>
      <w:tr w:rsidRPr="002A3B62" w:rsidR="00547CE1" w:rsidTr="002A3B62" w14:paraId="653BCD65" w14:textId="77777777">
        <w:trPr>
          <w:tblHeader/>
        </w:trPr>
        <w:tc>
          <w:tcPr>
            <w:tcW w:w="283"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5EF33D1D" w14:textId="77777777">
            <w:pPr>
              <w:pStyle w:val="tablebody"/>
              <w:rPr>
                <w:b/>
                <w:lang w:val="en-US"/>
              </w:rPr>
            </w:pPr>
          </w:p>
        </w:tc>
        <w:tc>
          <w:tcPr>
            <w:tcW w:w="6804"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347C5EAC"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2248BDDC" w14:textId="77777777">
            <w:pPr>
              <w:pStyle w:val="tablebody"/>
              <w:jc w:val="right"/>
              <w:rPr>
                <w:b/>
              </w:rPr>
            </w:pPr>
            <w:r w:rsidRPr="002A3B62">
              <w:rPr>
                <w:b/>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5BA85E70" w14:textId="77777777">
            <w:pPr>
              <w:pStyle w:val="tablebody"/>
              <w:jc w:val="right"/>
              <w:rPr>
                <w:b/>
              </w:rPr>
            </w:pPr>
            <w:r w:rsidRPr="002A3B62">
              <w:rPr>
                <w:b/>
              </w:rPr>
              <w:t>2018</w:t>
            </w:r>
          </w:p>
        </w:tc>
      </w:tr>
      <w:tr w:rsidRPr="00547CE1" w:rsidR="00547CE1" w:rsidTr="002A3B62" w14:paraId="7F0804E5" w14:textId="77777777">
        <w:tc>
          <w:tcPr>
            <w:tcW w:w="7087" w:type="dxa"/>
            <w:gridSpan w:val="2"/>
            <w:tcBorders>
              <w:top w:val="single" w:color="000000" w:sz="6" w:space="0"/>
              <w:left w:val="nil"/>
              <w:bottom w:val="nil"/>
              <w:right w:val="nil"/>
            </w:tcBorders>
            <w:tcMar>
              <w:top w:w="57" w:type="dxa"/>
              <w:left w:w="0" w:type="dxa"/>
              <w:bottom w:w="57" w:type="dxa"/>
              <w:right w:w="0" w:type="dxa"/>
            </w:tcMar>
          </w:tcPr>
          <w:p w:rsidRPr="00547CE1" w:rsidR="00547CE1" w:rsidP="002A3B62" w:rsidRDefault="00547CE1" w14:paraId="42438C4F" w14:textId="77777777">
            <w:pPr>
              <w:pStyle w:val="tablebody"/>
            </w:pPr>
            <w:r w:rsidRPr="00547CE1">
              <w:t>Interest on finance leases</w:t>
            </w:r>
          </w:p>
        </w:tc>
        <w:tc>
          <w:tcPr>
            <w:tcW w:w="1417" w:type="dxa"/>
            <w:tcBorders>
              <w:top w:val="single" w:color="000000" w:sz="6" w:space="0"/>
              <w:left w:val="nil"/>
              <w:bottom w:val="nil"/>
              <w:right w:val="nil"/>
            </w:tcBorders>
            <w:tcMar>
              <w:top w:w="57" w:type="dxa"/>
              <w:left w:w="0" w:type="dxa"/>
              <w:bottom w:w="57" w:type="dxa"/>
              <w:right w:w="0" w:type="dxa"/>
            </w:tcMar>
          </w:tcPr>
          <w:p w:rsidRPr="00547CE1" w:rsidR="00547CE1" w:rsidP="002A3B62" w:rsidRDefault="00547CE1" w14:paraId="346A8CC4" w14:textId="77777777">
            <w:pPr>
              <w:pStyle w:val="tablebody"/>
              <w:jc w:val="right"/>
              <w:rPr>
                <w:lang w:val="en-US"/>
              </w:rPr>
            </w:pPr>
          </w:p>
        </w:tc>
        <w:tc>
          <w:tcPr>
            <w:tcW w:w="1417" w:type="dxa"/>
            <w:tcBorders>
              <w:top w:val="single" w:color="000000" w:sz="6" w:space="0"/>
              <w:left w:val="nil"/>
              <w:bottom w:val="nil"/>
              <w:right w:val="nil"/>
            </w:tcBorders>
            <w:tcMar>
              <w:top w:w="57" w:type="dxa"/>
              <w:left w:w="0" w:type="dxa"/>
              <w:bottom w:w="57" w:type="dxa"/>
              <w:right w:w="0" w:type="dxa"/>
            </w:tcMar>
          </w:tcPr>
          <w:p w:rsidRPr="00547CE1" w:rsidR="00547CE1" w:rsidP="002A3B62" w:rsidRDefault="00547CE1" w14:paraId="76A6FB6A" w14:textId="77777777">
            <w:pPr>
              <w:pStyle w:val="tablebody"/>
              <w:jc w:val="right"/>
              <w:rPr>
                <w:lang w:val="en-US"/>
              </w:rPr>
            </w:pPr>
          </w:p>
        </w:tc>
      </w:tr>
      <w:tr w:rsidRPr="00547CE1" w:rsidR="00547CE1" w:rsidTr="002A3B62" w14:paraId="37A46BF3" w14:textId="77777777">
        <w:tc>
          <w:tcPr>
            <w:tcW w:w="7087" w:type="dxa"/>
            <w:gridSpan w:val="2"/>
            <w:tcBorders>
              <w:top w:val="nil"/>
              <w:left w:val="nil"/>
              <w:bottom w:val="nil"/>
              <w:right w:val="nil"/>
            </w:tcBorders>
            <w:tcMar>
              <w:top w:w="0" w:type="dxa"/>
              <w:left w:w="0" w:type="dxa"/>
              <w:bottom w:w="57" w:type="dxa"/>
              <w:right w:w="0" w:type="dxa"/>
            </w:tcMar>
          </w:tcPr>
          <w:p w:rsidRPr="002A3B62" w:rsidR="00547CE1" w:rsidP="002A3B62" w:rsidRDefault="00547CE1" w14:paraId="71B0BAE7" w14:textId="77777777">
            <w:pPr>
              <w:pStyle w:val="Bullet1"/>
              <w:spacing w:after="0"/>
              <w:rPr>
                <w:sz w:val="16"/>
                <w:szCs w:val="16"/>
              </w:rPr>
            </w:pPr>
            <w:r w:rsidRPr="002A3B62">
              <w:rPr>
                <w:sz w:val="16"/>
                <w:szCs w:val="16"/>
              </w:rPr>
              <w:t>For PPP arrangements</w:t>
            </w:r>
          </w:p>
        </w:tc>
        <w:tc>
          <w:tcPr>
            <w:tcW w:w="1417" w:type="dxa"/>
            <w:tcBorders>
              <w:top w:val="nil"/>
              <w:left w:val="nil"/>
              <w:bottom w:val="nil"/>
              <w:right w:val="nil"/>
            </w:tcBorders>
            <w:tcMar>
              <w:top w:w="0" w:type="dxa"/>
              <w:left w:w="0" w:type="dxa"/>
              <w:bottom w:w="57" w:type="dxa"/>
              <w:right w:w="0" w:type="dxa"/>
            </w:tcMar>
          </w:tcPr>
          <w:p w:rsidRPr="00547CE1" w:rsidR="00547CE1" w:rsidP="002A3B62" w:rsidRDefault="00547CE1" w14:paraId="23FF178C" w14:textId="77777777">
            <w:pPr>
              <w:pStyle w:val="tablebody"/>
              <w:jc w:val="right"/>
            </w:pPr>
            <w:r w:rsidRPr="00547CE1">
              <w:t xml:space="preserve">63,279 </w:t>
            </w:r>
          </w:p>
        </w:tc>
        <w:tc>
          <w:tcPr>
            <w:tcW w:w="1417" w:type="dxa"/>
            <w:tcBorders>
              <w:top w:val="nil"/>
              <w:left w:val="nil"/>
              <w:bottom w:val="nil"/>
              <w:right w:val="nil"/>
            </w:tcBorders>
            <w:tcMar>
              <w:top w:w="0" w:type="dxa"/>
              <w:left w:w="0" w:type="dxa"/>
              <w:bottom w:w="57" w:type="dxa"/>
              <w:right w:w="0" w:type="dxa"/>
            </w:tcMar>
          </w:tcPr>
          <w:p w:rsidRPr="00547CE1" w:rsidR="00547CE1" w:rsidP="002A3B62" w:rsidRDefault="00547CE1" w14:paraId="0C37116E" w14:textId="77777777">
            <w:pPr>
              <w:pStyle w:val="tablebody"/>
              <w:jc w:val="right"/>
            </w:pPr>
            <w:r w:rsidRPr="00547CE1">
              <w:t xml:space="preserve">50,453 </w:t>
            </w:r>
          </w:p>
        </w:tc>
      </w:tr>
      <w:tr w:rsidRPr="00547CE1" w:rsidR="00547CE1" w:rsidTr="002A3B62" w14:paraId="50C2FB84" w14:textId="77777777">
        <w:tc>
          <w:tcPr>
            <w:tcW w:w="7087" w:type="dxa"/>
            <w:gridSpan w:val="2"/>
            <w:tcBorders>
              <w:top w:val="nil"/>
              <w:left w:val="nil"/>
              <w:bottom w:val="single" w:color="000000" w:sz="6" w:space="0"/>
              <w:right w:val="nil"/>
            </w:tcBorders>
            <w:tcMar>
              <w:top w:w="0" w:type="dxa"/>
              <w:left w:w="0" w:type="dxa"/>
              <w:bottom w:w="57" w:type="dxa"/>
              <w:right w:w="0" w:type="dxa"/>
            </w:tcMar>
          </w:tcPr>
          <w:p w:rsidRPr="002A3B62" w:rsidR="00547CE1" w:rsidP="002A3B62" w:rsidRDefault="00547CE1" w14:paraId="39CE0B97" w14:textId="77777777">
            <w:pPr>
              <w:pStyle w:val="Bullet1"/>
              <w:spacing w:after="0"/>
              <w:rPr>
                <w:sz w:val="16"/>
                <w:szCs w:val="16"/>
              </w:rPr>
            </w:pPr>
            <w:r w:rsidRPr="002A3B62">
              <w:rPr>
                <w:sz w:val="16"/>
                <w:szCs w:val="16"/>
              </w:rPr>
              <w:t>For non-PPP arrangements</w:t>
            </w:r>
          </w:p>
        </w:tc>
        <w:tc>
          <w:tcPr>
            <w:tcW w:w="1417" w:type="dxa"/>
            <w:tcBorders>
              <w:top w:val="nil"/>
              <w:left w:val="nil"/>
              <w:bottom w:val="single" w:color="000000" w:sz="6" w:space="0"/>
              <w:right w:val="nil"/>
            </w:tcBorders>
            <w:tcMar>
              <w:top w:w="0" w:type="dxa"/>
              <w:left w:w="0" w:type="dxa"/>
              <w:bottom w:w="57" w:type="dxa"/>
              <w:right w:w="0" w:type="dxa"/>
            </w:tcMar>
          </w:tcPr>
          <w:p w:rsidRPr="00547CE1" w:rsidR="00547CE1" w:rsidP="002A3B62" w:rsidRDefault="00547CE1" w14:paraId="309F702E" w14:textId="77777777">
            <w:pPr>
              <w:pStyle w:val="tablebody"/>
              <w:jc w:val="right"/>
            </w:pPr>
            <w:r w:rsidRPr="00547CE1">
              <w:t xml:space="preserve">356 </w:t>
            </w:r>
          </w:p>
        </w:tc>
        <w:tc>
          <w:tcPr>
            <w:tcW w:w="1417" w:type="dxa"/>
            <w:tcBorders>
              <w:top w:val="nil"/>
              <w:left w:val="nil"/>
              <w:bottom w:val="single" w:color="000000" w:sz="6" w:space="0"/>
              <w:right w:val="nil"/>
            </w:tcBorders>
            <w:tcMar>
              <w:top w:w="0" w:type="dxa"/>
              <w:left w:w="0" w:type="dxa"/>
              <w:bottom w:w="57" w:type="dxa"/>
              <w:right w:w="0" w:type="dxa"/>
            </w:tcMar>
          </w:tcPr>
          <w:p w:rsidRPr="00547CE1" w:rsidR="00547CE1" w:rsidP="002A3B62" w:rsidRDefault="00547CE1" w14:paraId="6F9F63C2" w14:textId="77777777">
            <w:pPr>
              <w:pStyle w:val="tablebody"/>
              <w:jc w:val="right"/>
            </w:pPr>
            <w:r w:rsidRPr="00547CE1">
              <w:t xml:space="preserve">223 </w:t>
            </w:r>
          </w:p>
        </w:tc>
      </w:tr>
      <w:tr w:rsidRPr="002A3B62" w:rsidR="00547CE1" w:rsidTr="002A3B62" w14:paraId="070DD77F" w14:textId="77777777">
        <w:tc>
          <w:tcPr>
            <w:tcW w:w="7087" w:type="dxa"/>
            <w:gridSpan w:val="2"/>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6337E279" w14:textId="77777777">
            <w:pPr>
              <w:pStyle w:val="tablebody"/>
              <w:rPr>
                <w:b/>
              </w:rPr>
            </w:pPr>
            <w:r w:rsidRPr="002A3B62">
              <w:rPr>
                <w:b/>
              </w:rPr>
              <w:t>Total interest expense</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71F82EE5" w14:textId="77777777">
            <w:pPr>
              <w:pStyle w:val="tablebody"/>
              <w:jc w:val="right"/>
              <w:rPr>
                <w:b/>
              </w:rPr>
            </w:pPr>
            <w:r w:rsidRPr="002A3B62">
              <w:rPr>
                <w:b/>
              </w:rPr>
              <w:t xml:space="preserve">63,635 </w:t>
            </w:r>
          </w:p>
        </w:tc>
        <w:tc>
          <w:tcPr>
            <w:tcW w:w="1417" w:type="dxa"/>
            <w:tcBorders>
              <w:top w:val="single" w:color="000000" w:sz="6" w:space="0"/>
              <w:left w:val="nil"/>
              <w:bottom w:val="single" w:color="000000" w:sz="6" w:space="0"/>
              <w:right w:val="nil"/>
            </w:tcBorders>
            <w:tcMar>
              <w:top w:w="57" w:type="dxa"/>
              <w:left w:w="0" w:type="dxa"/>
              <w:bottom w:w="57" w:type="dxa"/>
              <w:right w:w="0" w:type="dxa"/>
            </w:tcMar>
          </w:tcPr>
          <w:p w:rsidRPr="002A3B62" w:rsidR="00547CE1" w:rsidP="002A3B62" w:rsidRDefault="00547CE1" w14:paraId="592BF975" w14:textId="77777777">
            <w:pPr>
              <w:pStyle w:val="tablebody"/>
              <w:jc w:val="right"/>
              <w:rPr>
                <w:b/>
              </w:rPr>
            </w:pPr>
            <w:r w:rsidRPr="002A3B62">
              <w:rPr>
                <w:b/>
              </w:rPr>
              <w:t xml:space="preserve">50,676 </w:t>
            </w:r>
          </w:p>
        </w:tc>
      </w:tr>
    </w:tbl>
    <w:p w:rsidRPr="00547CE1" w:rsidR="00547CE1" w:rsidP="00547CE1" w:rsidRDefault="00547CE1" w14:paraId="3910DC62" w14:textId="77777777"/>
    <w:p w:rsidRPr="002A3B62" w:rsidR="002A3B62" w:rsidP="002A3B62" w:rsidRDefault="002A3B62" w14:paraId="0C23FCA0" w14:textId="77777777">
      <w:pPr>
        <w:pStyle w:val="Heading3"/>
      </w:pPr>
      <w:r w:rsidRPr="002A3B62">
        <w:t>7.3 Cash flow information and balances</w:t>
      </w:r>
    </w:p>
    <w:p w:rsidRPr="002A3B62" w:rsidR="002A3B62" w:rsidP="002A3B62" w:rsidRDefault="002A3B62" w14:paraId="0584754A" w14:textId="0BFBCA15">
      <w:r w:rsidRPr="002A3B62">
        <w:t>For the purposes of the cash flow statement and balance sheet, cash includes cash on hand and in banks, net of outstanding bank overdrafts, and investments in term deposits of less than three months.  Most of this cash is held in trusts as shown below.</w:t>
      </w:r>
    </w:p>
    <w:tbl>
      <w:tblPr>
        <w:tblW w:w="0" w:type="auto"/>
        <w:tblLayout w:type="fixed"/>
        <w:tblCellMar>
          <w:left w:w="0" w:type="dxa"/>
          <w:right w:w="0" w:type="dxa"/>
        </w:tblCellMar>
        <w:tblLook w:firstRow="1" w:lastRow="0" w:firstColumn="0" w:lastColumn="0" w:noHBand="0" w:noVBand="0" w:val="0020"/>
      </w:tblPr>
      <w:tblGrid>
        <w:gridCol w:w="7101"/>
        <w:gridCol w:w="1417"/>
        <w:gridCol w:w="1417"/>
      </w:tblGrid>
      <w:tr w:rsidRPr="002A3B62" w:rsidR="002A3B62" w:rsidTr="002A3B62" w14:paraId="4822A8B1" w14:textId="77777777">
        <w:trPr>
          <w:tblHeader/>
        </w:trPr>
        <w:tc>
          <w:tcPr>
            <w:tcW w:w="7101"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459458C5" w14:textId="77777777">
            <w:pPr>
              <w:pStyle w:val="tablebody"/>
              <w:rPr>
                <w:b/>
                <w:lang w:val="en-US"/>
              </w:rPr>
            </w:pP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671E62F1" w14:textId="77777777">
            <w:pPr>
              <w:pStyle w:val="tablebody"/>
              <w:jc w:val="right"/>
              <w:rPr>
                <w:b/>
                <w:lang w:val="en-US"/>
              </w:rPr>
            </w:pP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13C6AE8A" w14:textId="77777777">
            <w:pPr>
              <w:pStyle w:val="tablebody"/>
              <w:jc w:val="right"/>
              <w:rPr>
                <w:b/>
              </w:rPr>
            </w:pPr>
            <w:r w:rsidRPr="002A3B62">
              <w:rPr>
                <w:b/>
              </w:rPr>
              <w:t>($ thousand)</w:t>
            </w:r>
          </w:p>
        </w:tc>
      </w:tr>
      <w:tr w:rsidRPr="002A3B62" w:rsidR="002A3B62" w:rsidTr="002A3B62" w14:paraId="3854890F" w14:textId="77777777">
        <w:trPr>
          <w:tblHeader/>
        </w:trPr>
        <w:tc>
          <w:tcPr>
            <w:tcW w:w="710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74AE6FDB" w14:textId="77777777">
            <w:pPr>
              <w:pStyle w:val="tablebody"/>
              <w:rPr>
                <w:b/>
                <w:lang w:val="en-US"/>
              </w:rPr>
            </w:pP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6306116D" w14:textId="77777777">
            <w:pPr>
              <w:pStyle w:val="tablebody"/>
              <w:jc w:val="right"/>
              <w:rPr>
                <w:b/>
              </w:rPr>
            </w:pPr>
            <w:r w:rsidRPr="002A3B62">
              <w:rPr>
                <w:b/>
              </w:rPr>
              <w:t>2019</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7AD77FF3" w14:textId="77777777">
            <w:pPr>
              <w:pStyle w:val="tablebody"/>
              <w:jc w:val="right"/>
              <w:rPr>
                <w:b/>
              </w:rPr>
            </w:pPr>
            <w:r w:rsidRPr="002A3B62">
              <w:rPr>
                <w:b/>
              </w:rPr>
              <w:t>2018</w:t>
            </w:r>
          </w:p>
        </w:tc>
      </w:tr>
      <w:tr w:rsidRPr="002A3B62" w:rsidR="002A3B62" w:rsidTr="002A3B62" w14:paraId="1016AA59" w14:textId="77777777">
        <w:tc>
          <w:tcPr>
            <w:tcW w:w="7101" w:type="dxa"/>
            <w:tcBorders>
              <w:top w:val="single" w:color="000000" w:sz="6" w:space="0"/>
              <w:left w:val="nil"/>
              <w:bottom w:val="nil"/>
              <w:right w:val="nil"/>
            </w:tcBorders>
            <w:tcMar>
              <w:top w:w="57" w:type="dxa"/>
              <w:left w:w="0" w:type="dxa"/>
              <w:bottom w:w="57" w:type="dxa"/>
              <w:right w:w="0" w:type="dxa"/>
            </w:tcMar>
            <w:vAlign w:val="bottom"/>
          </w:tcPr>
          <w:p w:rsidRPr="002A3B62" w:rsidR="002A3B62" w:rsidP="002A3B62" w:rsidRDefault="002A3B62" w14:paraId="1E1AE0FD" w14:textId="77777777">
            <w:pPr>
              <w:pStyle w:val="tablebody"/>
            </w:pPr>
            <w:r w:rsidRPr="002A3B62">
              <w:t>Cash</w:t>
            </w:r>
            <w:r w:rsidRPr="002A3B62">
              <w:rPr>
                <w:vertAlign w:val="superscript"/>
              </w:rPr>
              <w:t xml:space="preserve"> (i)</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2A3B62" w:rsidR="002A3B62" w:rsidP="002A3B62" w:rsidRDefault="002A3B62" w14:paraId="083609E7" w14:textId="77777777">
            <w:pPr>
              <w:pStyle w:val="tablebody"/>
              <w:jc w:val="right"/>
            </w:pPr>
            <w:r w:rsidRPr="002A3B62">
              <w:t xml:space="preserve">(179) </w:t>
            </w:r>
          </w:p>
        </w:tc>
        <w:tc>
          <w:tcPr>
            <w:tcW w:w="1417" w:type="dxa"/>
            <w:tcBorders>
              <w:top w:val="single" w:color="000000" w:sz="6" w:space="0"/>
              <w:left w:val="nil"/>
              <w:bottom w:val="nil"/>
              <w:right w:val="nil"/>
            </w:tcBorders>
            <w:tcMar>
              <w:top w:w="57" w:type="dxa"/>
              <w:left w:w="0" w:type="dxa"/>
              <w:bottom w:w="57" w:type="dxa"/>
              <w:right w:w="0" w:type="dxa"/>
            </w:tcMar>
            <w:vAlign w:val="bottom"/>
          </w:tcPr>
          <w:p w:rsidRPr="002A3B62" w:rsidR="002A3B62" w:rsidP="002A3B62" w:rsidRDefault="002A3B62" w14:paraId="1C269B0B" w14:textId="77777777">
            <w:pPr>
              <w:pStyle w:val="tablebody"/>
              <w:jc w:val="right"/>
            </w:pPr>
            <w:r w:rsidRPr="002A3B62">
              <w:t xml:space="preserve">(1,427) </w:t>
            </w:r>
          </w:p>
        </w:tc>
      </w:tr>
      <w:tr w:rsidRPr="002A3B62" w:rsidR="002A3B62" w:rsidTr="002A3B62" w14:paraId="29F190B6"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091D865" w14:textId="77777777">
            <w:pPr>
              <w:pStyle w:val="tablebody"/>
            </w:pPr>
            <w:r w:rsidRPr="002A3B62">
              <w:t xml:space="preserve">Cash and deposits held in trust </w:t>
            </w:r>
            <w:r w:rsidRPr="002A3B62">
              <w:rPr>
                <w:vertAlign w:val="superscript"/>
              </w:rPr>
              <w:t>(ii)</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6278026" w14:textId="77777777">
            <w:pPr>
              <w:pStyle w:val="tablebody"/>
              <w:jc w:val="right"/>
              <w:rPr>
                <w:lang w:val="en-US"/>
              </w:rPr>
            </w:pP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346BE309" w14:textId="77777777">
            <w:pPr>
              <w:pStyle w:val="tablebody"/>
              <w:jc w:val="right"/>
              <w:rPr>
                <w:lang w:val="en-US"/>
              </w:rPr>
            </w:pPr>
          </w:p>
        </w:tc>
      </w:tr>
      <w:tr w:rsidRPr="002A3B62" w:rsidR="002A3B62" w:rsidTr="002A3B62" w14:paraId="44944178"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334951B0" w14:textId="77777777">
            <w:pPr>
              <w:pStyle w:val="tablebody"/>
            </w:pPr>
            <w:r w:rsidRPr="002A3B62">
              <w:t>Crime prevention and victims’ aid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1ECF8FED" w14:textId="77777777">
            <w:pPr>
              <w:pStyle w:val="tablebody"/>
              <w:jc w:val="right"/>
            </w:pPr>
            <w:r w:rsidRPr="002A3B62">
              <w:t xml:space="preserve">41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1BD13969" w14:textId="77777777">
            <w:pPr>
              <w:pStyle w:val="tablebody"/>
              <w:jc w:val="right"/>
            </w:pPr>
            <w:r w:rsidRPr="002A3B62">
              <w:t xml:space="preserve">41 </w:t>
            </w:r>
          </w:p>
        </w:tc>
      </w:tr>
      <w:tr w:rsidRPr="002A3B62" w:rsidR="002A3B62" w:rsidTr="002A3B62" w14:paraId="7B461291"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6A067A6" w14:textId="77777777">
            <w:pPr>
              <w:pStyle w:val="tablebody"/>
            </w:pPr>
            <w:r w:rsidRPr="002A3B62">
              <w:t>Domestic builders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2B4F09E" w14:textId="77777777">
            <w:pPr>
              <w:pStyle w:val="tablebody"/>
              <w:jc w:val="right"/>
            </w:pPr>
            <w:r w:rsidRPr="002A3B62">
              <w:t xml:space="preserve">21,442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27FC8C6" w14:textId="77777777">
            <w:pPr>
              <w:pStyle w:val="tablebody"/>
              <w:jc w:val="right"/>
            </w:pPr>
            <w:r w:rsidRPr="002A3B62">
              <w:t xml:space="preserve">2,442 </w:t>
            </w:r>
          </w:p>
        </w:tc>
      </w:tr>
      <w:tr w:rsidRPr="002A3B62" w:rsidR="002A3B62" w:rsidTr="002A3B62" w14:paraId="6C898904"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A433F30" w14:textId="77777777">
            <w:pPr>
              <w:pStyle w:val="tablebody"/>
            </w:pPr>
            <w:r w:rsidRPr="002A3B62">
              <w:t>Victorian property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10DBDE3F" w14:textId="77777777">
            <w:pPr>
              <w:pStyle w:val="tablebody"/>
              <w:jc w:val="right"/>
            </w:pPr>
            <w:r w:rsidRPr="002A3B62">
              <w:t xml:space="preserve">26,186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DE9C724" w14:textId="77777777">
            <w:pPr>
              <w:pStyle w:val="tablebody"/>
              <w:jc w:val="right"/>
            </w:pPr>
            <w:r w:rsidRPr="002A3B62">
              <w:t xml:space="preserve">28,286 </w:t>
            </w:r>
          </w:p>
        </w:tc>
      </w:tr>
      <w:tr w:rsidRPr="002A3B62" w:rsidR="002A3B62" w:rsidTr="002A3B62" w14:paraId="5B010FC7"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735A4F98" w14:textId="77777777">
            <w:pPr>
              <w:pStyle w:val="tablebody"/>
            </w:pPr>
            <w:r w:rsidRPr="002A3B62">
              <w:t>Correctional enterprises working account</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6AAC5ED8" w14:textId="77777777">
            <w:pPr>
              <w:pStyle w:val="tablebody"/>
              <w:jc w:val="right"/>
            </w:pPr>
            <w:r w:rsidRPr="002A3B62">
              <w:t xml:space="preserve">11,613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71BF8292" w14:textId="77777777">
            <w:pPr>
              <w:pStyle w:val="tablebody"/>
              <w:jc w:val="right"/>
            </w:pPr>
            <w:r w:rsidRPr="002A3B62">
              <w:t xml:space="preserve">12,616 </w:t>
            </w:r>
          </w:p>
        </w:tc>
      </w:tr>
      <w:tr w:rsidRPr="002A3B62" w:rsidR="002A3B62" w:rsidTr="002A3B62" w14:paraId="45696744"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2C71F22" w14:textId="77777777">
            <w:pPr>
              <w:pStyle w:val="tablebody"/>
            </w:pPr>
            <w:r w:rsidRPr="002A3B62">
              <w:t>Motor car traders’ guarantee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3C022D06" w14:textId="77777777">
            <w:pPr>
              <w:pStyle w:val="tablebody"/>
              <w:jc w:val="right"/>
            </w:pPr>
            <w:r w:rsidRPr="002A3B62">
              <w:t xml:space="preserve">4,940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3A861892" w14:textId="77777777">
            <w:pPr>
              <w:pStyle w:val="tablebody"/>
              <w:jc w:val="right"/>
            </w:pPr>
            <w:r w:rsidRPr="002A3B62">
              <w:t xml:space="preserve">1,635 </w:t>
            </w:r>
          </w:p>
        </w:tc>
      </w:tr>
      <w:tr w:rsidRPr="002A3B62" w:rsidR="002A3B62" w:rsidTr="002A3B62" w14:paraId="19E6F8F0"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77AB6774" w14:textId="77777777">
            <w:pPr>
              <w:pStyle w:val="tablebody"/>
            </w:pPr>
            <w:r w:rsidRPr="002A3B62">
              <w:t>National gambling research trust</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5ACBF7C" w14:textId="77777777">
            <w:pPr>
              <w:pStyle w:val="tablebody"/>
              <w:jc w:val="right"/>
            </w:pPr>
            <w:r w:rsidRPr="002A3B62">
              <w:t xml:space="preserve">0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F3AB2B7" w14:textId="77777777">
            <w:pPr>
              <w:pStyle w:val="tablebody"/>
              <w:jc w:val="right"/>
            </w:pPr>
            <w:r w:rsidRPr="002A3B62">
              <w:t xml:space="preserve">0 </w:t>
            </w:r>
          </w:p>
        </w:tc>
      </w:tr>
      <w:tr w:rsidRPr="002A3B62" w:rsidR="002A3B62" w:rsidTr="002A3B62" w14:paraId="0E103F15"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CE8DC97" w14:textId="77777777">
            <w:pPr>
              <w:pStyle w:val="tablebody"/>
            </w:pPr>
            <w:r w:rsidRPr="002A3B62">
              <w:t>Sex work regulation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1C6358AF" w14:textId="77777777">
            <w:pPr>
              <w:pStyle w:val="tablebody"/>
              <w:jc w:val="right"/>
            </w:pPr>
            <w:r w:rsidRPr="002A3B62">
              <w:t xml:space="preserve">1,046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2A4E0486" w14:textId="77777777">
            <w:pPr>
              <w:pStyle w:val="tablebody"/>
              <w:jc w:val="right"/>
            </w:pPr>
            <w:r w:rsidRPr="002A3B62">
              <w:t xml:space="preserve">1,251 </w:t>
            </w:r>
          </w:p>
        </w:tc>
      </w:tr>
      <w:tr w:rsidRPr="002A3B62" w:rsidR="002A3B62" w:rsidTr="002A3B62" w14:paraId="7F4A52BE"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2050B729" w14:textId="77777777">
            <w:pPr>
              <w:pStyle w:val="tablebody"/>
            </w:pPr>
            <w:r w:rsidRPr="002A3B62">
              <w:t>Residential tenancies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38F7204" w14:textId="77777777">
            <w:pPr>
              <w:pStyle w:val="tablebody"/>
              <w:jc w:val="right"/>
            </w:pPr>
            <w:r w:rsidRPr="002A3B62">
              <w:t xml:space="preserve">3,515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115E04A" w14:textId="77777777">
            <w:pPr>
              <w:pStyle w:val="tablebody"/>
              <w:jc w:val="right"/>
            </w:pPr>
            <w:r w:rsidRPr="002A3B62">
              <w:t xml:space="preserve">3,213 </w:t>
            </w:r>
          </w:p>
        </w:tc>
      </w:tr>
      <w:tr w:rsidRPr="002A3B62" w:rsidR="002A3B62" w:rsidTr="002A3B62" w14:paraId="5F57C596"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61553763" w14:textId="77777777">
            <w:pPr>
              <w:pStyle w:val="tablebody"/>
            </w:pPr>
            <w:r w:rsidRPr="002A3B62">
              <w:t>Inter-departmental transfer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1D3AAE41" w14:textId="77777777">
            <w:pPr>
              <w:pStyle w:val="tablebody"/>
              <w:jc w:val="right"/>
            </w:pPr>
            <w:r w:rsidRPr="002A3B62">
              <w:t xml:space="preserve">4,728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6F3BAC8E" w14:textId="77777777">
            <w:pPr>
              <w:pStyle w:val="tablebody"/>
              <w:jc w:val="right"/>
            </w:pPr>
            <w:r w:rsidRPr="002A3B62">
              <w:t xml:space="preserve">2,472 </w:t>
            </w:r>
          </w:p>
        </w:tc>
      </w:tr>
      <w:tr w:rsidRPr="002A3B62" w:rsidR="002A3B62" w:rsidTr="002A3B62" w14:paraId="3761EDAC"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543EB07" w14:textId="77777777">
            <w:pPr>
              <w:pStyle w:val="tablebody"/>
            </w:pPr>
            <w:r w:rsidRPr="002A3B62">
              <w:t>Treasury trust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99C35B9" w14:textId="77777777">
            <w:pPr>
              <w:pStyle w:val="tablebody"/>
              <w:jc w:val="right"/>
            </w:pPr>
            <w:r w:rsidRPr="002A3B62">
              <w:t xml:space="preserve">30,686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58C5CD4D" w14:textId="77777777">
            <w:pPr>
              <w:pStyle w:val="tablebody"/>
              <w:jc w:val="right"/>
            </w:pPr>
            <w:r w:rsidRPr="002A3B62">
              <w:t xml:space="preserve">38,945 </w:t>
            </w:r>
          </w:p>
        </w:tc>
      </w:tr>
      <w:tr w:rsidRPr="002A3B62" w:rsidR="002A3B62" w:rsidTr="002A3B62" w14:paraId="0C6E8E8A"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2E7AC23" w14:textId="77777777">
            <w:pPr>
              <w:pStyle w:val="tablebody"/>
            </w:pPr>
            <w:r w:rsidRPr="002A3B62">
              <w:t>Victorian consumer law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CC38D96" w14:textId="77777777">
            <w:pPr>
              <w:pStyle w:val="tablebody"/>
              <w:jc w:val="right"/>
            </w:pPr>
            <w:r w:rsidRPr="002A3B62">
              <w:t xml:space="preserve">4,829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51B894A" w14:textId="77777777">
            <w:pPr>
              <w:pStyle w:val="tablebody"/>
              <w:jc w:val="right"/>
            </w:pPr>
            <w:r w:rsidRPr="002A3B62">
              <w:t xml:space="preserve">1,293 </w:t>
            </w:r>
          </w:p>
        </w:tc>
      </w:tr>
      <w:tr w:rsidRPr="002A3B62" w:rsidR="002A3B62" w:rsidTr="002A3B62" w14:paraId="32DC1BC0" w14:textId="77777777">
        <w:tc>
          <w:tcPr>
            <w:tcW w:w="7101"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085EEF85" w14:textId="77777777">
            <w:pPr>
              <w:pStyle w:val="tablebody"/>
            </w:pPr>
            <w:r w:rsidRPr="002A3B62">
              <w:t>Emergency services infrastructure authority fund</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3D177B50" w14:textId="77777777">
            <w:pPr>
              <w:pStyle w:val="tablebody"/>
              <w:jc w:val="right"/>
            </w:pPr>
            <w:r w:rsidRPr="002A3B62">
              <w:t xml:space="preserve">8,236 </w:t>
            </w:r>
          </w:p>
        </w:tc>
        <w:tc>
          <w:tcPr>
            <w:tcW w:w="1417" w:type="dxa"/>
            <w:tcBorders>
              <w:top w:val="nil"/>
              <w:left w:val="nil"/>
              <w:bottom w:val="nil"/>
              <w:right w:val="nil"/>
            </w:tcBorders>
            <w:tcMar>
              <w:top w:w="0" w:type="dxa"/>
              <w:left w:w="0" w:type="dxa"/>
              <w:bottom w:w="57" w:type="dxa"/>
              <w:right w:w="0" w:type="dxa"/>
            </w:tcMar>
            <w:vAlign w:val="bottom"/>
          </w:tcPr>
          <w:p w:rsidRPr="002A3B62" w:rsidR="002A3B62" w:rsidP="002A3B62" w:rsidRDefault="002A3B62" w14:paraId="48E2762B" w14:textId="77777777">
            <w:pPr>
              <w:pStyle w:val="tablebody"/>
              <w:jc w:val="right"/>
            </w:pPr>
            <w:r w:rsidRPr="002A3B62">
              <w:t xml:space="preserve">0 </w:t>
            </w:r>
          </w:p>
        </w:tc>
      </w:tr>
      <w:tr w:rsidRPr="002A3B62" w:rsidR="002A3B62" w:rsidTr="002A3B62" w14:paraId="7786AD81" w14:textId="77777777">
        <w:tc>
          <w:tcPr>
            <w:tcW w:w="7101"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41215D35" w14:textId="77777777">
            <w:pPr>
              <w:pStyle w:val="tablebody"/>
            </w:pPr>
            <w:r w:rsidRPr="002A3B62">
              <w:t>Emergency management operational communication program fund</w:t>
            </w: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38018688" w14:textId="77777777">
            <w:pPr>
              <w:pStyle w:val="tablebody"/>
              <w:jc w:val="right"/>
            </w:pPr>
            <w:r w:rsidRPr="002A3B62">
              <w:t xml:space="preserve">44,000 </w:t>
            </w:r>
          </w:p>
        </w:tc>
        <w:tc>
          <w:tcPr>
            <w:tcW w:w="1417" w:type="dxa"/>
            <w:tcBorders>
              <w:top w:val="nil"/>
              <w:left w:val="nil"/>
              <w:bottom w:val="single" w:color="000000" w:sz="6" w:space="0"/>
              <w:right w:val="nil"/>
            </w:tcBorders>
            <w:tcMar>
              <w:top w:w="0" w:type="dxa"/>
              <w:left w:w="0" w:type="dxa"/>
              <w:bottom w:w="57" w:type="dxa"/>
              <w:right w:w="0" w:type="dxa"/>
            </w:tcMar>
            <w:vAlign w:val="bottom"/>
          </w:tcPr>
          <w:p w:rsidRPr="002A3B62" w:rsidR="002A3B62" w:rsidP="002A3B62" w:rsidRDefault="002A3B62" w14:paraId="2D92E5CD" w14:textId="77777777">
            <w:pPr>
              <w:pStyle w:val="tablebody"/>
              <w:jc w:val="right"/>
            </w:pPr>
            <w:r w:rsidRPr="002A3B62">
              <w:t xml:space="preserve">0 </w:t>
            </w:r>
          </w:p>
        </w:tc>
      </w:tr>
      <w:tr w:rsidRPr="002A3B62" w:rsidR="002A3B62" w:rsidTr="002A3B62" w14:paraId="65608C85" w14:textId="77777777">
        <w:tc>
          <w:tcPr>
            <w:tcW w:w="7101"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04BB2B5F" w14:textId="77777777">
            <w:pPr>
              <w:pStyle w:val="tablebody"/>
              <w:rPr>
                <w:b/>
              </w:rPr>
            </w:pPr>
            <w:r w:rsidRPr="002A3B62">
              <w:rPr>
                <w:b/>
              </w:rPr>
              <w:t>Balance as per cash flow statement and balance sheet</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1B7B9895" w14:textId="77777777">
            <w:pPr>
              <w:pStyle w:val="tablebody"/>
              <w:jc w:val="right"/>
              <w:rPr>
                <w:b/>
              </w:rPr>
            </w:pPr>
            <w:r w:rsidRPr="002A3B62">
              <w:rPr>
                <w:b/>
              </w:rPr>
              <w:t xml:space="preserve">161,083 </w:t>
            </w:r>
          </w:p>
        </w:tc>
        <w:tc>
          <w:tcPr>
            <w:tcW w:w="1417" w:type="dxa"/>
            <w:tcBorders>
              <w:top w:val="single" w:color="000000" w:sz="6" w:space="0"/>
              <w:left w:val="nil"/>
              <w:bottom w:val="single" w:color="000000" w:sz="6" w:space="0"/>
              <w:right w:val="nil"/>
            </w:tcBorders>
            <w:tcMar>
              <w:top w:w="57" w:type="dxa"/>
              <w:left w:w="0" w:type="dxa"/>
              <w:bottom w:w="57" w:type="dxa"/>
              <w:right w:w="0" w:type="dxa"/>
            </w:tcMar>
            <w:vAlign w:val="bottom"/>
          </w:tcPr>
          <w:p w:rsidRPr="002A3B62" w:rsidR="002A3B62" w:rsidP="002A3B62" w:rsidRDefault="002A3B62" w14:paraId="6F994107" w14:textId="77777777">
            <w:pPr>
              <w:pStyle w:val="tablebody"/>
              <w:jc w:val="right"/>
              <w:rPr>
                <w:b/>
              </w:rPr>
            </w:pPr>
            <w:r w:rsidRPr="002A3B62">
              <w:rPr>
                <w:b/>
              </w:rPr>
              <w:t xml:space="preserve">90,767 </w:t>
            </w:r>
          </w:p>
        </w:tc>
      </w:tr>
    </w:tbl>
    <w:p w:rsidRPr="002A3B62" w:rsidR="002A3B62" w:rsidP="002A3B62" w:rsidRDefault="002A3B62" w14:paraId="2D4A655A" w14:textId="5584448B">
      <w:pPr>
        <w:pStyle w:val="notes"/>
        <w:spacing w:after="0"/>
        <w:ind w:left="284" w:hanging="284"/>
      </w:pPr>
      <w:r w:rsidRPr="002A3B62">
        <w:t>(i)</w:t>
      </w:r>
      <w:r w:rsidRPr="002A3B62">
        <w:tab/>
        <w:t xml:space="preserve">Due to the State of Victoria’s investment policy and government funding arrangements, government departments generally do not hold a large cash reserve in their bank accounts. Cash received by a department from the generation of revenue is generally paid into the State’s bank account, known as the Public Account.  Similarly, any departmental expenditure, including those in the form of cheques drawn by the department for the payment of goods and services to its suppliers and creditors are made via the Public Account.  The process is such that, the Public Account would remit to the department the cash required for the amount drawn on the cheques.  This remittance by the Public Account occurs upon the presentation of the cheques by the department’s suppliers or creditors. </w:t>
      </w:r>
    </w:p>
    <w:p w:rsidRPr="002A3B62" w:rsidR="002A3B62" w:rsidP="002A3B62" w:rsidRDefault="002A3B62" w14:paraId="1A1EFF25" w14:textId="4E467C2F">
      <w:pPr>
        <w:pStyle w:val="notes"/>
        <w:spacing w:after="0"/>
        <w:ind w:left="284" w:hanging="284"/>
      </w:pPr>
      <w:r w:rsidRPr="002A3B62">
        <w:tab/>
        <w:t>The above funding arrangements often result in departments having a shortfall in the cash at bank required for payment of unpresented cheques at the reporting date.  At 30 June 2019, cash at bank included the amount of a shortfall for the payment of unpresented cheques of $0.220 million (2018: $1.488 million).</w:t>
      </w:r>
    </w:p>
    <w:p w:rsidRPr="002A3B62" w:rsidR="002A3B62" w:rsidP="002A3B62" w:rsidRDefault="002A3B62" w14:paraId="322EF2ED" w14:textId="77777777">
      <w:pPr>
        <w:pStyle w:val="notes"/>
        <w:ind w:left="284" w:hanging="284"/>
      </w:pPr>
      <w:r w:rsidRPr="002A3B62">
        <w:t>(ii)</w:t>
      </w:r>
      <w:r w:rsidRPr="002A3B62">
        <w:tab/>
        <w:t>Funds held in trust are quarantined for use specifically for the purposes under which each trust fund has been established.</w:t>
      </w:r>
    </w:p>
    <w:p w:rsidRPr="002A3B62" w:rsidR="002A3B62" w:rsidP="002A3B62" w:rsidRDefault="002A3B62" w14:paraId="47335291" w14:textId="44B81D8F">
      <w:pPr>
        <w:pStyle w:val="Heading4"/>
      </w:pPr>
      <w:r w:rsidRPr="002A3B62">
        <w:t>7.3.1 Reconciliation of net result for the period to cash flow from operating activities</w:t>
      </w:r>
    </w:p>
    <w:tbl>
      <w:tblPr>
        <w:tblW w:w="0" w:type="auto"/>
        <w:tblLayout w:type="fixed"/>
        <w:tblCellMar>
          <w:left w:w="0" w:type="dxa"/>
          <w:right w:w="0" w:type="dxa"/>
        </w:tblCellMar>
        <w:tblLook w:firstRow="1" w:lastRow="0" w:firstColumn="0" w:lastColumn="0" w:noHBand="0" w:noVBand="0" w:val="0020"/>
      </w:tblPr>
      <w:tblGrid>
        <w:gridCol w:w="6463"/>
        <w:gridCol w:w="1731"/>
        <w:gridCol w:w="1731"/>
      </w:tblGrid>
      <w:tr w:rsidRPr="002A3B62" w:rsidR="002A3B62" w:rsidTr="002A3B62" w14:paraId="70736B41" w14:textId="77777777">
        <w:trPr>
          <w:tblHeader/>
        </w:trPr>
        <w:tc>
          <w:tcPr>
            <w:tcW w:w="6463" w:type="dxa"/>
            <w:tcBorders>
              <w:top w:val="nil"/>
              <w:left w:val="nil"/>
              <w:bottom w:val="single" w:color="000000" w:sz="6" w:space="0"/>
              <w:right w:val="nil"/>
            </w:tcBorders>
            <w:tcMar>
              <w:top w:w="0" w:type="dxa"/>
              <w:left w:w="0" w:type="dxa"/>
              <w:bottom w:w="57" w:type="dxa"/>
              <w:right w:w="0" w:type="dxa"/>
            </w:tcMar>
          </w:tcPr>
          <w:p w:rsidRPr="002A3B62" w:rsidR="002A3B62" w:rsidP="002A3B62" w:rsidRDefault="002A3B62" w14:paraId="16F35B39" w14:textId="77777777">
            <w:pPr>
              <w:pStyle w:val="tablebody"/>
              <w:rPr>
                <w:b/>
                <w:lang w:val="en-US"/>
              </w:rPr>
            </w:pPr>
          </w:p>
        </w:tc>
        <w:tc>
          <w:tcPr>
            <w:tcW w:w="1731" w:type="dxa"/>
            <w:tcBorders>
              <w:top w:val="nil"/>
              <w:left w:val="nil"/>
              <w:bottom w:val="single" w:color="000000" w:sz="6" w:space="0"/>
              <w:right w:val="nil"/>
            </w:tcBorders>
            <w:tcMar>
              <w:top w:w="0" w:type="dxa"/>
              <w:left w:w="0" w:type="dxa"/>
              <w:bottom w:w="57" w:type="dxa"/>
              <w:right w:w="0" w:type="dxa"/>
            </w:tcMar>
          </w:tcPr>
          <w:p w:rsidRPr="002A3B62" w:rsidR="002A3B62" w:rsidP="002A3B62" w:rsidRDefault="002A3B62" w14:paraId="10FF4552" w14:textId="77777777">
            <w:pPr>
              <w:pStyle w:val="tablebody"/>
              <w:jc w:val="right"/>
              <w:rPr>
                <w:b/>
                <w:lang w:val="en-US"/>
              </w:rPr>
            </w:pPr>
          </w:p>
        </w:tc>
        <w:tc>
          <w:tcPr>
            <w:tcW w:w="1731" w:type="dxa"/>
            <w:tcBorders>
              <w:top w:val="nil"/>
              <w:left w:val="nil"/>
              <w:bottom w:val="single" w:color="000000" w:sz="6" w:space="0"/>
              <w:right w:val="nil"/>
            </w:tcBorders>
            <w:tcMar>
              <w:top w:w="0" w:type="dxa"/>
              <w:left w:w="0" w:type="dxa"/>
              <w:bottom w:w="57" w:type="dxa"/>
              <w:right w:w="0" w:type="dxa"/>
            </w:tcMar>
          </w:tcPr>
          <w:p w:rsidRPr="002A3B62" w:rsidR="002A3B62" w:rsidP="002A3B62" w:rsidRDefault="002A3B62" w14:paraId="2C130354" w14:textId="77777777">
            <w:pPr>
              <w:pStyle w:val="tablebody"/>
              <w:jc w:val="right"/>
              <w:rPr>
                <w:b/>
              </w:rPr>
            </w:pPr>
            <w:r w:rsidRPr="002A3B62">
              <w:rPr>
                <w:b/>
              </w:rPr>
              <w:t>($ thousand)</w:t>
            </w:r>
          </w:p>
        </w:tc>
      </w:tr>
      <w:tr w:rsidRPr="002A3B62" w:rsidR="002A3B62" w:rsidTr="002A3B62" w14:paraId="43A65B82" w14:textId="77777777">
        <w:trPr>
          <w:tblHeader/>
        </w:trPr>
        <w:tc>
          <w:tcPr>
            <w:tcW w:w="6463" w:type="dxa"/>
            <w:tcBorders>
              <w:top w:val="single" w:color="000000" w:sz="6" w:space="0"/>
              <w:left w:val="nil"/>
              <w:bottom w:val="single" w:color="000000" w:sz="6" w:space="0"/>
              <w:right w:val="nil"/>
            </w:tcBorders>
            <w:tcMar>
              <w:top w:w="57" w:type="dxa"/>
              <w:left w:w="0" w:type="dxa"/>
              <w:bottom w:w="57" w:type="dxa"/>
              <w:right w:w="0" w:type="dxa"/>
            </w:tcMar>
          </w:tcPr>
          <w:p w:rsidRPr="002A3B62" w:rsidR="002A3B62" w:rsidP="002A3B62" w:rsidRDefault="002A3B62" w14:paraId="16E6903B" w14:textId="77777777">
            <w:pPr>
              <w:pStyle w:val="tablebody"/>
              <w:rPr>
                <w:b/>
                <w:lang w:val="en-US"/>
              </w:rPr>
            </w:pPr>
          </w:p>
        </w:tc>
        <w:tc>
          <w:tcPr>
            <w:tcW w:w="1731" w:type="dxa"/>
            <w:tcBorders>
              <w:top w:val="single" w:color="000000" w:sz="6" w:space="0"/>
              <w:left w:val="nil"/>
              <w:bottom w:val="single" w:color="000000" w:sz="6" w:space="0"/>
              <w:right w:val="nil"/>
            </w:tcBorders>
            <w:tcMar>
              <w:top w:w="57" w:type="dxa"/>
              <w:left w:w="0" w:type="dxa"/>
              <w:bottom w:w="57" w:type="dxa"/>
              <w:right w:w="0" w:type="dxa"/>
            </w:tcMar>
          </w:tcPr>
          <w:p w:rsidRPr="002A3B62" w:rsidR="002A3B62" w:rsidP="002A3B62" w:rsidRDefault="002A3B62" w14:paraId="2637E567" w14:textId="77777777">
            <w:pPr>
              <w:pStyle w:val="tablebody"/>
              <w:jc w:val="right"/>
              <w:rPr>
                <w:b/>
              </w:rPr>
            </w:pPr>
            <w:r w:rsidRPr="002A3B62">
              <w:rPr>
                <w:b/>
              </w:rPr>
              <w:t>2019</w:t>
            </w:r>
          </w:p>
        </w:tc>
        <w:tc>
          <w:tcPr>
            <w:tcW w:w="1731" w:type="dxa"/>
            <w:tcBorders>
              <w:top w:val="single" w:color="000000" w:sz="6" w:space="0"/>
              <w:left w:val="nil"/>
              <w:bottom w:val="single" w:color="000000" w:sz="6" w:space="0"/>
              <w:right w:val="nil"/>
            </w:tcBorders>
            <w:tcMar>
              <w:top w:w="57" w:type="dxa"/>
              <w:left w:w="0" w:type="dxa"/>
              <w:bottom w:w="57" w:type="dxa"/>
              <w:right w:w="0" w:type="dxa"/>
            </w:tcMar>
          </w:tcPr>
          <w:p w:rsidRPr="002A3B62" w:rsidR="002A3B62" w:rsidP="002A3B62" w:rsidRDefault="002A3B62" w14:paraId="49685C36" w14:textId="77777777">
            <w:pPr>
              <w:pStyle w:val="tablebody"/>
              <w:jc w:val="right"/>
              <w:rPr>
                <w:b/>
              </w:rPr>
            </w:pPr>
            <w:r w:rsidRPr="002A3B62">
              <w:rPr>
                <w:b/>
              </w:rPr>
              <w:t>2018</w:t>
            </w:r>
          </w:p>
        </w:tc>
      </w:tr>
      <w:tr w:rsidRPr="002A3B62" w:rsidR="002A3B62" w:rsidTr="002A3B62" w14:paraId="7F8ACE9F" w14:textId="77777777">
        <w:tc>
          <w:tcPr>
            <w:tcW w:w="6463" w:type="dxa"/>
            <w:tcBorders>
              <w:top w:val="single" w:color="000000" w:sz="6" w:space="0"/>
              <w:left w:val="nil"/>
              <w:bottom w:val="nil"/>
              <w:right w:val="nil"/>
            </w:tcBorders>
            <w:tcMar>
              <w:top w:w="57" w:type="dxa"/>
              <w:left w:w="0" w:type="dxa"/>
              <w:bottom w:w="57" w:type="dxa"/>
              <w:right w:w="0" w:type="dxa"/>
            </w:tcMar>
          </w:tcPr>
          <w:p w:rsidRPr="002A3B62" w:rsidR="002A3B62" w:rsidP="002A3B62" w:rsidRDefault="002A3B62" w14:paraId="60116689" w14:textId="77777777">
            <w:pPr>
              <w:pStyle w:val="tablebody"/>
            </w:pPr>
            <w:r w:rsidRPr="002A3B62">
              <w:t>Net result for the period</w:t>
            </w:r>
          </w:p>
        </w:tc>
        <w:tc>
          <w:tcPr>
            <w:tcW w:w="1731" w:type="dxa"/>
            <w:tcBorders>
              <w:top w:val="single" w:color="000000" w:sz="6" w:space="0"/>
              <w:left w:val="nil"/>
              <w:bottom w:val="nil"/>
              <w:right w:val="nil"/>
            </w:tcBorders>
            <w:tcMar>
              <w:top w:w="57" w:type="dxa"/>
              <w:left w:w="0" w:type="dxa"/>
              <w:bottom w:w="57" w:type="dxa"/>
              <w:right w:w="0" w:type="dxa"/>
            </w:tcMar>
          </w:tcPr>
          <w:p w:rsidRPr="002A3B62" w:rsidR="002A3B62" w:rsidP="002A3B62" w:rsidRDefault="002A3B62" w14:paraId="16978D95" w14:textId="77777777">
            <w:pPr>
              <w:pStyle w:val="tablebody"/>
              <w:jc w:val="right"/>
            </w:pPr>
            <w:r w:rsidRPr="002A3B62">
              <w:t xml:space="preserve">(25,894) </w:t>
            </w:r>
          </w:p>
        </w:tc>
        <w:tc>
          <w:tcPr>
            <w:tcW w:w="1731" w:type="dxa"/>
            <w:tcBorders>
              <w:top w:val="single" w:color="000000" w:sz="6" w:space="0"/>
              <w:left w:val="nil"/>
              <w:bottom w:val="nil"/>
              <w:right w:val="nil"/>
            </w:tcBorders>
            <w:tcMar>
              <w:top w:w="57" w:type="dxa"/>
              <w:left w:w="0" w:type="dxa"/>
              <w:bottom w:w="57" w:type="dxa"/>
              <w:right w:w="0" w:type="dxa"/>
            </w:tcMar>
          </w:tcPr>
          <w:p w:rsidRPr="002A3B62" w:rsidR="002A3B62" w:rsidP="002A3B62" w:rsidRDefault="002A3B62" w14:paraId="4F1F519D" w14:textId="77777777">
            <w:pPr>
              <w:pStyle w:val="tablebody"/>
              <w:jc w:val="right"/>
            </w:pPr>
            <w:r w:rsidRPr="002A3B62">
              <w:t xml:space="preserve">29,824 </w:t>
            </w:r>
          </w:p>
        </w:tc>
      </w:tr>
      <w:tr w:rsidRPr="002A3B62" w:rsidR="002A3B62" w:rsidTr="002A3B62" w14:paraId="07C3EC44"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0B259AC2" w14:textId="77777777">
            <w:pPr>
              <w:pStyle w:val="tablebody"/>
            </w:pPr>
            <w:r w:rsidRPr="002A3B62">
              <w:t>Non-cash movements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3CAEB4A8" w14:textId="77777777">
            <w:pPr>
              <w:pStyle w:val="tablebody"/>
              <w:jc w:val="right"/>
              <w:rPr>
                <w:lang w:val="en-US"/>
              </w:rPr>
            </w:pP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15556301" w14:textId="77777777">
            <w:pPr>
              <w:pStyle w:val="tablebody"/>
              <w:jc w:val="right"/>
              <w:rPr>
                <w:lang w:val="en-US"/>
              </w:rPr>
            </w:pPr>
          </w:p>
        </w:tc>
      </w:tr>
      <w:tr w:rsidRPr="002A3B62" w:rsidR="002A3B62" w:rsidTr="002A3B62" w14:paraId="688C4F47"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024BAA73" w14:textId="77777777">
            <w:pPr>
              <w:pStyle w:val="tablebody"/>
            </w:pPr>
            <w:r w:rsidRPr="002A3B62">
              <w:t>Net (gain)/loss on disposal of non-current assets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BD6A4AB" w14:textId="77777777">
            <w:pPr>
              <w:pStyle w:val="tablebody"/>
              <w:jc w:val="right"/>
            </w:pPr>
            <w:r w:rsidRPr="002A3B62">
              <w:t xml:space="preserve">(1,582)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6477F203" w14:textId="77777777">
            <w:pPr>
              <w:pStyle w:val="tablebody"/>
              <w:jc w:val="right"/>
            </w:pPr>
            <w:r w:rsidRPr="002A3B62">
              <w:t xml:space="preserve">(1,956) </w:t>
            </w:r>
          </w:p>
        </w:tc>
      </w:tr>
      <w:tr w:rsidRPr="002A3B62" w:rsidR="002A3B62" w:rsidTr="002A3B62" w14:paraId="73D853EC"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69CA501A" w14:textId="77777777">
            <w:pPr>
              <w:pStyle w:val="tablebody"/>
            </w:pPr>
            <w:r w:rsidRPr="002A3B62">
              <w:t>Depreciation of non-current assets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116FD236" w14:textId="77777777">
            <w:pPr>
              <w:pStyle w:val="tablebody"/>
              <w:jc w:val="right"/>
            </w:pPr>
            <w:r w:rsidRPr="002A3B62">
              <w:t xml:space="preserve">134,681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09E01027" w14:textId="77777777">
            <w:pPr>
              <w:pStyle w:val="tablebody"/>
              <w:jc w:val="right"/>
            </w:pPr>
            <w:r w:rsidRPr="002A3B62">
              <w:t xml:space="preserve">118,593 </w:t>
            </w:r>
          </w:p>
        </w:tc>
      </w:tr>
      <w:tr w:rsidRPr="002A3B62" w:rsidR="002A3B62" w:rsidTr="002A3B62" w14:paraId="4386464A"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4D1887EF" w14:textId="77777777">
            <w:pPr>
              <w:pStyle w:val="tablebody"/>
            </w:pPr>
            <w:r w:rsidRPr="002A3B62">
              <w:t>Impairment of non-current assets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4123B7C3" w14:textId="77777777">
            <w:pPr>
              <w:pStyle w:val="tablebody"/>
              <w:jc w:val="right"/>
            </w:pPr>
            <w:r w:rsidRPr="002A3B62">
              <w:t xml:space="preserve">20,873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124D88D0" w14:textId="77777777">
            <w:pPr>
              <w:pStyle w:val="tablebody"/>
              <w:jc w:val="right"/>
            </w:pPr>
            <w:r w:rsidRPr="002A3B62">
              <w:t xml:space="preserve">0 </w:t>
            </w:r>
          </w:p>
        </w:tc>
      </w:tr>
      <w:tr w:rsidRPr="002A3B62" w:rsidR="002A3B62" w:rsidTr="002A3B62" w14:paraId="5B80EA2C"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11435D9A" w14:textId="77777777">
            <w:pPr>
              <w:pStyle w:val="tablebody"/>
            </w:pPr>
            <w:r w:rsidRPr="002A3B62">
              <w:t>Resources (received)/provided free of charge or for nominal consideration</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606A92D1" w14:textId="77777777">
            <w:pPr>
              <w:pStyle w:val="tablebody"/>
              <w:jc w:val="right"/>
            </w:pPr>
            <w:r w:rsidRPr="002A3B62">
              <w:t xml:space="preserve">(20,172)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738F4CC4" w14:textId="77777777">
            <w:pPr>
              <w:pStyle w:val="tablebody"/>
              <w:jc w:val="right"/>
            </w:pPr>
            <w:r w:rsidRPr="002A3B62">
              <w:t xml:space="preserve">(175) </w:t>
            </w:r>
          </w:p>
        </w:tc>
      </w:tr>
      <w:tr w:rsidRPr="002A3B62" w:rsidR="002A3B62" w:rsidTr="002A3B62" w14:paraId="29933804"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7BA47445" w14:textId="77777777">
            <w:pPr>
              <w:pStyle w:val="tablebody"/>
            </w:pPr>
            <w:r w:rsidRPr="002A3B62">
              <w:t>Net (gain)/loss on financial instruments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6F0D768C" w14:textId="77777777">
            <w:pPr>
              <w:pStyle w:val="tablebody"/>
              <w:jc w:val="right"/>
            </w:pPr>
            <w:r w:rsidRPr="002A3B62">
              <w:t xml:space="preserve">60,811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7289BFE2" w14:textId="77777777">
            <w:pPr>
              <w:pStyle w:val="tablebody"/>
              <w:jc w:val="right"/>
            </w:pPr>
            <w:r w:rsidRPr="002A3B62">
              <w:t xml:space="preserve">(6,006) </w:t>
            </w:r>
          </w:p>
        </w:tc>
      </w:tr>
      <w:tr w:rsidRPr="002A3B62" w:rsidR="002A3B62" w:rsidTr="002A3B62" w14:paraId="3EF6FFD3"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0FD8AF1F" w14:textId="77777777">
            <w:pPr>
              <w:pStyle w:val="tablebody"/>
            </w:pPr>
            <w:r w:rsidRPr="002A3B62">
              <w:t>Net (gain)/loss from revaluation of provisions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06C2FE8C" w14:textId="77777777">
            <w:pPr>
              <w:pStyle w:val="tablebody"/>
              <w:jc w:val="right"/>
            </w:pPr>
            <w:r w:rsidRPr="002A3B62">
              <w:t xml:space="preserve">12,440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01AC02E0" w14:textId="77777777">
            <w:pPr>
              <w:pStyle w:val="tablebody"/>
              <w:jc w:val="right"/>
            </w:pPr>
            <w:r w:rsidRPr="002A3B62">
              <w:t xml:space="preserve">(2,399) </w:t>
            </w:r>
          </w:p>
        </w:tc>
      </w:tr>
      <w:tr w:rsidRPr="002A3B62" w:rsidR="002A3B62" w:rsidTr="002A3B62" w14:paraId="356000E8"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24C12131" w14:textId="77777777">
            <w:pPr>
              <w:pStyle w:val="tablebody"/>
            </w:pPr>
            <w:r w:rsidRPr="002A3B62">
              <w:t>Movements in assets and liabilities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0230F9F" w14:textId="77777777">
            <w:pPr>
              <w:pStyle w:val="tablebody"/>
              <w:jc w:val="right"/>
              <w:rPr>
                <w:lang w:val="en-US"/>
              </w:rPr>
            </w:pP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7C1B10CA" w14:textId="77777777">
            <w:pPr>
              <w:pStyle w:val="tablebody"/>
              <w:jc w:val="right"/>
              <w:rPr>
                <w:lang w:val="en-US"/>
              </w:rPr>
            </w:pPr>
          </w:p>
        </w:tc>
      </w:tr>
      <w:tr w:rsidRPr="002A3B62" w:rsidR="002A3B62" w:rsidTr="002A3B62" w14:paraId="48196685"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3F0F90EF" w14:textId="77777777">
            <w:pPr>
              <w:pStyle w:val="tablebody"/>
            </w:pPr>
            <w:r w:rsidRPr="002A3B62">
              <w:t>Decrease/(increase) in receivables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5337F3B2" w14:textId="77777777">
            <w:pPr>
              <w:pStyle w:val="tablebody"/>
              <w:jc w:val="right"/>
            </w:pPr>
            <w:r w:rsidRPr="002A3B62">
              <w:t xml:space="preserve">(56,961)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48CC975" w14:textId="77777777">
            <w:pPr>
              <w:pStyle w:val="tablebody"/>
              <w:jc w:val="right"/>
            </w:pPr>
            <w:r w:rsidRPr="002A3B62">
              <w:t xml:space="preserve">(189,874) </w:t>
            </w:r>
          </w:p>
        </w:tc>
      </w:tr>
      <w:tr w:rsidRPr="002A3B62" w:rsidR="002A3B62" w:rsidTr="002A3B62" w14:paraId="43BCD47C"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117ECE11" w14:textId="77777777">
            <w:pPr>
              <w:pStyle w:val="tablebody"/>
            </w:pPr>
            <w:r w:rsidRPr="002A3B62">
              <w:t>Decrease/(increase) in prepayments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48B41C2C" w14:textId="77777777">
            <w:pPr>
              <w:pStyle w:val="tablebody"/>
              <w:jc w:val="right"/>
            </w:pPr>
            <w:r w:rsidRPr="002A3B62">
              <w:t xml:space="preserve">(13,457)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40A98E17" w14:textId="77777777">
            <w:pPr>
              <w:pStyle w:val="tablebody"/>
              <w:jc w:val="right"/>
            </w:pPr>
            <w:r w:rsidRPr="002A3B62">
              <w:t xml:space="preserve">(2,366) </w:t>
            </w:r>
          </w:p>
        </w:tc>
      </w:tr>
      <w:tr w:rsidRPr="002A3B62" w:rsidR="002A3B62" w:rsidTr="002A3B62" w14:paraId="3ED122FE"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3E306181" w14:textId="77777777">
            <w:pPr>
              <w:pStyle w:val="tablebody"/>
            </w:pPr>
            <w:r w:rsidRPr="002A3B62">
              <w:t>Decrease/(increase) in inventories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61195E23" w14:textId="77777777">
            <w:pPr>
              <w:pStyle w:val="tablebody"/>
              <w:jc w:val="right"/>
            </w:pPr>
            <w:r w:rsidRPr="002A3B62">
              <w:t xml:space="preserve">1,052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53D6179" w14:textId="77777777">
            <w:pPr>
              <w:pStyle w:val="tablebody"/>
              <w:jc w:val="right"/>
            </w:pPr>
            <w:r w:rsidRPr="002A3B62">
              <w:t xml:space="preserve">(1,549) </w:t>
            </w:r>
          </w:p>
        </w:tc>
      </w:tr>
      <w:tr w:rsidRPr="002A3B62" w:rsidR="002A3B62" w:rsidTr="002A3B62" w14:paraId="2DAEB09C"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78384169" w14:textId="77777777">
            <w:pPr>
              <w:pStyle w:val="tablebody"/>
            </w:pPr>
            <w:r w:rsidRPr="002A3B62">
              <w:t>Increase/(decrease) in payables</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13262DD" w14:textId="77777777">
            <w:pPr>
              <w:pStyle w:val="tablebody"/>
              <w:jc w:val="right"/>
            </w:pPr>
            <w:r w:rsidRPr="002A3B62">
              <w:t xml:space="preserve">11,330 </w:t>
            </w:r>
          </w:p>
        </w:tc>
        <w:tc>
          <w:tcPr>
            <w:tcW w:w="1731" w:type="dxa"/>
            <w:tcBorders>
              <w:top w:val="nil"/>
              <w:left w:val="nil"/>
              <w:bottom w:val="nil"/>
              <w:right w:val="nil"/>
            </w:tcBorders>
            <w:tcMar>
              <w:top w:w="0" w:type="dxa"/>
              <w:left w:w="0" w:type="dxa"/>
              <w:bottom w:w="57" w:type="dxa"/>
              <w:right w:w="0" w:type="dxa"/>
            </w:tcMar>
          </w:tcPr>
          <w:p w:rsidRPr="002A3B62" w:rsidR="002A3B62" w:rsidP="002A3B62" w:rsidRDefault="002A3B62" w14:paraId="25078CBB" w14:textId="77777777">
            <w:pPr>
              <w:pStyle w:val="tablebody"/>
              <w:jc w:val="right"/>
            </w:pPr>
            <w:r w:rsidRPr="002A3B62">
              <w:t xml:space="preserve">116,086 </w:t>
            </w:r>
          </w:p>
        </w:tc>
      </w:tr>
      <w:tr w:rsidRPr="002A3B62" w:rsidR="002A3B62" w:rsidTr="002A3B62" w14:paraId="49AAEB71" w14:textId="77777777">
        <w:tc>
          <w:tcPr>
            <w:tcW w:w="6463" w:type="dxa"/>
            <w:tcBorders>
              <w:top w:val="nil"/>
              <w:left w:val="nil"/>
              <w:bottom w:val="nil"/>
              <w:right w:val="nil"/>
            </w:tcBorders>
            <w:tcMar>
              <w:top w:w="0" w:type="dxa"/>
              <w:left w:w="0" w:type="dxa"/>
              <w:bottom w:w="57" w:type="dxa"/>
              <w:right w:w="0" w:type="dxa"/>
            </w:tcMar>
          </w:tcPr>
          <w:p w:rsidRPr="002A3B62" w:rsidR="002A3B62" w:rsidP="002A3B62" w:rsidRDefault="002A3B62" w14:paraId="21BA1FE0" w14:textId="77777777">
            <w:pPr>
              <w:pStyle w:val="tablebody"/>
            </w:pPr>
            <w:r w:rsidRPr="002A3B62">
              <w:t>Increase/(decrease) in provisions</w:t>
            </w:r>
          </w:p>
        </w:tc>
        <w:tc>
          <w:tcPr>
            <w:tcW w:w="1731" w:type="dxa"/>
            <w:tcBorders>
              <w:top w:val="nil"/>
              <w:left w:val="nil"/>
              <w:bottom w:val="single" w:color="000000" w:sz="6" w:space="0"/>
              <w:right w:val="nil"/>
            </w:tcBorders>
            <w:tcMar>
              <w:top w:w="0" w:type="dxa"/>
              <w:left w:w="0" w:type="dxa"/>
              <w:bottom w:w="57" w:type="dxa"/>
              <w:right w:w="0" w:type="dxa"/>
            </w:tcMar>
          </w:tcPr>
          <w:p w:rsidRPr="002A3B62" w:rsidR="002A3B62" w:rsidP="002A3B62" w:rsidRDefault="002A3B62" w14:paraId="7C65879F" w14:textId="77777777">
            <w:pPr>
              <w:pStyle w:val="tablebody"/>
              <w:jc w:val="right"/>
            </w:pPr>
            <w:r w:rsidRPr="002A3B62">
              <w:t xml:space="preserve">31,179 </w:t>
            </w:r>
          </w:p>
        </w:tc>
        <w:tc>
          <w:tcPr>
            <w:tcW w:w="1731" w:type="dxa"/>
            <w:tcBorders>
              <w:top w:val="nil"/>
              <w:left w:val="nil"/>
              <w:bottom w:val="single" w:color="000000" w:sz="6" w:space="0"/>
              <w:right w:val="nil"/>
            </w:tcBorders>
            <w:tcMar>
              <w:top w:w="0" w:type="dxa"/>
              <w:left w:w="0" w:type="dxa"/>
              <w:bottom w:w="57" w:type="dxa"/>
              <w:right w:w="0" w:type="dxa"/>
            </w:tcMar>
          </w:tcPr>
          <w:p w:rsidRPr="002A3B62" w:rsidR="002A3B62" w:rsidP="002A3B62" w:rsidRDefault="002A3B62" w14:paraId="5E10E841" w14:textId="77777777">
            <w:pPr>
              <w:pStyle w:val="tablebody"/>
              <w:jc w:val="right"/>
            </w:pPr>
            <w:r w:rsidRPr="002A3B62">
              <w:t xml:space="preserve">28,788 </w:t>
            </w:r>
          </w:p>
        </w:tc>
      </w:tr>
      <w:tr w:rsidRPr="002A3B62" w:rsidR="002A3B62" w:rsidTr="002A3B62" w14:paraId="31C30371" w14:textId="77777777">
        <w:tc>
          <w:tcPr>
            <w:tcW w:w="6463" w:type="dxa"/>
            <w:tcBorders>
              <w:top w:val="nil"/>
              <w:left w:val="nil"/>
              <w:bottom w:val="nil"/>
              <w:right w:val="nil"/>
            </w:tcBorders>
            <w:tcMar>
              <w:top w:w="57" w:type="dxa"/>
              <w:left w:w="0" w:type="dxa"/>
              <w:bottom w:w="57" w:type="dxa"/>
              <w:right w:w="0" w:type="dxa"/>
            </w:tcMar>
          </w:tcPr>
          <w:p w:rsidRPr="002A3B62" w:rsidR="002A3B62" w:rsidP="002A3B62" w:rsidRDefault="002A3B62" w14:paraId="3D17221F" w14:textId="77777777">
            <w:pPr>
              <w:pStyle w:val="tablebody"/>
              <w:rPr>
                <w:b/>
              </w:rPr>
            </w:pPr>
            <w:r w:rsidRPr="002A3B62">
              <w:rPr>
                <w:b/>
              </w:rPr>
              <w:t>Net cash flows from/(used in) operating activities</w:t>
            </w:r>
          </w:p>
        </w:tc>
        <w:tc>
          <w:tcPr>
            <w:tcW w:w="1731" w:type="dxa"/>
            <w:tcBorders>
              <w:top w:val="single" w:color="000000" w:sz="6" w:space="0"/>
              <w:left w:val="nil"/>
              <w:bottom w:val="double" w:color="000000" w:sz="8" w:space="0"/>
              <w:right w:val="nil"/>
            </w:tcBorders>
            <w:tcMar>
              <w:top w:w="57" w:type="dxa"/>
              <w:left w:w="0" w:type="dxa"/>
              <w:bottom w:w="57" w:type="dxa"/>
              <w:right w:w="0" w:type="dxa"/>
            </w:tcMar>
          </w:tcPr>
          <w:p w:rsidRPr="002A3B62" w:rsidR="002A3B62" w:rsidP="002A3B62" w:rsidRDefault="002A3B62" w14:paraId="3B84D175" w14:textId="77777777">
            <w:pPr>
              <w:pStyle w:val="tablebody"/>
              <w:jc w:val="right"/>
              <w:rPr>
                <w:b/>
              </w:rPr>
            </w:pPr>
            <w:r w:rsidRPr="002A3B62">
              <w:rPr>
                <w:b/>
              </w:rPr>
              <w:t xml:space="preserve">154,300 </w:t>
            </w:r>
          </w:p>
        </w:tc>
        <w:tc>
          <w:tcPr>
            <w:tcW w:w="1731" w:type="dxa"/>
            <w:tcBorders>
              <w:top w:val="single" w:color="000000" w:sz="6" w:space="0"/>
              <w:left w:val="nil"/>
              <w:bottom w:val="double" w:color="000000" w:sz="8" w:space="0"/>
              <w:right w:val="nil"/>
            </w:tcBorders>
            <w:tcMar>
              <w:top w:w="57" w:type="dxa"/>
              <w:left w:w="0" w:type="dxa"/>
              <w:bottom w:w="57" w:type="dxa"/>
              <w:right w:w="0" w:type="dxa"/>
            </w:tcMar>
          </w:tcPr>
          <w:p w:rsidRPr="002A3B62" w:rsidR="002A3B62" w:rsidP="002A3B62" w:rsidRDefault="002A3B62" w14:paraId="7164594E" w14:textId="77777777">
            <w:pPr>
              <w:pStyle w:val="tablebody"/>
              <w:jc w:val="right"/>
              <w:rPr>
                <w:b/>
              </w:rPr>
            </w:pPr>
            <w:r w:rsidRPr="002A3B62">
              <w:rPr>
                <w:b/>
              </w:rPr>
              <w:t xml:space="preserve">88,966 </w:t>
            </w:r>
          </w:p>
        </w:tc>
      </w:tr>
    </w:tbl>
    <w:p w:rsidRPr="002A3B62" w:rsidR="002A3B62" w:rsidP="002A3B62" w:rsidRDefault="002A3B62" w14:paraId="3E9524C5" w14:textId="4B8CCF42">
      <w:pPr>
        <w:pStyle w:val="Heading3"/>
      </w:pPr>
      <w:r w:rsidRPr="002A3B62">
        <w:lastRenderedPageBreak/>
        <w:t>7.4 Trust account balances</w:t>
      </w:r>
    </w:p>
    <w:p w:rsidRPr="002A3B62" w:rsidR="002A3B62" w:rsidP="002A3B62" w:rsidRDefault="002A3B62" w14:paraId="5CD27F44" w14:textId="73F80531">
      <w:pPr>
        <w:rPr>
          <w:b/>
          <w:bCs/>
        </w:rPr>
      </w:pPr>
      <w:r w:rsidRPr="002A3B62">
        <w:rPr>
          <w:b/>
          <w:bCs/>
        </w:rPr>
        <w:t>Trust account balances relating to trust accounts controlled and/or administered by the department</w:t>
      </w:r>
    </w:p>
    <w:tbl>
      <w:tblPr>
        <w:tblW w:w="0" w:type="auto"/>
        <w:tblLayout w:type="fixed"/>
        <w:tblCellMar>
          <w:left w:w="0" w:type="dxa"/>
          <w:right w:w="0" w:type="dxa"/>
        </w:tblCellMar>
        <w:tblLook w:firstRow="1" w:lastRow="0" w:firstColumn="0" w:lastColumn="0" w:noHBand="0" w:noVBand="0" w:val="0020"/>
      </w:tblPr>
      <w:tblGrid>
        <w:gridCol w:w="3261"/>
        <w:gridCol w:w="821"/>
        <w:gridCol w:w="680"/>
        <w:gridCol w:w="794"/>
        <w:gridCol w:w="1077"/>
        <w:gridCol w:w="794"/>
        <w:gridCol w:w="680"/>
        <w:gridCol w:w="794"/>
        <w:gridCol w:w="1020"/>
      </w:tblGrid>
      <w:tr w:rsidRPr="00202BBF" w:rsidR="002A3B62" w:rsidTr="00202BBF" w14:paraId="67C00245" w14:textId="77777777">
        <w:trPr>
          <w:tblHeader/>
        </w:trPr>
        <w:tc>
          <w:tcPr>
            <w:tcW w:w="9921" w:type="dxa"/>
            <w:gridSpan w:val="9"/>
            <w:tcBorders>
              <w:top w:val="single" w:color="000000" w:sz="6" w:space="0"/>
              <w:left w:val="nil"/>
              <w:bottom w:val="single" w:color="000000" w:sz="6" w:space="0"/>
              <w:right w:val="single" w:color="000000" w:sz="6" w:space="0"/>
            </w:tcBorders>
            <w:tcMar>
              <w:top w:w="28" w:type="dxa"/>
              <w:left w:w="0" w:type="dxa"/>
              <w:bottom w:w="57" w:type="dxa"/>
              <w:right w:w="0" w:type="dxa"/>
            </w:tcMar>
          </w:tcPr>
          <w:p w:rsidRPr="00202BBF" w:rsidR="002A3B62" w:rsidP="005C33E6" w:rsidRDefault="002A3B62" w14:paraId="12692BBF" w14:textId="77777777">
            <w:pPr>
              <w:pStyle w:val="tablebody"/>
              <w:rPr>
                <w:b/>
                <w:sz w:val="14"/>
                <w:szCs w:val="14"/>
              </w:rPr>
            </w:pPr>
            <w:r w:rsidRPr="00202BBF">
              <w:rPr>
                <w:b/>
                <w:sz w:val="14"/>
                <w:szCs w:val="14"/>
              </w:rPr>
              <w:t>($ thousand)</w:t>
            </w:r>
          </w:p>
        </w:tc>
      </w:tr>
      <w:tr w:rsidRPr="00202BBF" w:rsidR="002A3B62" w:rsidTr="00202BBF" w14:paraId="1C10ECF0" w14:textId="77777777">
        <w:trPr>
          <w:tblHeader/>
        </w:trPr>
        <w:tc>
          <w:tcPr>
            <w:tcW w:w="3261" w:type="dxa"/>
            <w:vMerge w:val="restart"/>
            <w:tcBorders>
              <w:top w:val="single" w:color="000000" w:sz="6" w:space="0"/>
              <w:left w:val="nil"/>
              <w:bottom w:val="single" w:color="000000" w:sz="8" w:space="0"/>
              <w:right w:val="single" w:color="000000" w:sz="6" w:space="0"/>
            </w:tcBorders>
            <w:tcMar>
              <w:top w:w="28" w:type="dxa"/>
              <w:left w:w="0" w:type="dxa"/>
              <w:bottom w:w="57" w:type="dxa"/>
              <w:right w:w="0" w:type="dxa"/>
            </w:tcMar>
            <w:vAlign w:val="bottom"/>
          </w:tcPr>
          <w:p w:rsidRPr="00202BBF" w:rsidR="002A3B62" w:rsidP="00202BBF" w:rsidRDefault="002A3B62" w14:paraId="4C2400A2" w14:textId="77777777">
            <w:pPr>
              <w:pStyle w:val="tablebody"/>
              <w:rPr>
                <w:b/>
                <w:sz w:val="14"/>
                <w:szCs w:val="14"/>
              </w:rPr>
            </w:pPr>
            <w:r w:rsidRPr="00202BBF">
              <w:rPr>
                <w:b/>
                <w:sz w:val="14"/>
                <w:szCs w:val="14"/>
              </w:rPr>
              <w:t>Cash and deposits, and investments</w:t>
            </w:r>
          </w:p>
        </w:tc>
        <w:tc>
          <w:tcPr>
            <w:tcW w:w="3372" w:type="dxa"/>
            <w:gridSpan w:val="4"/>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A3B62" w:rsidP="00202BBF" w:rsidRDefault="002A3B62" w14:paraId="1C393273" w14:textId="77777777">
            <w:pPr>
              <w:pStyle w:val="tablebody"/>
              <w:jc w:val="right"/>
              <w:rPr>
                <w:b/>
                <w:sz w:val="14"/>
                <w:szCs w:val="14"/>
              </w:rPr>
            </w:pPr>
            <w:r w:rsidRPr="00202BBF">
              <w:rPr>
                <w:b/>
                <w:sz w:val="14"/>
                <w:szCs w:val="14"/>
              </w:rPr>
              <w:t>2019</w:t>
            </w:r>
          </w:p>
        </w:tc>
        <w:tc>
          <w:tcPr>
            <w:tcW w:w="3288" w:type="dxa"/>
            <w:gridSpan w:val="4"/>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A3B62" w:rsidP="00202BBF" w:rsidRDefault="002A3B62" w14:paraId="59513952" w14:textId="77777777">
            <w:pPr>
              <w:pStyle w:val="tablebody"/>
              <w:jc w:val="right"/>
              <w:rPr>
                <w:b/>
                <w:sz w:val="14"/>
                <w:szCs w:val="14"/>
              </w:rPr>
            </w:pPr>
            <w:r w:rsidRPr="00202BBF">
              <w:rPr>
                <w:b/>
                <w:sz w:val="14"/>
                <w:szCs w:val="14"/>
              </w:rPr>
              <w:t>2018</w:t>
            </w:r>
          </w:p>
        </w:tc>
      </w:tr>
      <w:tr w:rsidRPr="00202BBF" w:rsidR="002A3B62" w:rsidTr="00202BBF" w14:paraId="1320308A" w14:textId="77777777">
        <w:trPr>
          <w:tblHeader/>
        </w:trPr>
        <w:tc>
          <w:tcPr>
            <w:tcW w:w="3261" w:type="dxa"/>
            <w:vMerge/>
            <w:tcBorders>
              <w:top w:val="single" w:color="000000" w:sz="8" w:space="0"/>
              <w:left w:val="nil"/>
              <w:bottom w:val="single" w:color="000000" w:sz="6" w:space="0"/>
              <w:right w:val="single" w:color="000000" w:sz="6" w:space="0"/>
            </w:tcBorders>
            <w:tcMar>
              <w:top w:w="28" w:type="dxa"/>
              <w:bottom w:w="57" w:type="dxa"/>
            </w:tcMar>
          </w:tcPr>
          <w:p w:rsidRPr="00202BBF" w:rsidR="002A3B62" w:rsidP="005C33E6" w:rsidRDefault="002A3B62" w14:paraId="505E671D" w14:textId="77777777">
            <w:pPr>
              <w:pStyle w:val="tablebody"/>
              <w:rPr>
                <w:sz w:val="14"/>
                <w:szCs w:val="14"/>
                <w:lang w:val="en-US"/>
              </w:rPr>
            </w:pPr>
          </w:p>
        </w:tc>
        <w:tc>
          <w:tcPr>
            <w:tcW w:w="821" w:type="dxa"/>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A3B62" w:rsidP="00202BBF" w:rsidRDefault="002A3B62" w14:paraId="50A698A7" w14:textId="77777777">
            <w:pPr>
              <w:pStyle w:val="tablebody"/>
              <w:jc w:val="right"/>
              <w:rPr>
                <w:b/>
                <w:sz w:val="14"/>
                <w:szCs w:val="14"/>
              </w:rPr>
            </w:pPr>
            <w:r w:rsidRPr="00202BBF">
              <w:rPr>
                <w:b/>
                <w:sz w:val="14"/>
                <w:szCs w:val="14"/>
              </w:rPr>
              <w:t>Opening balance</w:t>
            </w:r>
            <w:r w:rsidRPr="00202BBF">
              <w:rPr>
                <w:b/>
                <w:sz w:val="14"/>
                <w:szCs w:val="14"/>
              </w:rPr>
              <w:br/>
              <w:t>as at</w:t>
            </w:r>
            <w:r w:rsidRPr="00202BBF">
              <w:rPr>
                <w:b/>
                <w:sz w:val="14"/>
                <w:szCs w:val="14"/>
              </w:rPr>
              <w:br/>
              <w:t>1 July 2018</w:t>
            </w:r>
          </w:p>
        </w:tc>
        <w:tc>
          <w:tcPr>
            <w:tcW w:w="68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A3B62" w:rsidP="00202BBF" w:rsidRDefault="002A3B62" w14:paraId="223B25B2" w14:textId="77777777">
            <w:pPr>
              <w:pStyle w:val="tablebody"/>
              <w:jc w:val="right"/>
              <w:rPr>
                <w:b/>
                <w:sz w:val="14"/>
                <w:szCs w:val="14"/>
              </w:rPr>
            </w:pPr>
            <w:r w:rsidRPr="00202BBF">
              <w:rPr>
                <w:b/>
                <w:sz w:val="14"/>
                <w:szCs w:val="14"/>
              </w:rPr>
              <w:t xml:space="preserve">Total </w:t>
            </w:r>
            <w:r w:rsidRPr="00202BBF">
              <w:rPr>
                <w:b/>
                <w:sz w:val="14"/>
                <w:szCs w:val="14"/>
              </w:rPr>
              <w:br/>
              <w:t>receipts</w:t>
            </w:r>
          </w:p>
        </w:tc>
        <w:tc>
          <w:tcPr>
            <w:tcW w:w="79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A3B62" w:rsidP="00202BBF" w:rsidRDefault="002A3B62" w14:paraId="5221EE23" w14:textId="77777777">
            <w:pPr>
              <w:pStyle w:val="tablebody"/>
              <w:jc w:val="right"/>
              <w:rPr>
                <w:b/>
                <w:sz w:val="14"/>
                <w:szCs w:val="14"/>
              </w:rPr>
            </w:pPr>
            <w:r w:rsidRPr="00202BBF">
              <w:rPr>
                <w:b/>
                <w:sz w:val="14"/>
                <w:szCs w:val="14"/>
              </w:rPr>
              <w:t xml:space="preserve">Total </w:t>
            </w:r>
            <w:r w:rsidRPr="00202BBF">
              <w:rPr>
                <w:b/>
                <w:sz w:val="14"/>
                <w:szCs w:val="14"/>
              </w:rPr>
              <w:br/>
              <w:t>payments</w:t>
            </w:r>
          </w:p>
        </w:tc>
        <w:tc>
          <w:tcPr>
            <w:tcW w:w="1077" w:type="dxa"/>
            <w:tcBorders>
              <w:top w:val="single" w:color="000000" w:sz="6" w:space="0"/>
              <w:left w:val="nil"/>
              <w:bottom w:val="single" w:color="000000" w:sz="6" w:space="0"/>
              <w:right w:val="single" w:color="000000" w:sz="6" w:space="0"/>
            </w:tcBorders>
            <w:tcMar>
              <w:top w:w="28" w:type="dxa"/>
              <w:left w:w="0" w:type="dxa"/>
              <w:bottom w:w="57" w:type="dxa"/>
              <w:right w:w="57" w:type="dxa"/>
            </w:tcMar>
            <w:vAlign w:val="bottom"/>
          </w:tcPr>
          <w:p w:rsidRPr="00202BBF" w:rsidR="002A3B62" w:rsidP="00202BBF" w:rsidRDefault="002A3B62" w14:paraId="7AB991B3" w14:textId="77777777">
            <w:pPr>
              <w:pStyle w:val="tablebody"/>
              <w:jc w:val="right"/>
              <w:rPr>
                <w:b/>
                <w:sz w:val="14"/>
                <w:szCs w:val="14"/>
              </w:rPr>
            </w:pPr>
            <w:r w:rsidRPr="00202BBF">
              <w:rPr>
                <w:b/>
                <w:sz w:val="14"/>
                <w:szCs w:val="14"/>
              </w:rPr>
              <w:t>Closing balance as at</w:t>
            </w:r>
            <w:r w:rsidRPr="00202BBF">
              <w:rPr>
                <w:b/>
                <w:sz w:val="14"/>
                <w:szCs w:val="14"/>
              </w:rPr>
              <w:br/>
              <w:t>30 June 2019</w:t>
            </w:r>
          </w:p>
        </w:tc>
        <w:tc>
          <w:tcPr>
            <w:tcW w:w="794" w:type="dxa"/>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A3B62" w:rsidP="00202BBF" w:rsidRDefault="002A3B62" w14:paraId="3C1769D4" w14:textId="4C908589">
            <w:pPr>
              <w:pStyle w:val="tablebody"/>
              <w:jc w:val="right"/>
              <w:rPr>
                <w:b/>
                <w:sz w:val="14"/>
                <w:szCs w:val="14"/>
              </w:rPr>
            </w:pPr>
            <w:r w:rsidRPr="00202BBF">
              <w:rPr>
                <w:b/>
                <w:sz w:val="14"/>
                <w:szCs w:val="14"/>
              </w:rPr>
              <w:t xml:space="preserve">Opening balance </w:t>
            </w:r>
            <w:r w:rsidR="00202BBF">
              <w:rPr>
                <w:b/>
                <w:sz w:val="14"/>
                <w:szCs w:val="14"/>
              </w:rPr>
              <w:br/>
            </w:r>
            <w:r w:rsidRPr="00202BBF">
              <w:rPr>
                <w:b/>
                <w:sz w:val="14"/>
                <w:szCs w:val="14"/>
              </w:rPr>
              <w:t>as at</w:t>
            </w:r>
            <w:r w:rsidRPr="00202BBF">
              <w:rPr>
                <w:b/>
                <w:sz w:val="14"/>
                <w:szCs w:val="14"/>
              </w:rPr>
              <w:br/>
              <w:t>1 July 2017</w:t>
            </w:r>
          </w:p>
        </w:tc>
        <w:tc>
          <w:tcPr>
            <w:tcW w:w="68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A3B62" w:rsidP="00202BBF" w:rsidRDefault="002A3B62" w14:paraId="6943AFC6" w14:textId="77777777">
            <w:pPr>
              <w:pStyle w:val="tablebody"/>
              <w:jc w:val="right"/>
              <w:rPr>
                <w:b/>
                <w:sz w:val="14"/>
                <w:szCs w:val="14"/>
              </w:rPr>
            </w:pPr>
            <w:r w:rsidRPr="00202BBF">
              <w:rPr>
                <w:b/>
                <w:sz w:val="14"/>
                <w:szCs w:val="14"/>
              </w:rPr>
              <w:t xml:space="preserve">Total </w:t>
            </w:r>
            <w:r w:rsidRPr="00202BBF">
              <w:rPr>
                <w:b/>
                <w:sz w:val="14"/>
                <w:szCs w:val="14"/>
              </w:rPr>
              <w:br/>
              <w:t>receipts</w:t>
            </w:r>
          </w:p>
        </w:tc>
        <w:tc>
          <w:tcPr>
            <w:tcW w:w="79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A3B62" w:rsidP="00202BBF" w:rsidRDefault="002A3B62" w14:paraId="64BB1CE3" w14:textId="77777777">
            <w:pPr>
              <w:pStyle w:val="tablebody"/>
              <w:jc w:val="right"/>
              <w:rPr>
                <w:b/>
                <w:sz w:val="14"/>
                <w:szCs w:val="14"/>
              </w:rPr>
            </w:pPr>
            <w:r w:rsidRPr="00202BBF">
              <w:rPr>
                <w:b/>
                <w:sz w:val="14"/>
                <w:szCs w:val="14"/>
              </w:rPr>
              <w:t xml:space="preserve">Total </w:t>
            </w:r>
            <w:r w:rsidRPr="00202BBF">
              <w:rPr>
                <w:b/>
                <w:sz w:val="14"/>
                <w:szCs w:val="14"/>
              </w:rPr>
              <w:br/>
              <w:t>payments</w:t>
            </w:r>
          </w:p>
        </w:tc>
        <w:tc>
          <w:tcPr>
            <w:tcW w:w="1020" w:type="dxa"/>
            <w:tcBorders>
              <w:top w:val="single" w:color="000000" w:sz="6" w:space="0"/>
              <w:left w:val="nil"/>
              <w:bottom w:val="single" w:color="000000" w:sz="6" w:space="0"/>
              <w:right w:val="single" w:color="000000" w:sz="6" w:space="0"/>
            </w:tcBorders>
            <w:tcMar>
              <w:top w:w="28" w:type="dxa"/>
              <w:left w:w="0" w:type="dxa"/>
              <w:bottom w:w="57" w:type="dxa"/>
              <w:right w:w="0" w:type="dxa"/>
            </w:tcMar>
            <w:vAlign w:val="bottom"/>
          </w:tcPr>
          <w:p w:rsidRPr="00202BBF" w:rsidR="002A3B62" w:rsidP="00202BBF" w:rsidRDefault="002A3B62" w14:paraId="7950281F" w14:textId="77777777">
            <w:pPr>
              <w:pStyle w:val="tablebody"/>
              <w:jc w:val="right"/>
              <w:rPr>
                <w:b/>
                <w:sz w:val="14"/>
                <w:szCs w:val="14"/>
              </w:rPr>
            </w:pPr>
            <w:r w:rsidRPr="00202BBF">
              <w:rPr>
                <w:b/>
                <w:sz w:val="14"/>
                <w:szCs w:val="14"/>
              </w:rPr>
              <w:t>Closing balance as at</w:t>
            </w:r>
            <w:r w:rsidRPr="00202BBF">
              <w:rPr>
                <w:b/>
                <w:sz w:val="14"/>
                <w:szCs w:val="14"/>
              </w:rPr>
              <w:br/>
              <w:t>30 June 2018</w:t>
            </w:r>
          </w:p>
        </w:tc>
      </w:tr>
      <w:tr w:rsidRPr="00202BBF" w:rsidR="002A3B62" w:rsidTr="00202BBF" w14:paraId="16DF26E6" w14:textId="77777777">
        <w:tc>
          <w:tcPr>
            <w:tcW w:w="3261" w:type="dxa"/>
            <w:tcBorders>
              <w:top w:val="single" w:color="000000" w:sz="6" w:space="0"/>
              <w:left w:val="nil"/>
              <w:bottom w:val="nil"/>
              <w:right w:val="single" w:color="000000" w:sz="6" w:space="0"/>
            </w:tcBorders>
            <w:tcMar>
              <w:top w:w="28" w:type="dxa"/>
              <w:left w:w="0" w:type="dxa"/>
              <w:bottom w:w="57" w:type="dxa"/>
              <w:right w:w="0" w:type="dxa"/>
            </w:tcMar>
          </w:tcPr>
          <w:p w:rsidRPr="00202BBF" w:rsidR="002A3B62" w:rsidP="005C33E6" w:rsidRDefault="002A3B62" w14:paraId="54F2DA99" w14:textId="77777777">
            <w:pPr>
              <w:pStyle w:val="tablebody"/>
              <w:rPr>
                <w:sz w:val="14"/>
                <w:szCs w:val="14"/>
              </w:rPr>
            </w:pPr>
            <w:r w:rsidRPr="00202BBF">
              <w:rPr>
                <w:b/>
                <w:sz w:val="14"/>
                <w:szCs w:val="14"/>
              </w:rPr>
              <w:t>Controlled trusts</w:t>
            </w:r>
            <w:r w:rsidRPr="00202BBF">
              <w:rPr>
                <w:sz w:val="14"/>
                <w:szCs w:val="14"/>
                <w:vertAlign w:val="superscript"/>
              </w:rPr>
              <w:t xml:space="preserve"> (i)</w:t>
            </w:r>
          </w:p>
        </w:tc>
        <w:tc>
          <w:tcPr>
            <w:tcW w:w="821" w:type="dxa"/>
            <w:tcBorders>
              <w:top w:val="single" w:color="000000" w:sz="6" w:space="0"/>
              <w:left w:val="single" w:color="000000" w:sz="6" w:space="0"/>
              <w:bottom w:val="nil"/>
              <w:right w:val="nil"/>
            </w:tcBorders>
            <w:tcMar>
              <w:top w:w="28" w:type="dxa"/>
              <w:left w:w="0" w:type="dxa"/>
              <w:bottom w:w="57" w:type="dxa"/>
              <w:right w:w="0" w:type="dxa"/>
            </w:tcMar>
          </w:tcPr>
          <w:p w:rsidRPr="00202BBF" w:rsidR="002A3B62" w:rsidP="00202BBF" w:rsidRDefault="002A3B62" w14:paraId="03B90FD4" w14:textId="77777777">
            <w:pPr>
              <w:pStyle w:val="tablebody"/>
              <w:jc w:val="right"/>
              <w:rPr>
                <w:sz w:val="14"/>
                <w:szCs w:val="14"/>
                <w:lang w:val="en-US"/>
              </w:rPr>
            </w:pPr>
          </w:p>
        </w:tc>
        <w:tc>
          <w:tcPr>
            <w:tcW w:w="680" w:type="dxa"/>
            <w:tcBorders>
              <w:top w:val="single" w:color="000000" w:sz="6" w:space="0"/>
              <w:left w:val="nil"/>
              <w:bottom w:val="nil"/>
              <w:right w:val="nil"/>
            </w:tcBorders>
            <w:tcMar>
              <w:top w:w="28" w:type="dxa"/>
              <w:left w:w="0" w:type="dxa"/>
              <w:bottom w:w="57" w:type="dxa"/>
              <w:right w:w="0" w:type="dxa"/>
            </w:tcMar>
          </w:tcPr>
          <w:p w:rsidRPr="00202BBF" w:rsidR="002A3B62" w:rsidP="00202BBF" w:rsidRDefault="002A3B62" w14:paraId="6DA0EF3C" w14:textId="77777777">
            <w:pPr>
              <w:pStyle w:val="tablebody"/>
              <w:jc w:val="right"/>
              <w:rPr>
                <w:sz w:val="14"/>
                <w:szCs w:val="14"/>
                <w:lang w:val="en-US"/>
              </w:rPr>
            </w:pPr>
          </w:p>
        </w:tc>
        <w:tc>
          <w:tcPr>
            <w:tcW w:w="794" w:type="dxa"/>
            <w:tcBorders>
              <w:top w:val="single" w:color="000000" w:sz="6" w:space="0"/>
              <w:left w:val="nil"/>
              <w:bottom w:val="nil"/>
              <w:right w:val="nil"/>
            </w:tcBorders>
            <w:tcMar>
              <w:top w:w="28" w:type="dxa"/>
              <w:left w:w="0" w:type="dxa"/>
              <w:bottom w:w="57" w:type="dxa"/>
              <w:right w:w="0" w:type="dxa"/>
            </w:tcMar>
          </w:tcPr>
          <w:p w:rsidRPr="00202BBF" w:rsidR="002A3B62" w:rsidP="00202BBF" w:rsidRDefault="002A3B62" w14:paraId="5206CBFA" w14:textId="77777777">
            <w:pPr>
              <w:pStyle w:val="tablebody"/>
              <w:jc w:val="right"/>
              <w:rPr>
                <w:sz w:val="14"/>
                <w:szCs w:val="14"/>
                <w:lang w:val="en-US"/>
              </w:rPr>
            </w:pPr>
          </w:p>
        </w:tc>
        <w:tc>
          <w:tcPr>
            <w:tcW w:w="1077" w:type="dxa"/>
            <w:tcBorders>
              <w:top w:val="single" w:color="000000" w:sz="6" w:space="0"/>
              <w:left w:val="nil"/>
              <w:bottom w:val="nil"/>
              <w:right w:val="single" w:color="000000" w:sz="6" w:space="0"/>
            </w:tcBorders>
            <w:tcMar>
              <w:top w:w="28" w:type="dxa"/>
              <w:left w:w="0" w:type="dxa"/>
              <w:bottom w:w="57" w:type="dxa"/>
              <w:right w:w="57" w:type="dxa"/>
            </w:tcMar>
          </w:tcPr>
          <w:p w:rsidRPr="00202BBF" w:rsidR="002A3B62" w:rsidP="00202BBF" w:rsidRDefault="002A3B62" w14:paraId="69CC2756" w14:textId="77777777">
            <w:pPr>
              <w:pStyle w:val="tablebody"/>
              <w:jc w:val="right"/>
              <w:rPr>
                <w:sz w:val="14"/>
                <w:szCs w:val="14"/>
                <w:lang w:val="en-US"/>
              </w:rPr>
            </w:pPr>
          </w:p>
        </w:tc>
        <w:tc>
          <w:tcPr>
            <w:tcW w:w="794" w:type="dxa"/>
            <w:tcBorders>
              <w:top w:val="single" w:color="000000" w:sz="6" w:space="0"/>
              <w:left w:val="single" w:color="000000" w:sz="6" w:space="0"/>
              <w:bottom w:val="nil"/>
              <w:right w:val="nil"/>
            </w:tcBorders>
            <w:tcMar>
              <w:top w:w="28" w:type="dxa"/>
              <w:left w:w="0" w:type="dxa"/>
              <w:bottom w:w="57" w:type="dxa"/>
              <w:right w:w="0" w:type="dxa"/>
            </w:tcMar>
          </w:tcPr>
          <w:p w:rsidRPr="00202BBF" w:rsidR="002A3B62" w:rsidP="00202BBF" w:rsidRDefault="002A3B62" w14:paraId="580DEF33" w14:textId="77777777">
            <w:pPr>
              <w:pStyle w:val="tablebody"/>
              <w:jc w:val="right"/>
              <w:rPr>
                <w:sz w:val="14"/>
                <w:szCs w:val="14"/>
                <w:lang w:val="en-US"/>
              </w:rPr>
            </w:pPr>
          </w:p>
        </w:tc>
        <w:tc>
          <w:tcPr>
            <w:tcW w:w="680" w:type="dxa"/>
            <w:tcBorders>
              <w:top w:val="single" w:color="000000" w:sz="6" w:space="0"/>
              <w:left w:val="nil"/>
              <w:bottom w:val="nil"/>
              <w:right w:val="nil"/>
            </w:tcBorders>
            <w:tcMar>
              <w:top w:w="28" w:type="dxa"/>
              <w:left w:w="0" w:type="dxa"/>
              <w:bottom w:w="57" w:type="dxa"/>
              <w:right w:w="0" w:type="dxa"/>
            </w:tcMar>
          </w:tcPr>
          <w:p w:rsidRPr="00202BBF" w:rsidR="002A3B62" w:rsidP="00202BBF" w:rsidRDefault="002A3B62" w14:paraId="299E5304" w14:textId="77777777">
            <w:pPr>
              <w:pStyle w:val="tablebody"/>
              <w:jc w:val="right"/>
              <w:rPr>
                <w:sz w:val="14"/>
                <w:szCs w:val="14"/>
                <w:lang w:val="en-US"/>
              </w:rPr>
            </w:pPr>
          </w:p>
        </w:tc>
        <w:tc>
          <w:tcPr>
            <w:tcW w:w="794" w:type="dxa"/>
            <w:tcBorders>
              <w:top w:val="single" w:color="000000" w:sz="6" w:space="0"/>
              <w:left w:val="nil"/>
              <w:bottom w:val="nil"/>
              <w:right w:val="nil"/>
            </w:tcBorders>
            <w:tcMar>
              <w:top w:w="28" w:type="dxa"/>
              <w:left w:w="0" w:type="dxa"/>
              <w:bottom w:w="57" w:type="dxa"/>
              <w:right w:w="0" w:type="dxa"/>
            </w:tcMar>
          </w:tcPr>
          <w:p w:rsidRPr="00202BBF" w:rsidR="002A3B62" w:rsidP="00202BBF" w:rsidRDefault="002A3B62" w14:paraId="39E391FA" w14:textId="77777777">
            <w:pPr>
              <w:pStyle w:val="tablebody"/>
              <w:jc w:val="right"/>
              <w:rPr>
                <w:sz w:val="14"/>
                <w:szCs w:val="14"/>
                <w:lang w:val="en-US"/>
              </w:rPr>
            </w:pPr>
          </w:p>
        </w:tc>
        <w:tc>
          <w:tcPr>
            <w:tcW w:w="1020" w:type="dxa"/>
            <w:tcBorders>
              <w:top w:val="single" w:color="000000" w:sz="6" w:space="0"/>
              <w:left w:val="nil"/>
              <w:bottom w:val="nil"/>
              <w:right w:val="single" w:color="000000" w:sz="6" w:space="0"/>
            </w:tcBorders>
            <w:tcMar>
              <w:top w:w="28" w:type="dxa"/>
              <w:left w:w="0" w:type="dxa"/>
              <w:bottom w:w="57" w:type="dxa"/>
              <w:right w:w="0" w:type="dxa"/>
            </w:tcMar>
          </w:tcPr>
          <w:p w:rsidRPr="00202BBF" w:rsidR="002A3B62" w:rsidP="00202BBF" w:rsidRDefault="002A3B62" w14:paraId="6A63EF45" w14:textId="77777777">
            <w:pPr>
              <w:pStyle w:val="tablebody"/>
              <w:jc w:val="right"/>
              <w:rPr>
                <w:sz w:val="14"/>
                <w:szCs w:val="14"/>
                <w:lang w:val="en-US"/>
              </w:rPr>
            </w:pPr>
          </w:p>
        </w:tc>
      </w:tr>
      <w:tr w:rsidRPr="00202BBF" w:rsidR="002A3B62" w:rsidTr="00202BBF" w14:paraId="1B3C7ADD"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09E41090" w14:textId="77777777">
            <w:pPr>
              <w:pStyle w:val="tablebody"/>
              <w:rPr>
                <w:sz w:val="14"/>
                <w:szCs w:val="14"/>
              </w:rPr>
            </w:pPr>
            <w:r w:rsidRPr="00202BBF">
              <w:rPr>
                <w:sz w:val="14"/>
                <w:szCs w:val="14"/>
              </w:rPr>
              <w:t>Crime prevention and victims’ aid fund</w:t>
            </w:r>
            <w:r w:rsidRPr="00202BBF">
              <w:rPr>
                <w:sz w:val="14"/>
                <w:szCs w:val="14"/>
              </w:rPr>
              <w:br/>
              <w:t xml:space="preserve">Established under the </w:t>
            </w:r>
            <w:r w:rsidRPr="00202BBF">
              <w:rPr>
                <w:i/>
                <w:iCs/>
                <w:sz w:val="14"/>
                <w:szCs w:val="14"/>
              </w:rPr>
              <w:t>Confiscation Act 1997</w:t>
            </w:r>
            <w:r w:rsidRPr="00202BBF">
              <w:rPr>
                <w:sz w:val="14"/>
                <w:szCs w:val="14"/>
              </w:rPr>
              <w:t xml:space="preserve"> to hold monies in accordance with section 134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D5C10F9" w14:textId="77777777">
            <w:pPr>
              <w:pStyle w:val="tablebody"/>
              <w:jc w:val="right"/>
              <w:rPr>
                <w:sz w:val="14"/>
                <w:szCs w:val="14"/>
              </w:rPr>
            </w:pPr>
            <w:r w:rsidRPr="00202BBF">
              <w:rPr>
                <w:sz w:val="14"/>
                <w:szCs w:val="14"/>
              </w:rPr>
              <w:t xml:space="preserve">41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2003DDD3" w14:textId="77777777">
            <w:pPr>
              <w:pStyle w:val="tablebody"/>
              <w:jc w:val="right"/>
              <w:rPr>
                <w:sz w:val="14"/>
                <w:szCs w:val="14"/>
              </w:rPr>
            </w:pPr>
            <w:r w:rsidRPr="00202BBF">
              <w:rPr>
                <w:sz w:val="14"/>
                <w:szCs w:val="14"/>
              </w:rPr>
              <w:t xml:space="preserve">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F61B86D" w14:textId="77777777">
            <w:pPr>
              <w:pStyle w:val="tablebody"/>
              <w:jc w:val="right"/>
              <w:rPr>
                <w:sz w:val="14"/>
                <w:szCs w:val="14"/>
              </w:rPr>
            </w:pPr>
            <w:r w:rsidRPr="00202BBF">
              <w:rPr>
                <w:sz w:val="14"/>
                <w:szCs w:val="14"/>
              </w:rPr>
              <w:t xml:space="preserve">0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72ED0017" w14:textId="77777777">
            <w:pPr>
              <w:pStyle w:val="tablebody"/>
              <w:jc w:val="right"/>
              <w:rPr>
                <w:sz w:val="14"/>
                <w:szCs w:val="14"/>
              </w:rPr>
            </w:pPr>
            <w:r w:rsidRPr="00202BBF">
              <w:rPr>
                <w:sz w:val="14"/>
                <w:szCs w:val="14"/>
              </w:rPr>
              <w:t xml:space="preserve">41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9297209" w14:textId="77777777">
            <w:pPr>
              <w:pStyle w:val="tablebody"/>
              <w:jc w:val="right"/>
              <w:rPr>
                <w:sz w:val="14"/>
                <w:szCs w:val="14"/>
              </w:rPr>
            </w:pPr>
            <w:r w:rsidRPr="00202BBF">
              <w:rPr>
                <w:sz w:val="14"/>
                <w:szCs w:val="14"/>
              </w:rPr>
              <w:t xml:space="preserve">41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16088A87" w14:textId="77777777">
            <w:pPr>
              <w:pStyle w:val="tablebody"/>
              <w:jc w:val="right"/>
              <w:rPr>
                <w:sz w:val="14"/>
                <w:szCs w:val="14"/>
              </w:rPr>
            </w:pPr>
            <w:r w:rsidRPr="00202BBF">
              <w:rPr>
                <w:sz w:val="14"/>
                <w:szCs w:val="14"/>
              </w:rPr>
              <w:t xml:space="preserve">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60B72CEA" w14:textId="77777777">
            <w:pPr>
              <w:pStyle w:val="tablebody"/>
              <w:jc w:val="right"/>
              <w:rPr>
                <w:sz w:val="14"/>
                <w:szCs w:val="14"/>
              </w:rPr>
            </w:pPr>
            <w:r w:rsidRPr="00202BBF">
              <w:rPr>
                <w:sz w:val="14"/>
                <w:szCs w:val="14"/>
              </w:rPr>
              <w:t xml:space="preserve">0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6E42FEF9" w14:textId="77777777">
            <w:pPr>
              <w:pStyle w:val="tablebody"/>
              <w:jc w:val="right"/>
              <w:rPr>
                <w:sz w:val="14"/>
                <w:szCs w:val="14"/>
              </w:rPr>
            </w:pPr>
            <w:r w:rsidRPr="00202BBF">
              <w:rPr>
                <w:sz w:val="14"/>
                <w:szCs w:val="14"/>
              </w:rPr>
              <w:t xml:space="preserve">41 </w:t>
            </w:r>
          </w:p>
        </w:tc>
      </w:tr>
      <w:tr w:rsidRPr="00202BBF" w:rsidR="002A3B62" w:rsidTr="00202BBF" w14:paraId="15929D77"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7A42330B" w14:textId="77777777">
            <w:pPr>
              <w:pStyle w:val="tablebody"/>
              <w:rPr>
                <w:sz w:val="14"/>
                <w:szCs w:val="14"/>
              </w:rPr>
            </w:pPr>
            <w:r w:rsidRPr="00202BBF">
              <w:rPr>
                <w:b/>
                <w:sz w:val="14"/>
                <w:szCs w:val="14"/>
              </w:rPr>
              <w:t>Domestic builders fund</w:t>
            </w:r>
            <w:r w:rsidRPr="00202BBF">
              <w:rPr>
                <w:sz w:val="14"/>
                <w:szCs w:val="14"/>
              </w:rPr>
              <w:br/>
              <w:t xml:space="preserve">Established under the </w:t>
            </w:r>
            <w:r w:rsidRPr="00202BBF">
              <w:rPr>
                <w:i/>
                <w:iCs/>
                <w:sz w:val="14"/>
                <w:szCs w:val="14"/>
              </w:rPr>
              <w:t>Domestic Building Contracts Act 1995</w:t>
            </w:r>
            <w:r w:rsidRPr="00202BBF">
              <w:rPr>
                <w:sz w:val="14"/>
                <w:szCs w:val="14"/>
              </w:rPr>
              <w:t xml:space="preserve"> to hold monies in accordance with section 124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58AD2721" w14:textId="77777777">
            <w:pPr>
              <w:pStyle w:val="tablebody"/>
              <w:jc w:val="right"/>
              <w:rPr>
                <w:sz w:val="14"/>
                <w:szCs w:val="14"/>
              </w:rPr>
            </w:pPr>
            <w:r w:rsidRPr="00202BBF">
              <w:rPr>
                <w:sz w:val="14"/>
                <w:szCs w:val="14"/>
              </w:rPr>
              <w:t xml:space="preserve">21,196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5C2F9D4" w14:textId="77777777">
            <w:pPr>
              <w:pStyle w:val="tablebody"/>
              <w:jc w:val="right"/>
              <w:rPr>
                <w:sz w:val="14"/>
                <w:szCs w:val="14"/>
              </w:rPr>
            </w:pPr>
            <w:r w:rsidRPr="00202BBF">
              <w:rPr>
                <w:sz w:val="14"/>
                <w:szCs w:val="14"/>
              </w:rPr>
              <w:t xml:space="preserve">18,060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23F6EF84" w14:textId="77777777">
            <w:pPr>
              <w:pStyle w:val="tablebody"/>
              <w:jc w:val="right"/>
              <w:rPr>
                <w:sz w:val="14"/>
                <w:szCs w:val="14"/>
              </w:rPr>
            </w:pPr>
            <w:r w:rsidRPr="00202BBF">
              <w:rPr>
                <w:sz w:val="14"/>
                <w:szCs w:val="14"/>
              </w:rPr>
              <w:t xml:space="preserve">17,814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534F68F4" w14:textId="77777777">
            <w:pPr>
              <w:pStyle w:val="tablebody"/>
              <w:jc w:val="right"/>
              <w:rPr>
                <w:sz w:val="14"/>
                <w:szCs w:val="14"/>
              </w:rPr>
            </w:pPr>
            <w:r w:rsidRPr="00202BBF">
              <w:rPr>
                <w:sz w:val="14"/>
                <w:szCs w:val="14"/>
              </w:rPr>
              <w:t xml:space="preserve">21,442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287A35DA" w14:textId="77777777">
            <w:pPr>
              <w:pStyle w:val="tablebody"/>
              <w:jc w:val="right"/>
              <w:rPr>
                <w:sz w:val="14"/>
                <w:szCs w:val="14"/>
              </w:rPr>
            </w:pPr>
            <w:r w:rsidRPr="00202BBF">
              <w:rPr>
                <w:sz w:val="14"/>
                <w:szCs w:val="14"/>
              </w:rPr>
              <w:t xml:space="preserve">21,409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7370C488" w14:textId="77777777">
            <w:pPr>
              <w:pStyle w:val="tablebody"/>
              <w:jc w:val="right"/>
              <w:rPr>
                <w:sz w:val="14"/>
                <w:szCs w:val="14"/>
              </w:rPr>
            </w:pPr>
            <w:r w:rsidRPr="00202BBF">
              <w:rPr>
                <w:sz w:val="14"/>
                <w:szCs w:val="14"/>
              </w:rPr>
              <w:t xml:space="preserve">14,663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8309B87" w14:textId="77777777">
            <w:pPr>
              <w:pStyle w:val="tablebody"/>
              <w:jc w:val="right"/>
              <w:rPr>
                <w:sz w:val="14"/>
                <w:szCs w:val="14"/>
              </w:rPr>
            </w:pPr>
            <w:r w:rsidRPr="00202BBF">
              <w:rPr>
                <w:sz w:val="14"/>
                <w:szCs w:val="14"/>
              </w:rPr>
              <w:t xml:space="preserve">14,876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0BCB6948" w14:textId="77777777">
            <w:pPr>
              <w:pStyle w:val="tablebody"/>
              <w:jc w:val="right"/>
              <w:rPr>
                <w:sz w:val="14"/>
                <w:szCs w:val="14"/>
              </w:rPr>
            </w:pPr>
            <w:r w:rsidRPr="00202BBF">
              <w:rPr>
                <w:sz w:val="14"/>
                <w:szCs w:val="14"/>
              </w:rPr>
              <w:t xml:space="preserve">21,196 </w:t>
            </w:r>
          </w:p>
        </w:tc>
      </w:tr>
      <w:tr w:rsidRPr="00202BBF" w:rsidR="002A3B62" w:rsidTr="00202BBF" w14:paraId="3380C7DC"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34AF9B73" w14:textId="77777777">
            <w:pPr>
              <w:pStyle w:val="tablebody"/>
              <w:rPr>
                <w:sz w:val="14"/>
                <w:szCs w:val="14"/>
              </w:rPr>
            </w:pPr>
            <w:r w:rsidRPr="00202BBF">
              <w:rPr>
                <w:b/>
                <w:sz w:val="14"/>
                <w:szCs w:val="14"/>
              </w:rPr>
              <w:t>Victorian property fund</w:t>
            </w:r>
            <w:r w:rsidRPr="00202BBF">
              <w:rPr>
                <w:sz w:val="14"/>
                <w:szCs w:val="14"/>
              </w:rPr>
              <w:t xml:space="preserve"> </w:t>
            </w:r>
            <w:r w:rsidRPr="00202BBF">
              <w:rPr>
                <w:sz w:val="14"/>
                <w:szCs w:val="14"/>
              </w:rPr>
              <w:br/>
              <w:t xml:space="preserve">Established under the </w:t>
            </w:r>
            <w:r w:rsidRPr="00202BBF">
              <w:rPr>
                <w:i/>
                <w:iCs/>
                <w:sz w:val="14"/>
                <w:szCs w:val="14"/>
              </w:rPr>
              <w:t>Estate Agents Act 1980</w:t>
            </w:r>
            <w:r w:rsidRPr="00202BBF">
              <w:rPr>
                <w:sz w:val="14"/>
                <w:szCs w:val="14"/>
              </w:rPr>
              <w:t xml:space="preserve"> to hold monies in accordance with sections 73 and 75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4FEB4D9D" w14:textId="77777777">
            <w:pPr>
              <w:pStyle w:val="tablebody"/>
              <w:jc w:val="right"/>
              <w:rPr>
                <w:sz w:val="14"/>
                <w:szCs w:val="14"/>
              </w:rPr>
            </w:pPr>
            <w:r w:rsidRPr="00202BBF">
              <w:rPr>
                <w:sz w:val="14"/>
                <w:szCs w:val="14"/>
              </w:rPr>
              <w:t xml:space="preserve">212,945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110D5AC7" w14:textId="77777777">
            <w:pPr>
              <w:pStyle w:val="tablebody"/>
              <w:jc w:val="right"/>
              <w:rPr>
                <w:sz w:val="14"/>
                <w:szCs w:val="14"/>
              </w:rPr>
            </w:pPr>
            <w:r w:rsidRPr="00202BBF">
              <w:rPr>
                <w:sz w:val="14"/>
                <w:szCs w:val="14"/>
              </w:rPr>
              <w:t xml:space="preserve">44,799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860367F" w14:textId="77777777">
            <w:pPr>
              <w:pStyle w:val="tablebody"/>
              <w:jc w:val="right"/>
              <w:rPr>
                <w:sz w:val="14"/>
                <w:szCs w:val="14"/>
              </w:rPr>
            </w:pPr>
            <w:r w:rsidRPr="00202BBF">
              <w:rPr>
                <w:sz w:val="14"/>
                <w:szCs w:val="14"/>
              </w:rPr>
              <w:t xml:space="preserve">65,401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2E177470" w14:textId="77777777">
            <w:pPr>
              <w:pStyle w:val="tablebody"/>
              <w:jc w:val="right"/>
              <w:rPr>
                <w:sz w:val="14"/>
                <w:szCs w:val="14"/>
              </w:rPr>
            </w:pPr>
            <w:r w:rsidRPr="00202BBF">
              <w:rPr>
                <w:sz w:val="14"/>
                <w:szCs w:val="14"/>
              </w:rPr>
              <w:t xml:space="preserve">192,343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54DABF68" w14:textId="77777777">
            <w:pPr>
              <w:pStyle w:val="tablebody"/>
              <w:jc w:val="right"/>
              <w:rPr>
                <w:sz w:val="14"/>
                <w:szCs w:val="14"/>
              </w:rPr>
            </w:pPr>
            <w:r w:rsidRPr="00202BBF">
              <w:rPr>
                <w:sz w:val="14"/>
                <w:szCs w:val="14"/>
              </w:rPr>
              <w:t xml:space="preserve">318,514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66EDE700" w14:textId="77777777">
            <w:pPr>
              <w:pStyle w:val="tablebody"/>
              <w:jc w:val="right"/>
              <w:rPr>
                <w:sz w:val="14"/>
                <w:szCs w:val="14"/>
              </w:rPr>
            </w:pPr>
            <w:r w:rsidRPr="00202BBF">
              <w:rPr>
                <w:sz w:val="14"/>
                <w:szCs w:val="14"/>
              </w:rPr>
              <w:t xml:space="preserve">46,283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FC3CC42" w14:textId="77777777">
            <w:pPr>
              <w:pStyle w:val="tablebody"/>
              <w:jc w:val="right"/>
              <w:rPr>
                <w:sz w:val="14"/>
                <w:szCs w:val="14"/>
              </w:rPr>
            </w:pPr>
            <w:r w:rsidRPr="00202BBF">
              <w:rPr>
                <w:sz w:val="14"/>
                <w:szCs w:val="14"/>
              </w:rPr>
              <w:t xml:space="preserve">151,852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257FD0FA" w14:textId="77777777">
            <w:pPr>
              <w:pStyle w:val="tablebody"/>
              <w:jc w:val="right"/>
              <w:rPr>
                <w:sz w:val="14"/>
                <w:szCs w:val="14"/>
              </w:rPr>
            </w:pPr>
            <w:r w:rsidRPr="00202BBF">
              <w:rPr>
                <w:sz w:val="14"/>
                <w:szCs w:val="14"/>
              </w:rPr>
              <w:t xml:space="preserve">212,945 </w:t>
            </w:r>
          </w:p>
        </w:tc>
      </w:tr>
      <w:tr w:rsidRPr="00202BBF" w:rsidR="002A3B62" w:rsidTr="00202BBF" w14:paraId="6BD31FF7"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6E800FDF" w14:textId="77777777">
            <w:pPr>
              <w:pStyle w:val="tablebody"/>
              <w:rPr>
                <w:sz w:val="14"/>
                <w:szCs w:val="14"/>
              </w:rPr>
            </w:pPr>
            <w:r w:rsidRPr="00202BBF">
              <w:rPr>
                <w:b/>
                <w:sz w:val="14"/>
                <w:szCs w:val="14"/>
              </w:rPr>
              <w:t>Correctional enterprises working account</w:t>
            </w:r>
            <w:r w:rsidRPr="00202BBF">
              <w:rPr>
                <w:sz w:val="14"/>
                <w:szCs w:val="14"/>
              </w:rPr>
              <w:br/>
              <w:t xml:space="preserve">Established under the </w:t>
            </w:r>
            <w:r w:rsidRPr="00202BBF">
              <w:rPr>
                <w:i/>
                <w:iCs/>
                <w:sz w:val="14"/>
                <w:szCs w:val="14"/>
              </w:rPr>
              <w:t>Financial Management Act 1994</w:t>
            </w:r>
            <w:r w:rsidRPr="00202BBF">
              <w:rPr>
                <w:sz w:val="14"/>
                <w:szCs w:val="14"/>
              </w:rPr>
              <w:t xml:space="preserve"> as a working account for Correctional Enterprises.</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41EDCCC2" w14:textId="77777777">
            <w:pPr>
              <w:pStyle w:val="tablebody"/>
              <w:jc w:val="right"/>
              <w:rPr>
                <w:sz w:val="14"/>
                <w:szCs w:val="14"/>
              </w:rPr>
            </w:pPr>
            <w:r w:rsidRPr="00202BBF">
              <w:rPr>
                <w:sz w:val="14"/>
                <w:szCs w:val="14"/>
              </w:rPr>
              <w:t xml:space="preserve">12,616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5AD4F3EF" w14:textId="77777777">
            <w:pPr>
              <w:pStyle w:val="tablebody"/>
              <w:jc w:val="right"/>
              <w:rPr>
                <w:sz w:val="14"/>
                <w:szCs w:val="14"/>
              </w:rPr>
            </w:pPr>
            <w:r w:rsidRPr="00202BBF">
              <w:rPr>
                <w:sz w:val="14"/>
                <w:szCs w:val="14"/>
              </w:rPr>
              <w:t xml:space="preserve">22,916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369F0046" w14:textId="77777777">
            <w:pPr>
              <w:pStyle w:val="tablebody"/>
              <w:jc w:val="right"/>
              <w:rPr>
                <w:sz w:val="14"/>
                <w:szCs w:val="14"/>
              </w:rPr>
            </w:pPr>
            <w:r w:rsidRPr="00202BBF">
              <w:rPr>
                <w:sz w:val="14"/>
                <w:szCs w:val="14"/>
              </w:rPr>
              <w:t xml:space="preserve">23,919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0CDA5F37" w14:textId="77777777">
            <w:pPr>
              <w:pStyle w:val="tablebody"/>
              <w:jc w:val="right"/>
              <w:rPr>
                <w:sz w:val="14"/>
                <w:szCs w:val="14"/>
              </w:rPr>
            </w:pPr>
            <w:r w:rsidRPr="00202BBF">
              <w:rPr>
                <w:sz w:val="14"/>
                <w:szCs w:val="14"/>
              </w:rPr>
              <w:t xml:space="preserve">11,613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30837608" w14:textId="77777777">
            <w:pPr>
              <w:pStyle w:val="tablebody"/>
              <w:jc w:val="right"/>
              <w:rPr>
                <w:sz w:val="14"/>
                <w:szCs w:val="14"/>
              </w:rPr>
            </w:pPr>
            <w:r w:rsidRPr="00202BBF">
              <w:rPr>
                <w:sz w:val="14"/>
                <w:szCs w:val="14"/>
              </w:rPr>
              <w:t xml:space="preserve">12,992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3E53DB76" w14:textId="77777777">
            <w:pPr>
              <w:pStyle w:val="tablebody"/>
              <w:jc w:val="right"/>
              <w:rPr>
                <w:sz w:val="14"/>
                <w:szCs w:val="14"/>
              </w:rPr>
            </w:pPr>
            <w:r w:rsidRPr="00202BBF">
              <w:rPr>
                <w:sz w:val="14"/>
                <w:szCs w:val="14"/>
              </w:rPr>
              <w:t xml:space="preserve">15,992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32170D71" w14:textId="77777777">
            <w:pPr>
              <w:pStyle w:val="tablebody"/>
              <w:jc w:val="right"/>
              <w:rPr>
                <w:sz w:val="14"/>
                <w:szCs w:val="14"/>
              </w:rPr>
            </w:pPr>
            <w:r w:rsidRPr="00202BBF">
              <w:rPr>
                <w:sz w:val="14"/>
                <w:szCs w:val="14"/>
              </w:rPr>
              <w:t xml:space="preserve">16,368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396B7E25" w14:textId="77777777">
            <w:pPr>
              <w:pStyle w:val="tablebody"/>
              <w:jc w:val="right"/>
              <w:rPr>
                <w:sz w:val="14"/>
                <w:szCs w:val="14"/>
              </w:rPr>
            </w:pPr>
            <w:r w:rsidRPr="00202BBF">
              <w:rPr>
                <w:sz w:val="14"/>
                <w:szCs w:val="14"/>
              </w:rPr>
              <w:t xml:space="preserve">12,616 </w:t>
            </w:r>
          </w:p>
        </w:tc>
      </w:tr>
      <w:tr w:rsidRPr="00202BBF" w:rsidR="002A3B62" w:rsidTr="00202BBF" w14:paraId="2C28C93D"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1D7E2E5C" w14:textId="77777777">
            <w:pPr>
              <w:pStyle w:val="tablebody"/>
              <w:rPr>
                <w:sz w:val="14"/>
                <w:szCs w:val="14"/>
              </w:rPr>
            </w:pPr>
            <w:r w:rsidRPr="00202BBF">
              <w:rPr>
                <w:b/>
                <w:sz w:val="14"/>
                <w:szCs w:val="14"/>
              </w:rPr>
              <w:t>Motor car traders’ guarantee fund</w:t>
            </w:r>
            <w:r w:rsidRPr="00202BBF">
              <w:rPr>
                <w:b/>
                <w:sz w:val="14"/>
                <w:szCs w:val="14"/>
              </w:rPr>
              <w:br/>
            </w:r>
            <w:r w:rsidRPr="00202BBF">
              <w:rPr>
                <w:sz w:val="14"/>
                <w:szCs w:val="14"/>
              </w:rPr>
              <w:t xml:space="preserve">Established under the </w:t>
            </w:r>
            <w:r w:rsidRPr="00202BBF">
              <w:rPr>
                <w:i/>
                <w:iCs/>
                <w:sz w:val="14"/>
                <w:szCs w:val="14"/>
              </w:rPr>
              <w:t>Motor Car Traders Act 1986</w:t>
            </w:r>
            <w:r w:rsidRPr="00202BBF">
              <w:rPr>
                <w:sz w:val="14"/>
                <w:szCs w:val="14"/>
              </w:rPr>
              <w:t xml:space="preserve"> to hold monies in accordance with section 74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CC53AFE" w14:textId="77777777">
            <w:pPr>
              <w:pStyle w:val="tablebody"/>
              <w:jc w:val="right"/>
              <w:rPr>
                <w:sz w:val="14"/>
                <w:szCs w:val="14"/>
              </w:rPr>
            </w:pPr>
            <w:r w:rsidRPr="00202BBF">
              <w:rPr>
                <w:sz w:val="14"/>
                <w:szCs w:val="14"/>
              </w:rPr>
              <w:t xml:space="preserve">4,535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574E543" w14:textId="77777777">
            <w:pPr>
              <w:pStyle w:val="tablebody"/>
              <w:jc w:val="right"/>
              <w:rPr>
                <w:sz w:val="14"/>
                <w:szCs w:val="14"/>
              </w:rPr>
            </w:pPr>
            <w:r w:rsidRPr="00202BBF">
              <w:rPr>
                <w:sz w:val="14"/>
                <w:szCs w:val="14"/>
              </w:rPr>
              <w:t xml:space="preserve">3,137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708BFDA6" w14:textId="77777777">
            <w:pPr>
              <w:pStyle w:val="tablebody"/>
              <w:jc w:val="right"/>
              <w:rPr>
                <w:sz w:val="14"/>
                <w:szCs w:val="14"/>
              </w:rPr>
            </w:pPr>
            <w:r w:rsidRPr="00202BBF">
              <w:rPr>
                <w:sz w:val="14"/>
                <w:szCs w:val="14"/>
              </w:rPr>
              <w:t xml:space="preserve">2,732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458EBFFE" w14:textId="77777777">
            <w:pPr>
              <w:pStyle w:val="tablebody"/>
              <w:jc w:val="right"/>
              <w:rPr>
                <w:sz w:val="14"/>
                <w:szCs w:val="14"/>
              </w:rPr>
            </w:pPr>
            <w:r w:rsidRPr="00202BBF">
              <w:rPr>
                <w:sz w:val="14"/>
                <w:szCs w:val="14"/>
              </w:rPr>
              <w:t xml:space="preserve">4,940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10684253" w14:textId="77777777">
            <w:pPr>
              <w:pStyle w:val="tablebody"/>
              <w:jc w:val="right"/>
              <w:rPr>
                <w:sz w:val="14"/>
                <w:szCs w:val="14"/>
              </w:rPr>
            </w:pPr>
            <w:r w:rsidRPr="00202BBF">
              <w:rPr>
                <w:sz w:val="14"/>
                <w:szCs w:val="14"/>
              </w:rPr>
              <w:t xml:space="preserve">4,059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AC535D5" w14:textId="77777777">
            <w:pPr>
              <w:pStyle w:val="tablebody"/>
              <w:jc w:val="right"/>
              <w:rPr>
                <w:sz w:val="14"/>
                <w:szCs w:val="14"/>
              </w:rPr>
            </w:pPr>
            <w:r w:rsidRPr="00202BBF">
              <w:rPr>
                <w:sz w:val="14"/>
                <w:szCs w:val="14"/>
              </w:rPr>
              <w:t xml:space="preserve">3,515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AAEF163" w14:textId="77777777">
            <w:pPr>
              <w:pStyle w:val="tablebody"/>
              <w:jc w:val="right"/>
              <w:rPr>
                <w:sz w:val="14"/>
                <w:szCs w:val="14"/>
              </w:rPr>
            </w:pPr>
            <w:r w:rsidRPr="00202BBF">
              <w:rPr>
                <w:sz w:val="14"/>
                <w:szCs w:val="14"/>
              </w:rPr>
              <w:t xml:space="preserve">3,039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346F47F8" w14:textId="77777777">
            <w:pPr>
              <w:pStyle w:val="tablebody"/>
              <w:jc w:val="right"/>
              <w:rPr>
                <w:sz w:val="14"/>
                <w:szCs w:val="14"/>
              </w:rPr>
            </w:pPr>
            <w:r w:rsidRPr="00202BBF">
              <w:rPr>
                <w:sz w:val="14"/>
                <w:szCs w:val="14"/>
              </w:rPr>
              <w:t xml:space="preserve">4,535 </w:t>
            </w:r>
          </w:p>
        </w:tc>
      </w:tr>
      <w:tr w:rsidRPr="00202BBF" w:rsidR="002A3B62" w:rsidTr="00202BBF" w14:paraId="49769B66"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33BD0253" w14:textId="77777777">
            <w:pPr>
              <w:pStyle w:val="tablebody"/>
              <w:rPr>
                <w:sz w:val="14"/>
                <w:szCs w:val="14"/>
              </w:rPr>
            </w:pPr>
            <w:r w:rsidRPr="00202BBF">
              <w:rPr>
                <w:b/>
                <w:sz w:val="14"/>
                <w:szCs w:val="14"/>
              </w:rPr>
              <w:t>National gambling research trust</w:t>
            </w:r>
            <w:r w:rsidRPr="00202BBF">
              <w:rPr>
                <w:b/>
                <w:sz w:val="14"/>
                <w:szCs w:val="14"/>
              </w:rPr>
              <w:br/>
            </w:r>
            <w:r w:rsidRPr="00202BBF">
              <w:rPr>
                <w:sz w:val="14"/>
                <w:szCs w:val="14"/>
              </w:rPr>
              <w:t>Established under a memorandum of understanding between the State and Federal Governments to hold funds for a multi-jurisdictional group to perform national gambling research.</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750F09D5"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5CF92EDB" w14:textId="77777777">
            <w:pPr>
              <w:pStyle w:val="tablebody"/>
              <w:jc w:val="right"/>
              <w:rPr>
                <w:sz w:val="14"/>
                <w:szCs w:val="14"/>
              </w:rPr>
            </w:pPr>
            <w:r w:rsidRPr="00202BBF">
              <w:rPr>
                <w:sz w:val="14"/>
                <w:szCs w:val="14"/>
              </w:rPr>
              <w:t xml:space="preserve">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5E8778C6" w14:textId="77777777">
            <w:pPr>
              <w:pStyle w:val="tablebody"/>
              <w:jc w:val="right"/>
              <w:rPr>
                <w:sz w:val="14"/>
                <w:szCs w:val="14"/>
              </w:rPr>
            </w:pPr>
            <w:r w:rsidRPr="00202BBF">
              <w:rPr>
                <w:sz w:val="14"/>
                <w:szCs w:val="14"/>
              </w:rPr>
              <w:t xml:space="preserve">0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0E312F61" w14:textId="77777777">
            <w:pPr>
              <w:pStyle w:val="tablebody"/>
              <w:jc w:val="right"/>
              <w:rPr>
                <w:sz w:val="14"/>
                <w:szCs w:val="14"/>
              </w:rPr>
            </w:pPr>
            <w:r w:rsidRPr="00202BBF">
              <w:rPr>
                <w:sz w:val="14"/>
                <w:szCs w:val="14"/>
              </w:rPr>
              <w:t xml:space="preserve">0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FF361DA" w14:textId="77777777">
            <w:pPr>
              <w:pStyle w:val="tablebody"/>
              <w:jc w:val="right"/>
              <w:rPr>
                <w:sz w:val="14"/>
                <w:szCs w:val="14"/>
              </w:rPr>
            </w:pPr>
            <w:r w:rsidRPr="00202BBF">
              <w:rPr>
                <w:sz w:val="14"/>
                <w:szCs w:val="14"/>
              </w:rPr>
              <w:t xml:space="preserve">434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6FD91DC" w14:textId="77777777">
            <w:pPr>
              <w:pStyle w:val="tablebody"/>
              <w:jc w:val="right"/>
              <w:rPr>
                <w:sz w:val="14"/>
                <w:szCs w:val="14"/>
              </w:rPr>
            </w:pPr>
            <w:r w:rsidRPr="00202BBF">
              <w:rPr>
                <w:sz w:val="14"/>
                <w:szCs w:val="14"/>
              </w:rPr>
              <w:t xml:space="preserve">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48D15819" w14:textId="77777777">
            <w:pPr>
              <w:pStyle w:val="tablebody"/>
              <w:jc w:val="right"/>
              <w:rPr>
                <w:sz w:val="14"/>
                <w:szCs w:val="14"/>
              </w:rPr>
            </w:pPr>
            <w:r w:rsidRPr="00202BBF">
              <w:rPr>
                <w:sz w:val="14"/>
                <w:szCs w:val="14"/>
              </w:rPr>
              <w:t xml:space="preserve">434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222D933F" w14:textId="77777777">
            <w:pPr>
              <w:pStyle w:val="tablebody"/>
              <w:jc w:val="right"/>
              <w:rPr>
                <w:sz w:val="14"/>
                <w:szCs w:val="14"/>
              </w:rPr>
            </w:pPr>
            <w:r w:rsidRPr="00202BBF">
              <w:rPr>
                <w:sz w:val="14"/>
                <w:szCs w:val="14"/>
              </w:rPr>
              <w:t xml:space="preserve">0 </w:t>
            </w:r>
          </w:p>
        </w:tc>
      </w:tr>
      <w:tr w:rsidRPr="00202BBF" w:rsidR="002A3B62" w:rsidTr="00202BBF" w14:paraId="56525E92"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663464C7" w14:textId="77777777">
            <w:pPr>
              <w:pStyle w:val="tablebody"/>
              <w:rPr>
                <w:sz w:val="14"/>
                <w:szCs w:val="14"/>
              </w:rPr>
            </w:pPr>
            <w:r w:rsidRPr="00202BBF">
              <w:rPr>
                <w:b/>
                <w:sz w:val="14"/>
                <w:szCs w:val="14"/>
              </w:rPr>
              <w:t>Sex work regulation fund</w:t>
            </w:r>
            <w:r w:rsidRPr="00202BBF">
              <w:rPr>
                <w:b/>
                <w:sz w:val="14"/>
                <w:szCs w:val="14"/>
              </w:rPr>
              <w:br/>
            </w:r>
            <w:r w:rsidRPr="00202BBF">
              <w:rPr>
                <w:sz w:val="14"/>
                <w:szCs w:val="14"/>
              </w:rPr>
              <w:t xml:space="preserve">Established under the </w:t>
            </w:r>
            <w:r w:rsidRPr="00202BBF">
              <w:rPr>
                <w:i/>
                <w:iCs/>
                <w:sz w:val="14"/>
                <w:szCs w:val="14"/>
              </w:rPr>
              <w:t>Sex Work Act 1994</w:t>
            </w:r>
            <w:r w:rsidRPr="00202BBF">
              <w:rPr>
                <w:sz w:val="14"/>
                <w:szCs w:val="14"/>
              </w:rPr>
              <w:t xml:space="preserve"> to hold monies in accordance with section 66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30B2680" w14:textId="77777777">
            <w:pPr>
              <w:pStyle w:val="tablebody"/>
              <w:jc w:val="right"/>
              <w:rPr>
                <w:sz w:val="14"/>
                <w:szCs w:val="14"/>
              </w:rPr>
            </w:pPr>
            <w:r w:rsidRPr="00202BBF">
              <w:rPr>
                <w:sz w:val="14"/>
                <w:szCs w:val="14"/>
              </w:rPr>
              <w:t xml:space="preserve">1,251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5DD0A7CF" w14:textId="77777777">
            <w:pPr>
              <w:pStyle w:val="tablebody"/>
              <w:jc w:val="right"/>
              <w:rPr>
                <w:sz w:val="14"/>
                <w:szCs w:val="14"/>
              </w:rPr>
            </w:pPr>
            <w:r w:rsidRPr="00202BBF">
              <w:rPr>
                <w:sz w:val="14"/>
                <w:szCs w:val="14"/>
              </w:rPr>
              <w:t xml:space="preserve">1,268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28C28998" w14:textId="77777777">
            <w:pPr>
              <w:pStyle w:val="tablebody"/>
              <w:jc w:val="right"/>
              <w:rPr>
                <w:sz w:val="14"/>
                <w:szCs w:val="14"/>
              </w:rPr>
            </w:pPr>
            <w:r w:rsidRPr="00202BBF">
              <w:rPr>
                <w:sz w:val="14"/>
                <w:szCs w:val="14"/>
              </w:rPr>
              <w:t xml:space="preserve">1,473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4A254B15" w14:textId="77777777">
            <w:pPr>
              <w:pStyle w:val="tablebody"/>
              <w:jc w:val="right"/>
              <w:rPr>
                <w:sz w:val="14"/>
                <w:szCs w:val="14"/>
              </w:rPr>
            </w:pPr>
            <w:r w:rsidRPr="00202BBF">
              <w:rPr>
                <w:sz w:val="14"/>
                <w:szCs w:val="14"/>
              </w:rPr>
              <w:t xml:space="preserve">1,046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13BE4DAE" w14:textId="77777777">
            <w:pPr>
              <w:pStyle w:val="tablebody"/>
              <w:jc w:val="right"/>
              <w:rPr>
                <w:sz w:val="14"/>
                <w:szCs w:val="14"/>
              </w:rPr>
            </w:pPr>
            <w:r w:rsidRPr="00202BBF">
              <w:rPr>
                <w:sz w:val="14"/>
                <w:szCs w:val="14"/>
              </w:rPr>
              <w:t xml:space="preserve">1,335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6B6D904" w14:textId="77777777">
            <w:pPr>
              <w:pStyle w:val="tablebody"/>
              <w:jc w:val="right"/>
              <w:rPr>
                <w:sz w:val="14"/>
                <w:szCs w:val="14"/>
              </w:rPr>
            </w:pPr>
            <w:r w:rsidRPr="00202BBF">
              <w:rPr>
                <w:sz w:val="14"/>
                <w:szCs w:val="14"/>
              </w:rPr>
              <w:t xml:space="preserve">1,313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2FB028E6" w14:textId="77777777">
            <w:pPr>
              <w:pStyle w:val="tablebody"/>
              <w:jc w:val="right"/>
              <w:rPr>
                <w:sz w:val="14"/>
                <w:szCs w:val="14"/>
              </w:rPr>
            </w:pPr>
            <w:r w:rsidRPr="00202BBF">
              <w:rPr>
                <w:sz w:val="14"/>
                <w:szCs w:val="14"/>
              </w:rPr>
              <w:t xml:space="preserve">1,397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141DCD1C" w14:textId="77777777">
            <w:pPr>
              <w:pStyle w:val="tablebody"/>
              <w:jc w:val="right"/>
              <w:rPr>
                <w:sz w:val="14"/>
                <w:szCs w:val="14"/>
              </w:rPr>
            </w:pPr>
            <w:r w:rsidRPr="00202BBF">
              <w:rPr>
                <w:sz w:val="14"/>
                <w:szCs w:val="14"/>
              </w:rPr>
              <w:t xml:space="preserve">1,251 </w:t>
            </w:r>
          </w:p>
        </w:tc>
      </w:tr>
      <w:tr w:rsidRPr="00202BBF" w:rsidR="002A3B62" w:rsidTr="00202BBF" w14:paraId="21D6C740"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3102F81B" w14:textId="77777777">
            <w:pPr>
              <w:pStyle w:val="tablebody"/>
              <w:rPr>
                <w:sz w:val="14"/>
                <w:szCs w:val="14"/>
              </w:rPr>
            </w:pPr>
            <w:r w:rsidRPr="00202BBF">
              <w:rPr>
                <w:b/>
                <w:sz w:val="14"/>
                <w:szCs w:val="14"/>
              </w:rPr>
              <w:t>Residential tenancies fund</w:t>
            </w:r>
            <w:r w:rsidRPr="00202BBF">
              <w:rPr>
                <w:b/>
                <w:sz w:val="14"/>
                <w:szCs w:val="14"/>
              </w:rPr>
              <w:br/>
            </w:r>
            <w:r w:rsidRPr="00202BBF">
              <w:rPr>
                <w:sz w:val="14"/>
                <w:szCs w:val="14"/>
              </w:rPr>
              <w:t xml:space="preserve">Established under the </w:t>
            </w:r>
            <w:r w:rsidRPr="00202BBF">
              <w:rPr>
                <w:i/>
                <w:iCs/>
                <w:sz w:val="14"/>
                <w:szCs w:val="14"/>
              </w:rPr>
              <w:t>Residential Tenancies Act 1997</w:t>
            </w:r>
            <w:r w:rsidRPr="00202BBF">
              <w:rPr>
                <w:sz w:val="14"/>
                <w:szCs w:val="14"/>
              </w:rPr>
              <w:t xml:space="preserve"> to hold monies in accordance with sections 492 and 493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59F50151" w14:textId="77777777">
            <w:pPr>
              <w:pStyle w:val="tablebody"/>
              <w:jc w:val="right"/>
              <w:rPr>
                <w:sz w:val="14"/>
                <w:szCs w:val="14"/>
              </w:rPr>
            </w:pPr>
            <w:r w:rsidRPr="00202BBF">
              <w:rPr>
                <w:sz w:val="14"/>
                <w:szCs w:val="14"/>
              </w:rPr>
              <w:t xml:space="preserve">40,603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274074A4" w14:textId="77777777">
            <w:pPr>
              <w:pStyle w:val="tablebody"/>
              <w:jc w:val="right"/>
              <w:rPr>
                <w:sz w:val="14"/>
                <w:szCs w:val="14"/>
              </w:rPr>
            </w:pPr>
            <w:r w:rsidRPr="00202BBF">
              <w:rPr>
                <w:sz w:val="14"/>
                <w:szCs w:val="14"/>
              </w:rPr>
              <w:t xml:space="preserve">34,269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6EC786DA" w14:textId="77777777">
            <w:pPr>
              <w:pStyle w:val="tablebody"/>
              <w:jc w:val="right"/>
              <w:rPr>
                <w:sz w:val="14"/>
                <w:szCs w:val="14"/>
              </w:rPr>
            </w:pPr>
            <w:r w:rsidRPr="00202BBF">
              <w:rPr>
                <w:sz w:val="14"/>
                <w:szCs w:val="14"/>
              </w:rPr>
              <w:t xml:space="preserve">31,885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778D39C6" w14:textId="77777777">
            <w:pPr>
              <w:pStyle w:val="tablebody"/>
              <w:jc w:val="right"/>
              <w:rPr>
                <w:sz w:val="14"/>
                <w:szCs w:val="14"/>
              </w:rPr>
            </w:pPr>
            <w:r w:rsidRPr="00202BBF">
              <w:rPr>
                <w:sz w:val="14"/>
                <w:szCs w:val="14"/>
              </w:rPr>
              <w:t xml:space="preserve">42,987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7FEE6660" w14:textId="77777777">
            <w:pPr>
              <w:pStyle w:val="tablebody"/>
              <w:jc w:val="right"/>
              <w:rPr>
                <w:sz w:val="14"/>
                <w:szCs w:val="14"/>
              </w:rPr>
            </w:pPr>
            <w:r w:rsidRPr="00202BBF">
              <w:rPr>
                <w:sz w:val="14"/>
                <w:szCs w:val="14"/>
              </w:rPr>
              <w:t xml:space="preserve">36,665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77DA5E0B" w14:textId="77777777">
            <w:pPr>
              <w:pStyle w:val="tablebody"/>
              <w:jc w:val="right"/>
              <w:rPr>
                <w:sz w:val="14"/>
                <w:szCs w:val="14"/>
              </w:rPr>
            </w:pPr>
            <w:r w:rsidRPr="00202BBF">
              <w:rPr>
                <w:sz w:val="14"/>
                <w:szCs w:val="14"/>
              </w:rPr>
              <w:t xml:space="preserve">37,088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0F56BEDD" w14:textId="77777777">
            <w:pPr>
              <w:pStyle w:val="tablebody"/>
              <w:jc w:val="right"/>
              <w:rPr>
                <w:sz w:val="14"/>
                <w:szCs w:val="14"/>
              </w:rPr>
            </w:pPr>
            <w:r w:rsidRPr="00202BBF">
              <w:rPr>
                <w:sz w:val="14"/>
                <w:szCs w:val="14"/>
              </w:rPr>
              <w:t xml:space="preserve">33,150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0DE4E94C" w14:textId="77777777">
            <w:pPr>
              <w:pStyle w:val="tablebody"/>
              <w:jc w:val="right"/>
              <w:rPr>
                <w:sz w:val="14"/>
                <w:szCs w:val="14"/>
              </w:rPr>
            </w:pPr>
            <w:r w:rsidRPr="00202BBF">
              <w:rPr>
                <w:sz w:val="14"/>
                <w:szCs w:val="14"/>
              </w:rPr>
              <w:t xml:space="preserve">40,603 </w:t>
            </w:r>
          </w:p>
        </w:tc>
      </w:tr>
      <w:tr w:rsidRPr="00202BBF" w:rsidR="002A3B62" w:rsidTr="00202BBF" w14:paraId="50CAC02E"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47A6B665" w14:textId="77777777">
            <w:pPr>
              <w:pStyle w:val="tablebody"/>
              <w:rPr>
                <w:sz w:val="14"/>
                <w:szCs w:val="14"/>
              </w:rPr>
            </w:pPr>
            <w:r w:rsidRPr="00202BBF">
              <w:rPr>
                <w:b/>
                <w:sz w:val="14"/>
                <w:szCs w:val="14"/>
              </w:rPr>
              <w:t>Vehicle lease trust account</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to process the sales of </w:t>
            </w:r>
            <w:proofErr w:type="spellStart"/>
            <w:r w:rsidRPr="00202BBF">
              <w:rPr>
                <w:sz w:val="14"/>
                <w:szCs w:val="14"/>
              </w:rPr>
              <w:t>VicFleet</w:t>
            </w:r>
            <w:proofErr w:type="spellEnd"/>
            <w:r w:rsidRPr="00202BBF">
              <w:rPr>
                <w:sz w:val="14"/>
                <w:szCs w:val="14"/>
              </w:rPr>
              <w:t xml:space="preserve"> motor vehicles.</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61B019DB"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3BDCC63E" w14:textId="77777777">
            <w:pPr>
              <w:pStyle w:val="tablebody"/>
              <w:jc w:val="right"/>
              <w:rPr>
                <w:sz w:val="14"/>
                <w:szCs w:val="14"/>
              </w:rPr>
            </w:pPr>
            <w:r w:rsidRPr="00202BBF">
              <w:rPr>
                <w:sz w:val="14"/>
                <w:szCs w:val="14"/>
              </w:rPr>
              <w:t xml:space="preserve">1,637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1FAE10A4" w14:textId="77777777">
            <w:pPr>
              <w:pStyle w:val="tablebody"/>
              <w:jc w:val="right"/>
              <w:rPr>
                <w:sz w:val="14"/>
                <w:szCs w:val="14"/>
              </w:rPr>
            </w:pPr>
            <w:r w:rsidRPr="00202BBF">
              <w:rPr>
                <w:sz w:val="14"/>
                <w:szCs w:val="14"/>
              </w:rPr>
              <w:t xml:space="preserve">1,637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73C12E6E" w14:textId="77777777">
            <w:pPr>
              <w:pStyle w:val="tablebody"/>
              <w:jc w:val="right"/>
              <w:rPr>
                <w:sz w:val="14"/>
                <w:szCs w:val="14"/>
              </w:rPr>
            </w:pPr>
            <w:r w:rsidRPr="00202BBF">
              <w:rPr>
                <w:sz w:val="14"/>
                <w:szCs w:val="14"/>
              </w:rPr>
              <w:t xml:space="preserve">0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551F1D68"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25B80AE8" w14:textId="77777777">
            <w:pPr>
              <w:pStyle w:val="tablebody"/>
              <w:jc w:val="right"/>
              <w:rPr>
                <w:sz w:val="14"/>
                <w:szCs w:val="14"/>
              </w:rPr>
            </w:pPr>
            <w:r w:rsidRPr="00202BBF">
              <w:rPr>
                <w:sz w:val="14"/>
                <w:szCs w:val="14"/>
              </w:rPr>
              <w:t xml:space="preserve">2,167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20871DE1" w14:textId="77777777">
            <w:pPr>
              <w:pStyle w:val="tablebody"/>
              <w:jc w:val="right"/>
              <w:rPr>
                <w:sz w:val="14"/>
                <w:szCs w:val="14"/>
              </w:rPr>
            </w:pPr>
            <w:r w:rsidRPr="00202BBF">
              <w:rPr>
                <w:sz w:val="14"/>
                <w:szCs w:val="14"/>
              </w:rPr>
              <w:t xml:space="preserve">2,167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7A921208" w14:textId="77777777">
            <w:pPr>
              <w:pStyle w:val="tablebody"/>
              <w:jc w:val="right"/>
              <w:rPr>
                <w:sz w:val="14"/>
                <w:szCs w:val="14"/>
              </w:rPr>
            </w:pPr>
            <w:r w:rsidRPr="00202BBF">
              <w:rPr>
                <w:sz w:val="14"/>
                <w:szCs w:val="14"/>
              </w:rPr>
              <w:t xml:space="preserve">0 </w:t>
            </w:r>
          </w:p>
        </w:tc>
      </w:tr>
      <w:tr w:rsidRPr="00202BBF" w:rsidR="002A3B62" w:rsidTr="00202BBF" w14:paraId="25F73DDC"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0D3B878B" w14:textId="77777777">
            <w:pPr>
              <w:pStyle w:val="tablebody"/>
              <w:rPr>
                <w:sz w:val="14"/>
                <w:szCs w:val="14"/>
              </w:rPr>
            </w:pPr>
            <w:r w:rsidRPr="00202BBF">
              <w:rPr>
                <w:b/>
                <w:sz w:val="14"/>
                <w:szCs w:val="14"/>
              </w:rPr>
              <w:t>Inter-departmental transfer fund</w:t>
            </w:r>
            <w:r w:rsidRPr="00202BBF">
              <w:rPr>
                <w:b/>
                <w:sz w:val="14"/>
                <w:szCs w:val="14"/>
              </w:rPr>
              <w:br/>
            </w:r>
            <w:r w:rsidRPr="00202BBF">
              <w:rPr>
                <w:sz w:val="14"/>
                <w:szCs w:val="14"/>
              </w:rPr>
              <w:t>Established under the</w:t>
            </w:r>
            <w:r w:rsidRPr="00202BBF">
              <w:rPr>
                <w:i/>
                <w:iCs/>
                <w:sz w:val="14"/>
                <w:szCs w:val="14"/>
              </w:rPr>
              <w:t xml:space="preserve"> Financial Management Act 1994</w:t>
            </w:r>
            <w:r w:rsidRPr="00202BBF">
              <w:rPr>
                <w:sz w:val="14"/>
                <w:szCs w:val="14"/>
              </w:rPr>
              <w:t xml:space="preserve"> to hold monies in relation to inter-departmental transfers.</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3FCBA960" w14:textId="77777777">
            <w:pPr>
              <w:pStyle w:val="tablebody"/>
              <w:jc w:val="right"/>
              <w:rPr>
                <w:sz w:val="14"/>
                <w:szCs w:val="14"/>
              </w:rPr>
            </w:pPr>
            <w:r w:rsidRPr="00202BBF">
              <w:rPr>
                <w:sz w:val="14"/>
                <w:szCs w:val="14"/>
              </w:rPr>
              <w:t xml:space="preserve">2,472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32DA577" w14:textId="77777777">
            <w:pPr>
              <w:pStyle w:val="tablebody"/>
              <w:jc w:val="right"/>
              <w:rPr>
                <w:sz w:val="14"/>
                <w:szCs w:val="14"/>
              </w:rPr>
            </w:pPr>
            <w:r w:rsidRPr="00202BBF">
              <w:rPr>
                <w:sz w:val="14"/>
                <w:szCs w:val="14"/>
              </w:rPr>
              <w:t xml:space="preserve">8,066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093174B1" w14:textId="77777777">
            <w:pPr>
              <w:pStyle w:val="tablebody"/>
              <w:jc w:val="right"/>
              <w:rPr>
                <w:sz w:val="14"/>
                <w:szCs w:val="14"/>
              </w:rPr>
            </w:pPr>
            <w:r w:rsidRPr="00202BBF">
              <w:rPr>
                <w:sz w:val="14"/>
                <w:szCs w:val="14"/>
              </w:rPr>
              <w:t xml:space="preserve">5,810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49564F18" w14:textId="77777777">
            <w:pPr>
              <w:pStyle w:val="tablebody"/>
              <w:jc w:val="right"/>
              <w:rPr>
                <w:sz w:val="14"/>
                <w:szCs w:val="14"/>
              </w:rPr>
            </w:pPr>
            <w:r w:rsidRPr="00202BBF">
              <w:rPr>
                <w:sz w:val="14"/>
                <w:szCs w:val="14"/>
              </w:rPr>
              <w:t xml:space="preserve">4,728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F251D4F"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1DE222D6" w14:textId="77777777">
            <w:pPr>
              <w:pStyle w:val="tablebody"/>
              <w:jc w:val="right"/>
              <w:rPr>
                <w:sz w:val="14"/>
                <w:szCs w:val="14"/>
              </w:rPr>
            </w:pPr>
            <w:r w:rsidRPr="00202BBF">
              <w:rPr>
                <w:sz w:val="14"/>
                <w:szCs w:val="14"/>
              </w:rPr>
              <w:t xml:space="preserve">3,771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075F3BFF" w14:textId="77777777">
            <w:pPr>
              <w:pStyle w:val="tablebody"/>
              <w:jc w:val="right"/>
              <w:rPr>
                <w:sz w:val="14"/>
                <w:szCs w:val="14"/>
              </w:rPr>
            </w:pPr>
            <w:r w:rsidRPr="00202BBF">
              <w:rPr>
                <w:sz w:val="14"/>
                <w:szCs w:val="14"/>
              </w:rPr>
              <w:t xml:space="preserve">1,299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6B8D475A" w14:textId="77777777">
            <w:pPr>
              <w:pStyle w:val="tablebody"/>
              <w:jc w:val="right"/>
              <w:rPr>
                <w:sz w:val="14"/>
                <w:szCs w:val="14"/>
              </w:rPr>
            </w:pPr>
            <w:r w:rsidRPr="00202BBF">
              <w:rPr>
                <w:sz w:val="14"/>
                <w:szCs w:val="14"/>
              </w:rPr>
              <w:t xml:space="preserve">2,472 </w:t>
            </w:r>
          </w:p>
        </w:tc>
      </w:tr>
      <w:tr w:rsidRPr="00202BBF" w:rsidR="002A3B62" w:rsidTr="00202BBF" w14:paraId="3CD1DF61"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190CE5A2" w14:textId="77777777">
            <w:pPr>
              <w:pStyle w:val="tablebody"/>
              <w:rPr>
                <w:sz w:val="14"/>
                <w:szCs w:val="14"/>
              </w:rPr>
            </w:pPr>
            <w:r w:rsidRPr="00202BBF">
              <w:rPr>
                <w:b/>
                <w:sz w:val="14"/>
                <w:szCs w:val="14"/>
              </w:rPr>
              <w:t>Treasury trust fund</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for the receipt and disbursement of unclaimed monies and other funds held in trust. </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1ED240FC" w14:textId="77777777">
            <w:pPr>
              <w:pStyle w:val="tablebody"/>
              <w:jc w:val="right"/>
              <w:rPr>
                <w:sz w:val="14"/>
                <w:szCs w:val="14"/>
              </w:rPr>
            </w:pPr>
            <w:r w:rsidRPr="00202BBF">
              <w:rPr>
                <w:sz w:val="14"/>
                <w:szCs w:val="14"/>
              </w:rPr>
              <w:t xml:space="preserve">38,945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313C1D1" w14:textId="77777777">
            <w:pPr>
              <w:pStyle w:val="tablebody"/>
              <w:jc w:val="right"/>
              <w:rPr>
                <w:sz w:val="14"/>
                <w:szCs w:val="14"/>
              </w:rPr>
            </w:pPr>
            <w:r w:rsidRPr="00202BBF">
              <w:rPr>
                <w:sz w:val="14"/>
                <w:szCs w:val="14"/>
              </w:rPr>
              <w:t xml:space="preserve">18,583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27FF203B" w14:textId="77777777">
            <w:pPr>
              <w:pStyle w:val="tablebody"/>
              <w:jc w:val="right"/>
              <w:rPr>
                <w:sz w:val="14"/>
                <w:szCs w:val="14"/>
              </w:rPr>
            </w:pPr>
            <w:r w:rsidRPr="00202BBF">
              <w:rPr>
                <w:sz w:val="14"/>
                <w:szCs w:val="14"/>
              </w:rPr>
              <w:t xml:space="preserve">26,842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01843ED9" w14:textId="77777777">
            <w:pPr>
              <w:pStyle w:val="tablebody"/>
              <w:jc w:val="right"/>
              <w:rPr>
                <w:sz w:val="14"/>
                <w:szCs w:val="14"/>
              </w:rPr>
            </w:pPr>
            <w:r w:rsidRPr="00202BBF">
              <w:rPr>
                <w:sz w:val="14"/>
                <w:szCs w:val="14"/>
              </w:rPr>
              <w:t xml:space="preserve">30,686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496BB2EB" w14:textId="77777777">
            <w:pPr>
              <w:pStyle w:val="tablebody"/>
              <w:jc w:val="right"/>
              <w:rPr>
                <w:sz w:val="14"/>
                <w:szCs w:val="14"/>
              </w:rPr>
            </w:pPr>
            <w:r w:rsidRPr="00202BBF">
              <w:rPr>
                <w:sz w:val="14"/>
                <w:szCs w:val="14"/>
              </w:rPr>
              <w:t xml:space="preserve">28,037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43BBC208" w14:textId="77777777">
            <w:pPr>
              <w:pStyle w:val="tablebody"/>
              <w:jc w:val="right"/>
              <w:rPr>
                <w:sz w:val="14"/>
                <w:szCs w:val="14"/>
              </w:rPr>
            </w:pPr>
            <w:r w:rsidRPr="00202BBF">
              <w:rPr>
                <w:sz w:val="14"/>
                <w:szCs w:val="14"/>
              </w:rPr>
              <w:t xml:space="preserve">30,508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150F77FD" w14:textId="77777777">
            <w:pPr>
              <w:pStyle w:val="tablebody"/>
              <w:jc w:val="right"/>
              <w:rPr>
                <w:sz w:val="14"/>
                <w:szCs w:val="14"/>
              </w:rPr>
            </w:pPr>
            <w:r w:rsidRPr="00202BBF">
              <w:rPr>
                <w:sz w:val="14"/>
                <w:szCs w:val="14"/>
              </w:rPr>
              <w:t xml:space="preserve">19,600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0D7AD88A" w14:textId="77777777">
            <w:pPr>
              <w:pStyle w:val="tablebody"/>
              <w:jc w:val="right"/>
              <w:rPr>
                <w:sz w:val="14"/>
                <w:szCs w:val="14"/>
              </w:rPr>
            </w:pPr>
            <w:r w:rsidRPr="00202BBF">
              <w:rPr>
                <w:sz w:val="14"/>
                <w:szCs w:val="14"/>
              </w:rPr>
              <w:t xml:space="preserve">38,945 </w:t>
            </w:r>
          </w:p>
        </w:tc>
      </w:tr>
      <w:tr w:rsidRPr="00202BBF" w:rsidR="002A3B62" w:rsidTr="00202BBF" w14:paraId="057E4C78"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5A735D62" w14:textId="77777777">
            <w:pPr>
              <w:pStyle w:val="tablebody"/>
              <w:rPr>
                <w:sz w:val="14"/>
                <w:szCs w:val="14"/>
              </w:rPr>
            </w:pPr>
            <w:r w:rsidRPr="00202BBF">
              <w:rPr>
                <w:b/>
                <w:sz w:val="14"/>
                <w:szCs w:val="14"/>
              </w:rPr>
              <w:t>Victorian consumer law fund</w:t>
            </w:r>
            <w:r w:rsidRPr="00202BBF">
              <w:rPr>
                <w:b/>
                <w:sz w:val="14"/>
                <w:szCs w:val="14"/>
              </w:rPr>
              <w:br/>
            </w:r>
            <w:r w:rsidRPr="00202BBF">
              <w:rPr>
                <w:sz w:val="14"/>
                <w:szCs w:val="14"/>
              </w:rPr>
              <w:t xml:space="preserve">Established under the </w:t>
            </w:r>
            <w:r w:rsidRPr="00202BBF">
              <w:rPr>
                <w:i/>
                <w:iCs/>
                <w:sz w:val="14"/>
                <w:szCs w:val="14"/>
              </w:rPr>
              <w:t>Australian Consumer Law and Fair Trading Act 2012</w:t>
            </w:r>
            <w:r w:rsidRPr="00202BBF">
              <w:rPr>
                <w:sz w:val="14"/>
                <w:szCs w:val="14"/>
              </w:rPr>
              <w:t xml:space="preserve"> to hold monies in accordance with section 134 and Part 6.2 of that Act.</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16D26DF1" w14:textId="77777777">
            <w:pPr>
              <w:pStyle w:val="tablebody"/>
              <w:jc w:val="right"/>
              <w:rPr>
                <w:sz w:val="14"/>
                <w:szCs w:val="14"/>
              </w:rPr>
            </w:pPr>
            <w:r w:rsidRPr="00202BBF">
              <w:rPr>
                <w:sz w:val="14"/>
                <w:szCs w:val="14"/>
              </w:rPr>
              <w:t xml:space="preserve">4,293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21D07B43" w14:textId="77777777">
            <w:pPr>
              <w:pStyle w:val="tablebody"/>
              <w:jc w:val="right"/>
              <w:rPr>
                <w:sz w:val="14"/>
                <w:szCs w:val="14"/>
              </w:rPr>
            </w:pPr>
            <w:r w:rsidRPr="00202BBF">
              <w:rPr>
                <w:sz w:val="14"/>
                <w:szCs w:val="14"/>
              </w:rPr>
              <w:t xml:space="preserve">744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56158278" w14:textId="77777777">
            <w:pPr>
              <w:pStyle w:val="tablebody"/>
              <w:jc w:val="right"/>
              <w:rPr>
                <w:sz w:val="14"/>
                <w:szCs w:val="14"/>
              </w:rPr>
            </w:pPr>
            <w:r w:rsidRPr="00202BBF">
              <w:rPr>
                <w:sz w:val="14"/>
                <w:szCs w:val="14"/>
              </w:rPr>
              <w:t xml:space="preserve">208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123B1A3A" w14:textId="77777777">
            <w:pPr>
              <w:pStyle w:val="tablebody"/>
              <w:jc w:val="right"/>
              <w:rPr>
                <w:sz w:val="14"/>
                <w:szCs w:val="14"/>
              </w:rPr>
            </w:pPr>
            <w:r w:rsidRPr="00202BBF">
              <w:rPr>
                <w:sz w:val="14"/>
                <w:szCs w:val="14"/>
              </w:rPr>
              <w:t xml:space="preserve">4,829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0069D461" w14:textId="77777777">
            <w:pPr>
              <w:pStyle w:val="tablebody"/>
              <w:jc w:val="right"/>
              <w:rPr>
                <w:sz w:val="14"/>
                <w:szCs w:val="14"/>
              </w:rPr>
            </w:pPr>
            <w:r w:rsidRPr="00202BBF">
              <w:rPr>
                <w:sz w:val="14"/>
                <w:szCs w:val="14"/>
              </w:rPr>
              <w:t xml:space="preserve">1,695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77052E47" w14:textId="77777777">
            <w:pPr>
              <w:pStyle w:val="tablebody"/>
              <w:jc w:val="right"/>
              <w:rPr>
                <w:sz w:val="14"/>
                <w:szCs w:val="14"/>
              </w:rPr>
            </w:pPr>
            <w:r w:rsidRPr="00202BBF">
              <w:rPr>
                <w:sz w:val="14"/>
                <w:szCs w:val="14"/>
              </w:rPr>
              <w:t xml:space="preserve">2,802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1CCD5DF8" w14:textId="77777777">
            <w:pPr>
              <w:pStyle w:val="tablebody"/>
              <w:jc w:val="right"/>
              <w:rPr>
                <w:sz w:val="14"/>
                <w:szCs w:val="14"/>
              </w:rPr>
            </w:pPr>
            <w:r w:rsidRPr="00202BBF">
              <w:rPr>
                <w:sz w:val="14"/>
                <w:szCs w:val="14"/>
              </w:rPr>
              <w:t xml:space="preserve">204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0D9AC4D8" w14:textId="77777777">
            <w:pPr>
              <w:pStyle w:val="tablebody"/>
              <w:jc w:val="right"/>
              <w:rPr>
                <w:sz w:val="14"/>
                <w:szCs w:val="14"/>
              </w:rPr>
            </w:pPr>
            <w:r w:rsidRPr="00202BBF">
              <w:rPr>
                <w:sz w:val="14"/>
                <w:szCs w:val="14"/>
              </w:rPr>
              <w:t xml:space="preserve">4,293 </w:t>
            </w:r>
          </w:p>
        </w:tc>
      </w:tr>
      <w:tr w:rsidRPr="00202BBF" w:rsidR="002A3B62" w:rsidTr="00202BBF" w14:paraId="51F607A2" w14:textId="77777777">
        <w:tc>
          <w:tcPr>
            <w:tcW w:w="3261" w:type="dxa"/>
            <w:tcBorders>
              <w:top w:val="nil"/>
              <w:left w:val="nil"/>
              <w:bottom w:val="nil"/>
              <w:right w:val="single" w:color="000000" w:sz="6" w:space="0"/>
            </w:tcBorders>
            <w:tcMar>
              <w:top w:w="28" w:type="dxa"/>
              <w:left w:w="0" w:type="dxa"/>
              <w:bottom w:w="57" w:type="dxa"/>
              <w:right w:w="0" w:type="dxa"/>
            </w:tcMar>
          </w:tcPr>
          <w:p w:rsidRPr="00202BBF" w:rsidR="002A3B62" w:rsidP="005C33E6" w:rsidRDefault="002A3B62" w14:paraId="59483B55" w14:textId="77777777">
            <w:pPr>
              <w:pStyle w:val="tablebody"/>
              <w:rPr>
                <w:sz w:val="14"/>
                <w:szCs w:val="14"/>
              </w:rPr>
            </w:pPr>
            <w:r w:rsidRPr="00202BBF">
              <w:rPr>
                <w:b/>
                <w:sz w:val="14"/>
                <w:szCs w:val="14"/>
              </w:rPr>
              <w:t>Emergency services infrastructure authority fund</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to hold monies in relation to the emergency services infrastructure authority.</w:t>
            </w:r>
          </w:p>
        </w:tc>
        <w:tc>
          <w:tcPr>
            <w:tcW w:w="821"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43191E5F"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35AEEAF8" w14:textId="77777777">
            <w:pPr>
              <w:pStyle w:val="tablebody"/>
              <w:jc w:val="right"/>
              <w:rPr>
                <w:sz w:val="14"/>
                <w:szCs w:val="14"/>
              </w:rPr>
            </w:pPr>
            <w:r w:rsidRPr="00202BBF">
              <w:rPr>
                <w:sz w:val="14"/>
                <w:szCs w:val="14"/>
              </w:rPr>
              <w:t xml:space="preserve">8,395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1278F860" w14:textId="77777777">
            <w:pPr>
              <w:pStyle w:val="tablebody"/>
              <w:jc w:val="right"/>
              <w:rPr>
                <w:sz w:val="14"/>
                <w:szCs w:val="14"/>
              </w:rPr>
            </w:pPr>
            <w:r w:rsidRPr="00202BBF">
              <w:rPr>
                <w:sz w:val="14"/>
                <w:szCs w:val="14"/>
              </w:rPr>
              <w:t xml:space="preserve">159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A3B62" w:rsidP="00202BBF" w:rsidRDefault="002A3B62" w14:paraId="45DD2AE7" w14:textId="77777777">
            <w:pPr>
              <w:pStyle w:val="tablebody"/>
              <w:jc w:val="right"/>
              <w:rPr>
                <w:sz w:val="14"/>
                <w:szCs w:val="14"/>
              </w:rPr>
            </w:pPr>
            <w:r w:rsidRPr="00202BBF">
              <w:rPr>
                <w:sz w:val="14"/>
                <w:szCs w:val="14"/>
              </w:rPr>
              <w:t xml:space="preserve">8,236 </w:t>
            </w:r>
          </w:p>
        </w:tc>
        <w:tc>
          <w:tcPr>
            <w:tcW w:w="794" w:type="dxa"/>
            <w:tcBorders>
              <w:top w:val="nil"/>
              <w:left w:val="single" w:color="000000" w:sz="6" w:space="0"/>
              <w:bottom w:val="nil"/>
              <w:right w:val="nil"/>
            </w:tcBorders>
            <w:tcMar>
              <w:top w:w="28" w:type="dxa"/>
              <w:left w:w="0" w:type="dxa"/>
              <w:bottom w:w="57" w:type="dxa"/>
              <w:right w:w="0" w:type="dxa"/>
            </w:tcMar>
          </w:tcPr>
          <w:p w:rsidRPr="00202BBF" w:rsidR="002A3B62" w:rsidP="00202BBF" w:rsidRDefault="002A3B62" w14:paraId="50C3CA51" w14:textId="77777777">
            <w:pPr>
              <w:pStyle w:val="tablebody"/>
              <w:jc w:val="right"/>
              <w:rPr>
                <w:sz w:val="14"/>
                <w:szCs w:val="14"/>
              </w:rPr>
            </w:pPr>
            <w:r w:rsidRPr="00202BBF">
              <w:rPr>
                <w:sz w:val="14"/>
                <w:szCs w:val="14"/>
              </w:rPr>
              <w:t xml:space="preserve">0 </w:t>
            </w:r>
          </w:p>
        </w:tc>
        <w:tc>
          <w:tcPr>
            <w:tcW w:w="680" w:type="dxa"/>
            <w:tcBorders>
              <w:top w:val="nil"/>
              <w:left w:val="nil"/>
              <w:bottom w:val="nil"/>
              <w:right w:val="nil"/>
            </w:tcBorders>
            <w:tcMar>
              <w:top w:w="28" w:type="dxa"/>
              <w:left w:w="0" w:type="dxa"/>
              <w:bottom w:w="57" w:type="dxa"/>
              <w:right w:w="0" w:type="dxa"/>
            </w:tcMar>
          </w:tcPr>
          <w:p w:rsidRPr="00202BBF" w:rsidR="002A3B62" w:rsidP="00202BBF" w:rsidRDefault="002A3B62" w14:paraId="02355C92" w14:textId="77777777">
            <w:pPr>
              <w:pStyle w:val="tablebody"/>
              <w:jc w:val="right"/>
              <w:rPr>
                <w:sz w:val="14"/>
                <w:szCs w:val="14"/>
              </w:rPr>
            </w:pPr>
            <w:r w:rsidRPr="00202BBF">
              <w:rPr>
                <w:sz w:val="14"/>
                <w:szCs w:val="14"/>
              </w:rPr>
              <w:t xml:space="preserve">0 </w:t>
            </w:r>
          </w:p>
        </w:tc>
        <w:tc>
          <w:tcPr>
            <w:tcW w:w="794" w:type="dxa"/>
            <w:tcBorders>
              <w:top w:val="nil"/>
              <w:left w:val="nil"/>
              <w:bottom w:val="nil"/>
              <w:right w:val="nil"/>
            </w:tcBorders>
            <w:tcMar>
              <w:top w:w="28" w:type="dxa"/>
              <w:left w:w="0" w:type="dxa"/>
              <w:bottom w:w="57" w:type="dxa"/>
              <w:right w:w="0" w:type="dxa"/>
            </w:tcMar>
          </w:tcPr>
          <w:p w:rsidRPr="00202BBF" w:rsidR="002A3B62" w:rsidP="00202BBF" w:rsidRDefault="002A3B62" w14:paraId="542D0A08" w14:textId="77777777">
            <w:pPr>
              <w:pStyle w:val="tablebody"/>
              <w:jc w:val="right"/>
              <w:rPr>
                <w:sz w:val="14"/>
                <w:szCs w:val="14"/>
              </w:rPr>
            </w:pPr>
            <w:r w:rsidRPr="00202BBF">
              <w:rPr>
                <w:sz w:val="14"/>
                <w:szCs w:val="14"/>
              </w:rPr>
              <w:t xml:space="preserve">0 </w:t>
            </w:r>
          </w:p>
        </w:tc>
        <w:tc>
          <w:tcPr>
            <w:tcW w:w="1020" w:type="dxa"/>
            <w:tcBorders>
              <w:top w:val="nil"/>
              <w:left w:val="nil"/>
              <w:bottom w:val="nil"/>
              <w:right w:val="single" w:color="000000" w:sz="6" w:space="0"/>
            </w:tcBorders>
            <w:tcMar>
              <w:top w:w="28" w:type="dxa"/>
              <w:left w:w="0" w:type="dxa"/>
              <w:bottom w:w="57" w:type="dxa"/>
              <w:right w:w="0" w:type="dxa"/>
            </w:tcMar>
          </w:tcPr>
          <w:p w:rsidRPr="00202BBF" w:rsidR="002A3B62" w:rsidP="00202BBF" w:rsidRDefault="002A3B62" w14:paraId="5EE6A934" w14:textId="77777777">
            <w:pPr>
              <w:pStyle w:val="tablebody"/>
              <w:jc w:val="right"/>
              <w:rPr>
                <w:sz w:val="14"/>
                <w:szCs w:val="14"/>
              </w:rPr>
            </w:pPr>
            <w:r w:rsidRPr="00202BBF">
              <w:rPr>
                <w:sz w:val="14"/>
                <w:szCs w:val="14"/>
              </w:rPr>
              <w:t xml:space="preserve">0 </w:t>
            </w:r>
          </w:p>
        </w:tc>
      </w:tr>
      <w:tr w:rsidRPr="00202BBF" w:rsidR="002A3B62" w:rsidTr="00202BBF" w14:paraId="3D75BC1A" w14:textId="77777777">
        <w:tc>
          <w:tcPr>
            <w:tcW w:w="3261" w:type="dxa"/>
            <w:tcBorders>
              <w:top w:val="nil"/>
              <w:left w:val="nil"/>
              <w:bottom w:val="single" w:color="000000" w:sz="6" w:space="0"/>
              <w:right w:val="single" w:color="000000" w:sz="6" w:space="0"/>
            </w:tcBorders>
            <w:tcMar>
              <w:top w:w="28" w:type="dxa"/>
              <w:left w:w="0" w:type="dxa"/>
              <w:bottom w:w="57" w:type="dxa"/>
              <w:right w:w="0" w:type="dxa"/>
            </w:tcMar>
          </w:tcPr>
          <w:p w:rsidRPr="00202BBF" w:rsidR="002A3B62" w:rsidP="005C33E6" w:rsidRDefault="002A3B62" w14:paraId="668FA039" w14:textId="77777777">
            <w:pPr>
              <w:pStyle w:val="tablebody"/>
              <w:rPr>
                <w:sz w:val="14"/>
                <w:szCs w:val="14"/>
              </w:rPr>
            </w:pPr>
            <w:r w:rsidRPr="00202BBF">
              <w:rPr>
                <w:b/>
                <w:sz w:val="14"/>
                <w:szCs w:val="14"/>
              </w:rPr>
              <w:t>Emergency management operational communication program fund</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to hold monies in relation to the emergency management operational communication program.</w:t>
            </w:r>
          </w:p>
        </w:tc>
        <w:tc>
          <w:tcPr>
            <w:tcW w:w="821" w:type="dxa"/>
            <w:tcBorders>
              <w:top w:val="nil"/>
              <w:left w:val="single" w:color="000000" w:sz="6" w:space="0"/>
              <w:bottom w:val="single" w:color="000000" w:sz="6" w:space="0"/>
              <w:right w:val="nil"/>
            </w:tcBorders>
            <w:tcMar>
              <w:top w:w="28" w:type="dxa"/>
              <w:left w:w="0" w:type="dxa"/>
              <w:bottom w:w="57" w:type="dxa"/>
              <w:right w:w="0" w:type="dxa"/>
            </w:tcMar>
          </w:tcPr>
          <w:p w:rsidRPr="00202BBF" w:rsidR="002A3B62" w:rsidP="00202BBF" w:rsidRDefault="002A3B62" w14:paraId="2F02AAC3" w14:textId="77777777">
            <w:pPr>
              <w:pStyle w:val="tablebody"/>
              <w:jc w:val="right"/>
              <w:rPr>
                <w:sz w:val="14"/>
                <w:szCs w:val="14"/>
              </w:rPr>
            </w:pPr>
            <w:r w:rsidRPr="00202BBF">
              <w:rPr>
                <w:sz w:val="14"/>
                <w:szCs w:val="14"/>
              </w:rPr>
              <w:t xml:space="preserve">0 </w:t>
            </w:r>
          </w:p>
        </w:tc>
        <w:tc>
          <w:tcPr>
            <w:tcW w:w="680" w:type="dxa"/>
            <w:tcBorders>
              <w:top w:val="nil"/>
              <w:left w:val="nil"/>
              <w:bottom w:val="single" w:color="000000" w:sz="6" w:space="0"/>
              <w:right w:val="nil"/>
            </w:tcBorders>
            <w:tcMar>
              <w:top w:w="28" w:type="dxa"/>
              <w:left w:w="0" w:type="dxa"/>
              <w:bottom w:w="57" w:type="dxa"/>
              <w:right w:w="0" w:type="dxa"/>
            </w:tcMar>
          </w:tcPr>
          <w:p w:rsidRPr="00202BBF" w:rsidR="002A3B62" w:rsidP="00202BBF" w:rsidRDefault="002A3B62" w14:paraId="145DBE94" w14:textId="77777777">
            <w:pPr>
              <w:pStyle w:val="tablebody"/>
              <w:jc w:val="right"/>
              <w:rPr>
                <w:sz w:val="14"/>
                <w:szCs w:val="14"/>
              </w:rPr>
            </w:pPr>
            <w:r w:rsidRPr="00202BBF">
              <w:rPr>
                <w:sz w:val="14"/>
                <w:szCs w:val="14"/>
              </w:rPr>
              <w:t xml:space="preserve">50,818 </w:t>
            </w:r>
          </w:p>
        </w:tc>
        <w:tc>
          <w:tcPr>
            <w:tcW w:w="794" w:type="dxa"/>
            <w:tcBorders>
              <w:top w:val="nil"/>
              <w:left w:val="nil"/>
              <w:bottom w:val="single" w:color="000000" w:sz="6" w:space="0"/>
              <w:right w:val="nil"/>
            </w:tcBorders>
            <w:tcMar>
              <w:top w:w="28" w:type="dxa"/>
              <w:left w:w="0" w:type="dxa"/>
              <w:bottom w:w="57" w:type="dxa"/>
              <w:right w:w="0" w:type="dxa"/>
            </w:tcMar>
          </w:tcPr>
          <w:p w:rsidRPr="00202BBF" w:rsidR="002A3B62" w:rsidP="00202BBF" w:rsidRDefault="002A3B62" w14:paraId="6B64EF08" w14:textId="77777777">
            <w:pPr>
              <w:pStyle w:val="tablebody"/>
              <w:jc w:val="right"/>
              <w:rPr>
                <w:sz w:val="14"/>
                <w:szCs w:val="14"/>
              </w:rPr>
            </w:pPr>
            <w:r w:rsidRPr="00202BBF">
              <w:rPr>
                <w:sz w:val="14"/>
                <w:szCs w:val="14"/>
              </w:rPr>
              <w:t xml:space="preserve">6,818 </w:t>
            </w:r>
          </w:p>
        </w:tc>
        <w:tc>
          <w:tcPr>
            <w:tcW w:w="1077" w:type="dxa"/>
            <w:tcBorders>
              <w:top w:val="nil"/>
              <w:left w:val="nil"/>
              <w:bottom w:val="single" w:color="000000" w:sz="6" w:space="0"/>
              <w:right w:val="single" w:color="000000" w:sz="6" w:space="0"/>
            </w:tcBorders>
            <w:tcMar>
              <w:top w:w="28" w:type="dxa"/>
              <w:left w:w="0" w:type="dxa"/>
              <w:bottom w:w="57" w:type="dxa"/>
              <w:right w:w="113" w:type="dxa"/>
            </w:tcMar>
          </w:tcPr>
          <w:p w:rsidRPr="00202BBF" w:rsidR="002A3B62" w:rsidP="00202BBF" w:rsidRDefault="002A3B62" w14:paraId="1A32F9BF" w14:textId="77777777">
            <w:pPr>
              <w:pStyle w:val="tablebody"/>
              <w:jc w:val="right"/>
              <w:rPr>
                <w:sz w:val="14"/>
                <w:szCs w:val="14"/>
              </w:rPr>
            </w:pPr>
            <w:r w:rsidRPr="00202BBF">
              <w:rPr>
                <w:sz w:val="14"/>
                <w:szCs w:val="14"/>
              </w:rPr>
              <w:t xml:space="preserve">44,000 </w:t>
            </w:r>
          </w:p>
        </w:tc>
        <w:tc>
          <w:tcPr>
            <w:tcW w:w="794" w:type="dxa"/>
            <w:tcBorders>
              <w:top w:val="nil"/>
              <w:left w:val="single" w:color="000000" w:sz="6" w:space="0"/>
              <w:bottom w:val="single" w:color="000000" w:sz="6" w:space="0"/>
              <w:right w:val="nil"/>
            </w:tcBorders>
            <w:tcMar>
              <w:top w:w="28" w:type="dxa"/>
              <w:left w:w="0" w:type="dxa"/>
              <w:bottom w:w="57" w:type="dxa"/>
              <w:right w:w="0" w:type="dxa"/>
            </w:tcMar>
          </w:tcPr>
          <w:p w:rsidRPr="00202BBF" w:rsidR="002A3B62" w:rsidP="00202BBF" w:rsidRDefault="002A3B62" w14:paraId="30A3E755" w14:textId="77777777">
            <w:pPr>
              <w:pStyle w:val="tablebody"/>
              <w:jc w:val="right"/>
              <w:rPr>
                <w:sz w:val="14"/>
                <w:szCs w:val="14"/>
              </w:rPr>
            </w:pPr>
            <w:r w:rsidRPr="00202BBF">
              <w:rPr>
                <w:sz w:val="14"/>
                <w:szCs w:val="14"/>
              </w:rPr>
              <w:t xml:space="preserve">0 </w:t>
            </w:r>
          </w:p>
        </w:tc>
        <w:tc>
          <w:tcPr>
            <w:tcW w:w="680" w:type="dxa"/>
            <w:tcBorders>
              <w:top w:val="nil"/>
              <w:left w:val="nil"/>
              <w:bottom w:val="single" w:color="000000" w:sz="6" w:space="0"/>
              <w:right w:val="nil"/>
            </w:tcBorders>
            <w:tcMar>
              <w:top w:w="28" w:type="dxa"/>
              <w:left w:w="0" w:type="dxa"/>
              <w:bottom w:w="57" w:type="dxa"/>
              <w:right w:w="0" w:type="dxa"/>
            </w:tcMar>
          </w:tcPr>
          <w:p w:rsidRPr="00202BBF" w:rsidR="002A3B62" w:rsidP="00202BBF" w:rsidRDefault="002A3B62" w14:paraId="1AEE84A5" w14:textId="77777777">
            <w:pPr>
              <w:pStyle w:val="tablebody"/>
              <w:jc w:val="right"/>
              <w:rPr>
                <w:sz w:val="14"/>
                <w:szCs w:val="14"/>
              </w:rPr>
            </w:pPr>
            <w:r w:rsidRPr="00202BBF">
              <w:rPr>
                <w:sz w:val="14"/>
                <w:szCs w:val="14"/>
              </w:rPr>
              <w:t xml:space="preserve">0 </w:t>
            </w:r>
          </w:p>
        </w:tc>
        <w:tc>
          <w:tcPr>
            <w:tcW w:w="794" w:type="dxa"/>
            <w:tcBorders>
              <w:top w:val="nil"/>
              <w:left w:val="nil"/>
              <w:bottom w:val="single" w:color="000000" w:sz="6" w:space="0"/>
              <w:right w:val="nil"/>
            </w:tcBorders>
            <w:tcMar>
              <w:top w:w="28" w:type="dxa"/>
              <w:left w:w="0" w:type="dxa"/>
              <w:bottom w:w="57" w:type="dxa"/>
              <w:right w:w="0" w:type="dxa"/>
            </w:tcMar>
          </w:tcPr>
          <w:p w:rsidRPr="00202BBF" w:rsidR="002A3B62" w:rsidP="00202BBF" w:rsidRDefault="002A3B62" w14:paraId="4B635C79" w14:textId="77777777">
            <w:pPr>
              <w:pStyle w:val="tablebody"/>
              <w:jc w:val="right"/>
              <w:rPr>
                <w:sz w:val="14"/>
                <w:szCs w:val="14"/>
              </w:rPr>
            </w:pPr>
            <w:r w:rsidRPr="00202BBF">
              <w:rPr>
                <w:sz w:val="14"/>
                <w:szCs w:val="14"/>
              </w:rPr>
              <w:t xml:space="preserve">0 </w:t>
            </w:r>
          </w:p>
        </w:tc>
        <w:tc>
          <w:tcPr>
            <w:tcW w:w="1020" w:type="dxa"/>
            <w:tcBorders>
              <w:top w:val="nil"/>
              <w:left w:val="nil"/>
              <w:bottom w:val="single" w:color="000000" w:sz="6" w:space="0"/>
              <w:right w:val="single" w:color="000000" w:sz="6" w:space="0"/>
            </w:tcBorders>
            <w:tcMar>
              <w:top w:w="28" w:type="dxa"/>
              <w:left w:w="0" w:type="dxa"/>
              <w:bottom w:w="57" w:type="dxa"/>
              <w:right w:w="0" w:type="dxa"/>
            </w:tcMar>
          </w:tcPr>
          <w:p w:rsidRPr="00202BBF" w:rsidR="002A3B62" w:rsidP="00202BBF" w:rsidRDefault="002A3B62" w14:paraId="3DDF6014" w14:textId="77777777">
            <w:pPr>
              <w:pStyle w:val="tablebody"/>
              <w:jc w:val="right"/>
              <w:rPr>
                <w:sz w:val="14"/>
                <w:szCs w:val="14"/>
              </w:rPr>
            </w:pPr>
            <w:r w:rsidRPr="00202BBF">
              <w:rPr>
                <w:sz w:val="14"/>
                <w:szCs w:val="14"/>
              </w:rPr>
              <w:t xml:space="preserve">0 </w:t>
            </w:r>
          </w:p>
        </w:tc>
      </w:tr>
      <w:tr w:rsidRPr="00202BBF" w:rsidR="002A3B62" w:rsidTr="00202BBF" w14:paraId="32F06EE5" w14:textId="77777777">
        <w:tc>
          <w:tcPr>
            <w:tcW w:w="3261" w:type="dxa"/>
            <w:tcBorders>
              <w:top w:val="single" w:color="000000" w:sz="6" w:space="0"/>
              <w:left w:val="nil"/>
              <w:bottom w:val="single" w:color="000000" w:sz="6" w:space="0"/>
              <w:right w:val="single" w:color="000000" w:sz="6" w:space="0"/>
            </w:tcBorders>
            <w:tcMar>
              <w:top w:w="28" w:type="dxa"/>
              <w:left w:w="0" w:type="dxa"/>
              <w:bottom w:w="57" w:type="dxa"/>
              <w:right w:w="0" w:type="dxa"/>
            </w:tcMar>
          </w:tcPr>
          <w:p w:rsidRPr="00202BBF" w:rsidR="002A3B62" w:rsidP="005C33E6" w:rsidRDefault="002A3B62" w14:paraId="68BE0D4E" w14:textId="77777777">
            <w:pPr>
              <w:pStyle w:val="tablebody"/>
              <w:rPr>
                <w:b/>
                <w:sz w:val="14"/>
                <w:szCs w:val="14"/>
              </w:rPr>
            </w:pPr>
            <w:r w:rsidRPr="00202BBF">
              <w:rPr>
                <w:b/>
                <w:sz w:val="14"/>
                <w:szCs w:val="14"/>
              </w:rPr>
              <w:t>Total controlled trusts</w:t>
            </w:r>
          </w:p>
        </w:tc>
        <w:tc>
          <w:tcPr>
            <w:tcW w:w="821" w:type="dxa"/>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A3B62" w:rsidP="00202BBF" w:rsidRDefault="002A3B62" w14:paraId="5E115DB3" w14:textId="77777777">
            <w:pPr>
              <w:pStyle w:val="tablebody"/>
              <w:jc w:val="right"/>
              <w:rPr>
                <w:b/>
                <w:sz w:val="14"/>
                <w:szCs w:val="14"/>
              </w:rPr>
            </w:pPr>
            <w:r w:rsidRPr="00202BBF">
              <w:rPr>
                <w:b/>
                <w:sz w:val="14"/>
                <w:szCs w:val="14"/>
              </w:rPr>
              <w:t xml:space="preserve">338,897 </w:t>
            </w:r>
          </w:p>
        </w:tc>
        <w:tc>
          <w:tcPr>
            <w:tcW w:w="680" w:type="dxa"/>
            <w:tcBorders>
              <w:top w:val="single" w:color="000000" w:sz="6" w:space="0"/>
              <w:left w:val="nil"/>
              <w:bottom w:val="single" w:color="000000" w:sz="6" w:space="0"/>
              <w:right w:val="nil"/>
            </w:tcBorders>
            <w:tcMar>
              <w:top w:w="28" w:type="dxa"/>
              <w:left w:w="0" w:type="dxa"/>
              <w:bottom w:w="57" w:type="dxa"/>
              <w:right w:w="0" w:type="dxa"/>
            </w:tcMar>
          </w:tcPr>
          <w:p w:rsidRPr="00202BBF" w:rsidR="002A3B62" w:rsidP="00202BBF" w:rsidRDefault="002A3B62" w14:paraId="5B44793D" w14:textId="77777777">
            <w:pPr>
              <w:pStyle w:val="tablebody"/>
              <w:jc w:val="right"/>
              <w:rPr>
                <w:b/>
                <w:sz w:val="14"/>
                <w:szCs w:val="14"/>
              </w:rPr>
            </w:pPr>
            <w:r w:rsidRPr="00202BBF">
              <w:rPr>
                <w:b/>
                <w:sz w:val="14"/>
                <w:szCs w:val="14"/>
              </w:rPr>
              <w:t xml:space="preserve">212,692 </w:t>
            </w:r>
          </w:p>
        </w:tc>
        <w:tc>
          <w:tcPr>
            <w:tcW w:w="794" w:type="dxa"/>
            <w:tcBorders>
              <w:top w:val="single" w:color="000000" w:sz="6" w:space="0"/>
              <w:left w:val="nil"/>
              <w:bottom w:val="single" w:color="000000" w:sz="6" w:space="0"/>
              <w:right w:val="nil"/>
            </w:tcBorders>
            <w:tcMar>
              <w:top w:w="28" w:type="dxa"/>
              <w:left w:w="0" w:type="dxa"/>
              <w:bottom w:w="57" w:type="dxa"/>
              <w:right w:w="0" w:type="dxa"/>
            </w:tcMar>
          </w:tcPr>
          <w:p w:rsidRPr="00202BBF" w:rsidR="002A3B62" w:rsidP="00202BBF" w:rsidRDefault="002A3B62" w14:paraId="6CEBF180" w14:textId="77777777">
            <w:pPr>
              <w:pStyle w:val="tablebody"/>
              <w:jc w:val="right"/>
              <w:rPr>
                <w:b/>
                <w:sz w:val="14"/>
                <w:szCs w:val="14"/>
              </w:rPr>
            </w:pPr>
            <w:r w:rsidRPr="00202BBF">
              <w:rPr>
                <w:b/>
                <w:sz w:val="14"/>
                <w:szCs w:val="14"/>
              </w:rPr>
              <w:t xml:space="preserve">184,698 </w:t>
            </w:r>
          </w:p>
        </w:tc>
        <w:tc>
          <w:tcPr>
            <w:tcW w:w="1077" w:type="dxa"/>
            <w:tcBorders>
              <w:top w:val="single" w:color="000000" w:sz="6" w:space="0"/>
              <w:left w:val="nil"/>
              <w:bottom w:val="single" w:color="000000" w:sz="6" w:space="0"/>
              <w:right w:val="single" w:color="000000" w:sz="6" w:space="0"/>
            </w:tcBorders>
            <w:tcMar>
              <w:top w:w="28" w:type="dxa"/>
              <w:left w:w="0" w:type="dxa"/>
              <w:bottom w:w="57" w:type="dxa"/>
              <w:right w:w="113" w:type="dxa"/>
            </w:tcMar>
          </w:tcPr>
          <w:p w:rsidRPr="00202BBF" w:rsidR="002A3B62" w:rsidP="00202BBF" w:rsidRDefault="002A3B62" w14:paraId="329C9B42" w14:textId="77777777">
            <w:pPr>
              <w:pStyle w:val="tablebody"/>
              <w:jc w:val="right"/>
              <w:rPr>
                <w:b/>
                <w:sz w:val="14"/>
                <w:szCs w:val="14"/>
              </w:rPr>
            </w:pPr>
            <w:r w:rsidRPr="00202BBF">
              <w:rPr>
                <w:b/>
                <w:sz w:val="14"/>
                <w:szCs w:val="14"/>
              </w:rPr>
              <w:t xml:space="preserve">366,891 </w:t>
            </w:r>
          </w:p>
        </w:tc>
        <w:tc>
          <w:tcPr>
            <w:tcW w:w="794" w:type="dxa"/>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A3B62" w:rsidP="00202BBF" w:rsidRDefault="002A3B62" w14:paraId="3CFD1236" w14:textId="77777777">
            <w:pPr>
              <w:pStyle w:val="tablebody"/>
              <w:jc w:val="right"/>
              <w:rPr>
                <w:b/>
                <w:sz w:val="14"/>
                <w:szCs w:val="14"/>
              </w:rPr>
            </w:pPr>
            <w:r w:rsidRPr="00202BBF">
              <w:rPr>
                <w:b/>
                <w:sz w:val="14"/>
                <w:szCs w:val="14"/>
              </w:rPr>
              <w:t xml:space="preserve">425,181 </w:t>
            </w:r>
          </w:p>
        </w:tc>
        <w:tc>
          <w:tcPr>
            <w:tcW w:w="680" w:type="dxa"/>
            <w:tcBorders>
              <w:top w:val="single" w:color="000000" w:sz="6" w:space="0"/>
              <w:left w:val="nil"/>
              <w:bottom w:val="single" w:color="000000" w:sz="6" w:space="0"/>
              <w:right w:val="nil"/>
            </w:tcBorders>
            <w:tcMar>
              <w:top w:w="28" w:type="dxa"/>
              <w:left w:w="0" w:type="dxa"/>
              <w:bottom w:w="57" w:type="dxa"/>
              <w:right w:w="0" w:type="dxa"/>
            </w:tcMar>
          </w:tcPr>
          <w:p w:rsidRPr="00202BBF" w:rsidR="002A3B62" w:rsidP="00202BBF" w:rsidRDefault="002A3B62" w14:paraId="53B07649" w14:textId="77777777">
            <w:pPr>
              <w:pStyle w:val="tablebody"/>
              <w:jc w:val="right"/>
              <w:rPr>
                <w:b/>
                <w:sz w:val="14"/>
                <w:szCs w:val="14"/>
              </w:rPr>
            </w:pPr>
            <w:r w:rsidRPr="00202BBF">
              <w:rPr>
                <w:b/>
                <w:sz w:val="14"/>
                <w:szCs w:val="14"/>
              </w:rPr>
              <w:t xml:space="preserve">158,102 </w:t>
            </w:r>
          </w:p>
        </w:tc>
        <w:tc>
          <w:tcPr>
            <w:tcW w:w="794" w:type="dxa"/>
            <w:tcBorders>
              <w:top w:val="single" w:color="000000" w:sz="6" w:space="0"/>
              <w:left w:val="nil"/>
              <w:bottom w:val="single" w:color="000000" w:sz="6" w:space="0"/>
              <w:right w:val="nil"/>
            </w:tcBorders>
            <w:tcMar>
              <w:top w:w="28" w:type="dxa"/>
              <w:left w:w="0" w:type="dxa"/>
              <w:bottom w:w="57" w:type="dxa"/>
              <w:right w:w="0" w:type="dxa"/>
            </w:tcMar>
          </w:tcPr>
          <w:p w:rsidRPr="00202BBF" w:rsidR="002A3B62" w:rsidP="00202BBF" w:rsidRDefault="002A3B62" w14:paraId="33B6B21A" w14:textId="77777777">
            <w:pPr>
              <w:pStyle w:val="tablebody"/>
              <w:jc w:val="right"/>
              <w:rPr>
                <w:b/>
                <w:sz w:val="14"/>
                <w:szCs w:val="14"/>
              </w:rPr>
            </w:pPr>
            <w:r w:rsidRPr="00202BBF">
              <w:rPr>
                <w:b/>
                <w:sz w:val="14"/>
                <w:szCs w:val="14"/>
              </w:rPr>
              <w:t xml:space="preserve">244,386 </w:t>
            </w:r>
          </w:p>
        </w:tc>
        <w:tc>
          <w:tcPr>
            <w:tcW w:w="1020" w:type="dxa"/>
            <w:tcBorders>
              <w:top w:val="single" w:color="000000" w:sz="6" w:space="0"/>
              <w:left w:val="nil"/>
              <w:bottom w:val="single" w:color="000000" w:sz="6" w:space="0"/>
              <w:right w:val="single" w:color="000000" w:sz="6" w:space="0"/>
            </w:tcBorders>
            <w:tcMar>
              <w:top w:w="28" w:type="dxa"/>
              <w:left w:w="0" w:type="dxa"/>
              <w:bottom w:w="57" w:type="dxa"/>
              <w:right w:w="0" w:type="dxa"/>
            </w:tcMar>
          </w:tcPr>
          <w:p w:rsidRPr="00202BBF" w:rsidR="002A3B62" w:rsidP="00202BBF" w:rsidRDefault="002A3B62" w14:paraId="02DB5249" w14:textId="77777777">
            <w:pPr>
              <w:pStyle w:val="tablebody"/>
              <w:jc w:val="right"/>
              <w:rPr>
                <w:b/>
                <w:sz w:val="14"/>
                <w:szCs w:val="14"/>
              </w:rPr>
            </w:pPr>
            <w:r w:rsidRPr="00202BBF">
              <w:rPr>
                <w:b/>
                <w:sz w:val="14"/>
                <w:szCs w:val="14"/>
              </w:rPr>
              <w:t xml:space="preserve">338,897 </w:t>
            </w:r>
          </w:p>
        </w:tc>
      </w:tr>
    </w:tbl>
    <w:p w:rsidRPr="00202BBF" w:rsidR="002A3B62" w:rsidP="00202BBF" w:rsidRDefault="002A3B62" w14:paraId="0D5E3AC8" w14:textId="77777777">
      <w:pPr>
        <w:pStyle w:val="notes"/>
      </w:pPr>
      <w:r w:rsidRPr="00202BBF">
        <w:t>(i) Trust account balances include cash and deposits (note 7.3) and investments (note 5.4).</w:t>
      </w:r>
    </w:p>
    <w:p w:rsidRPr="002A3B62" w:rsidR="002A3B62" w:rsidP="002A3B62" w:rsidRDefault="002A3B62" w14:paraId="2167D481" w14:textId="2C8B54B0"/>
    <w:p w:rsidR="00202BBF" w:rsidRDefault="00202BBF" w14:paraId="56E36CBF" w14:textId="5F5FA425">
      <w:pPr>
        <w:spacing w:after="0"/>
      </w:pPr>
      <w:r>
        <w:br w:type="page"/>
      </w:r>
    </w:p>
    <w:tbl>
      <w:tblPr>
        <w:tblW w:w="0" w:type="auto"/>
        <w:tblLayout w:type="fixed"/>
        <w:tblCellMar>
          <w:left w:w="0" w:type="dxa"/>
          <w:right w:w="0" w:type="dxa"/>
        </w:tblCellMar>
        <w:tblLook w:firstRow="1" w:lastRow="0" w:firstColumn="0" w:lastColumn="0" w:noHBand="0" w:noVBand="0" w:val="0020"/>
      </w:tblPr>
      <w:tblGrid>
        <w:gridCol w:w="3261"/>
        <w:gridCol w:w="850"/>
        <w:gridCol w:w="651"/>
        <w:gridCol w:w="794"/>
        <w:gridCol w:w="1077"/>
        <w:gridCol w:w="880"/>
        <w:gridCol w:w="709"/>
        <w:gridCol w:w="850"/>
        <w:gridCol w:w="993"/>
      </w:tblGrid>
      <w:tr w:rsidRPr="00202BBF" w:rsidR="00202BBF" w:rsidTr="00202BBF" w14:paraId="7C02ED83" w14:textId="77777777">
        <w:trPr>
          <w:tblHeader/>
        </w:trPr>
        <w:tc>
          <w:tcPr>
            <w:tcW w:w="10065" w:type="dxa"/>
            <w:gridSpan w:val="9"/>
            <w:tcBorders>
              <w:top w:val="nil"/>
              <w:left w:val="nil"/>
              <w:bottom w:val="single" w:color="000000" w:sz="6" w:space="0"/>
              <w:right w:val="nil"/>
            </w:tcBorders>
            <w:tcMar>
              <w:top w:w="28" w:type="dxa"/>
              <w:left w:w="0" w:type="dxa"/>
              <w:bottom w:w="57" w:type="dxa"/>
              <w:right w:w="0" w:type="dxa"/>
            </w:tcMar>
          </w:tcPr>
          <w:p w:rsidRPr="00202BBF" w:rsidR="00202BBF" w:rsidP="00202BBF" w:rsidRDefault="00202BBF" w14:paraId="6010B52A" w14:textId="77777777">
            <w:pPr>
              <w:pStyle w:val="tablebody"/>
              <w:rPr>
                <w:b/>
                <w:sz w:val="14"/>
                <w:szCs w:val="14"/>
              </w:rPr>
            </w:pPr>
            <w:r w:rsidRPr="00202BBF">
              <w:rPr>
                <w:b/>
                <w:sz w:val="14"/>
                <w:szCs w:val="14"/>
              </w:rPr>
              <w:lastRenderedPageBreak/>
              <w:t>($ thousand)</w:t>
            </w:r>
          </w:p>
        </w:tc>
      </w:tr>
      <w:tr w:rsidRPr="00202BBF" w:rsidR="00202BBF" w:rsidTr="00202BBF" w14:paraId="2F5FEB88" w14:textId="77777777">
        <w:trPr>
          <w:tblHeader/>
        </w:trPr>
        <w:tc>
          <w:tcPr>
            <w:tcW w:w="3261" w:type="dxa"/>
            <w:vMerge w:val="restart"/>
            <w:tcBorders>
              <w:top w:val="single" w:color="000000" w:sz="6" w:space="0"/>
              <w:left w:val="nil"/>
              <w:bottom w:val="single" w:color="000000" w:sz="8" w:space="0"/>
              <w:right w:val="single" w:color="000000" w:sz="6" w:space="0"/>
            </w:tcBorders>
            <w:tcMar>
              <w:top w:w="28" w:type="dxa"/>
              <w:left w:w="0" w:type="dxa"/>
              <w:bottom w:w="57" w:type="dxa"/>
              <w:right w:w="0" w:type="dxa"/>
            </w:tcMar>
            <w:vAlign w:val="bottom"/>
          </w:tcPr>
          <w:p w:rsidRPr="00202BBF" w:rsidR="00202BBF" w:rsidP="00202BBF" w:rsidRDefault="00202BBF" w14:paraId="175EB1F4" w14:textId="77777777">
            <w:pPr>
              <w:pStyle w:val="tablebody"/>
              <w:rPr>
                <w:b/>
                <w:sz w:val="14"/>
                <w:szCs w:val="14"/>
              </w:rPr>
            </w:pPr>
            <w:r w:rsidRPr="00202BBF">
              <w:rPr>
                <w:b/>
                <w:sz w:val="14"/>
                <w:szCs w:val="14"/>
              </w:rPr>
              <w:t>Cash and deposits, and investments</w:t>
            </w:r>
          </w:p>
        </w:tc>
        <w:tc>
          <w:tcPr>
            <w:tcW w:w="3372" w:type="dxa"/>
            <w:gridSpan w:val="4"/>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26DD9EC1" w14:textId="77777777">
            <w:pPr>
              <w:pStyle w:val="tablebody"/>
              <w:jc w:val="right"/>
              <w:rPr>
                <w:b/>
                <w:sz w:val="14"/>
                <w:szCs w:val="14"/>
              </w:rPr>
            </w:pPr>
            <w:r w:rsidRPr="00202BBF">
              <w:rPr>
                <w:b/>
                <w:sz w:val="14"/>
                <w:szCs w:val="14"/>
              </w:rPr>
              <w:t>2019</w:t>
            </w:r>
          </w:p>
        </w:tc>
        <w:tc>
          <w:tcPr>
            <w:tcW w:w="3432" w:type="dxa"/>
            <w:gridSpan w:val="4"/>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1F202609" w14:textId="77777777">
            <w:pPr>
              <w:pStyle w:val="tablebody"/>
              <w:jc w:val="right"/>
              <w:rPr>
                <w:b/>
                <w:sz w:val="14"/>
                <w:szCs w:val="14"/>
              </w:rPr>
            </w:pPr>
            <w:r w:rsidRPr="00202BBF">
              <w:rPr>
                <w:b/>
                <w:sz w:val="14"/>
                <w:szCs w:val="14"/>
              </w:rPr>
              <w:t>2018</w:t>
            </w:r>
          </w:p>
        </w:tc>
      </w:tr>
      <w:tr w:rsidRPr="00202BBF" w:rsidR="00202BBF" w:rsidTr="00202BBF" w14:paraId="7EF0116B" w14:textId="77777777">
        <w:trPr>
          <w:tblHeader/>
        </w:trPr>
        <w:tc>
          <w:tcPr>
            <w:tcW w:w="3261" w:type="dxa"/>
            <w:vMerge/>
            <w:tcBorders>
              <w:top w:val="single" w:color="000000" w:sz="8" w:space="0"/>
              <w:left w:val="nil"/>
              <w:bottom w:val="single" w:color="000000" w:sz="6" w:space="0"/>
              <w:right w:val="single" w:color="000000" w:sz="6" w:space="0"/>
            </w:tcBorders>
            <w:tcMar>
              <w:top w:w="28" w:type="dxa"/>
              <w:bottom w:w="57" w:type="dxa"/>
            </w:tcMar>
          </w:tcPr>
          <w:p w:rsidRPr="00202BBF" w:rsidR="00202BBF" w:rsidP="00202BBF" w:rsidRDefault="00202BBF" w14:paraId="0DDB8618" w14:textId="77777777">
            <w:pPr>
              <w:pStyle w:val="tablebody"/>
              <w:rPr>
                <w:b/>
                <w:sz w:val="14"/>
                <w:szCs w:val="14"/>
                <w:lang w:val="en-US"/>
              </w:rPr>
            </w:pPr>
          </w:p>
        </w:tc>
        <w:tc>
          <w:tcPr>
            <w:tcW w:w="850" w:type="dxa"/>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02BBF" w:rsidP="00202BBF" w:rsidRDefault="00202BBF" w14:paraId="39B3F759" w14:textId="77777777">
            <w:pPr>
              <w:pStyle w:val="tablebody"/>
              <w:jc w:val="right"/>
              <w:rPr>
                <w:b/>
                <w:sz w:val="14"/>
                <w:szCs w:val="14"/>
              </w:rPr>
            </w:pPr>
            <w:r w:rsidRPr="00202BBF">
              <w:rPr>
                <w:b/>
                <w:sz w:val="14"/>
                <w:szCs w:val="14"/>
              </w:rPr>
              <w:t>Opening balance as at</w:t>
            </w:r>
            <w:r w:rsidRPr="00202BBF">
              <w:rPr>
                <w:b/>
                <w:sz w:val="14"/>
                <w:szCs w:val="14"/>
              </w:rPr>
              <w:br/>
              <w:t>1 July 2018</w:t>
            </w:r>
          </w:p>
        </w:tc>
        <w:tc>
          <w:tcPr>
            <w:tcW w:w="6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4824E6C0" w14:textId="77777777">
            <w:pPr>
              <w:pStyle w:val="tablebody"/>
              <w:jc w:val="right"/>
              <w:rPr>
                <w:b/>
                <w:sz w:val="14"/>
                <w:szCs w:val="14"/>
              </w:rPr>
            </w:pPr>
            <w:r w:rsidRPr="00202BBF">
              <w:rPr>
                <w:b/>
                <w:sz w:val="14"/>
                <w:szCs w:val="14"/>
              </w:rPr>
              <w:t xml:space="preserve">Total </w:t>
            </w:r>
            <w:r w:rsidRPr="00202BBF">
              <w:rPr>
                <w:b/>
                <w:sz w:val="14"/>
                <w:szCs w:val="14"/>
              </w:rPr>
              <w:br/>
              <w:t>receipts</w:t>
            </w:r>
          </w:p>
        </w:tc>
        <w:tc>
          <w:tcPr>
            <w:tcW w:w="79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4AB53049" w14:textId="77777777">
            <w:pPr>
              <w:pStyle w:val="tablebody"/>
              <w:jc w:val="right"/>
              <w:rPr>
                <w:b/>
                <w:sz w:val="14"/>
                <w:szCs w:val="14"/>
              </w:rPr>
            </w:pPr>
            <w:r w:rsidRPr="00202BBF">
              <w:rPr>
                <w:b/>
                <w:sz w:val="14"/>
                <w:szCs w:val="14"/>
              </w:rPr>
              <w:t xml:space="preserve">Total </w:t>
            </w:r>
            <w:r w:rsidRPr="00202BBF">
              <w:rPr>
                <w:b/>
                <w:sz w:val="14"/>
                <w:szCs w:val="14"/>
              </w:rPr>
              <w:br/>
              <w:t>payments</w:t>
            </w:r>
          </w:p>
        </w:tc>
        <w:tc>
          <w:tcPr>
            <w:tcW w:w="1077" w:type="dxa"/>
            <w:tcBorders>
              <w:top w:val="single" w:color="000000" w:sz="6" w:space="0"/>
              <w:left w:val="nil"/>
              <w:bottom w:val="single" w:color="000000" w:sz="6" w:space="0"/>
              <w:right w:val="single" w:color="000000" w:sz="6" w:space="0"/>
            </w:tcBorders>
            <w:tcMar>
              <w:top w:w="28" w:type="dxa"/>
              <w:left w:w="0" w:type="dxa"/>
              <w:bottom w:w="57" w:type="dxa"/>
              <w:right w:w="57" w:type="dxa"/>
            </w:tcMar>
            <w:vAlign w:val="bottom"/>
          </w:tcPr>
          <w:p w:rsidRPr="00202BBF" w:rsidR="00202BBF" w:rsidP="00202BBF" w:rsidRDefault="00202BBF" w14:paraId="240A46E0" w14:textId="77777777">
            <w:pPr>
              <w:pStyle w:val="tablebody"/>
              <w:jc w:val="right"/>
              <w:rPr>
                <w:b/>
                <w:sz w:val="14"/>
                <w:szCs w:val="14"/>
              </w:rPr>
            </w:pPr>
            <w:r w:rsidRPr="00202BBF">
              <w:rPr>
                <w:b/>
                <w:sz w:val="14"/>
                <w:szCs w:val="14"/>
              </w:rPr>
              <w:t>Closing balance as at 30 June 2019</w:t>
            </w:r>
          </w:p>
        </w:tc>
        <w:tc>
          <w:tcPr>
            <w:tcW w:w="880" w:type="dxa"/>
            <w:tcBorders>
              <w:top w:val="single" w:color="000000" w:sz="6" w:space="0"/>
              <w:left w:val="single" w:color="000000" w:sz="6" w:space="0"/>
              <w:bottom w:val="single" w:color="000000" w:sz="6" w:space="0"/>
              <w:right w:val="nil"/>
            </w:tcBorders>
            <w:tcMar>
              <w:top w:w="28" w:type="dxa"/>
              <w:left w:w="0" w:type="dxa"/>
              <w:bottom w:w="57" w:type="dxa"/>
              <w:right w:w="0" w:type="dxa"/>
            </w:tcMar>
            <w:vAlign w:val="bottom"/>
          </w:tcPr>
          <w:p w:rsidRPr="00202BBF" w:rsidR="00202BBF" w:rsidP="00202BBF" w:rsidRDefault="00202BBF" w14:paraId="394DB77F" w14:textId="77777777">
            <w:pPr>
              <w:pStyle w:val="tablebody"/>
              <w:jc w:val="right"/>
              <w:rPr>
                <w:b/>
                <w:sz w:val="14"/>
                <w:szCs w:val="14"/>
              </w:rPr>
            </w:pPr>
            <w:r w:rsidRPr="00202BBF">
              <w:rPr>
                <w:b/>
                <w:sz w:val="14"/>
                <w:szCs w:val="14"/>
              </w:rPr>
              <w:t>Opening balance as at</w:t>
            </w:r>
            <w:r w:rsidRPr="00202BBF">
              <w:rPr>
                <w:b/>
                <w:sz w:val="14"/>
                <w:szCs w:val="14"/>
              </w:rPr>
              <w:br/>
              <w:t>1 July 2017</w:t>
            </w:r>
          </w:p>
        </w:tc>
        <w:tc>
          <w:tcPr>
            <w:tcW w:w="70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5855ED9" w14:textId="77777777">
            <w:pPr>
              <w:pStyle w:val="tablebody"/>
              <w:jc w:val="right"/>
              <w:rPr>
                <w:b/>
                <w:sz w:val="14"/>
                <w:szCs w:val="14"/>
              </w:rPr>
            </w:pPr>
            <w:r w:rsidRPr="00202BBF">
              <w:rPr>
                <w:b/>
                <w:sz w:val="14"/>
                <w:szCs w:val="14"/>
              </w:rPr>
              <w:t xml:space="preserve">Total </w:t>
            </w:r>
            <w:r w:rsidRPr="00202BBF">
              <w:rPr>
                <w:b/>
                <w:sz w:val="14"/>
                <w:szCs w:val="14"/>
              </w:rPr>
              <w:br/>
              <w:t>receipts</w:t>
            </w:r>
          </w:p>
        </w:tc>
        <w:tc>
          <w:tcPr>
            <w:tcW w:w="85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18949143" w14:textId="77777777">
            <w:pPr>
              <w:pStyle w:val="tablebody"/>
              <w:jc w:val="right"/>
              <w:rPr>
                <w:b/>
                <w:sz w:val="14"/>
                <w:szCs w:val="14"/>
              </w:rPr>
            </w:pPr>
            <w:r w:rsidRPr="00202BBF">
              <w:rPr>
                <w:b/>
                <w:sz w:val="14"/>
                <w:szCs w:val="14"/>
              </w:rPr>
              <w:t xml:space="preserve">Total </w:t>
            </w:r>
            <w:r w:rsidRPr="00202BBF">
              <w:rPr>
                <w:b/>
                <w:sz w:val="14"/>
                <w:szCs w:val="14"/>
              </w:rPr>
              <w:br/>
              <w:t>payments</w:t>
            </w:r>
          </w:p>
        </w:tc>
        <w:tc>
          <w:tcPr>
            <w:tcW w:w="993" w:type="dxa"/>
            <w:tcBorders>
              <w:top w:val="single" w:color="000000" w:sz="6" w:space="0"/>
              <w:left w:val="nil"/>
              <w:bottom w:val="single" w:color="000000" w:sz="6" w:space="0"/>
              <w:right w:val="single" w:color="000000" w:sz="6" w:space="0"/>
            </w:tcBorders>
            <w:tcMar>
              <w:top w:w="28" w:type="dxa"/>
              <w:left w:w="0" w:type="dxa"/>
              <w:bottom w:w="57" w:type="dxa"/>
              <w:right w:w="0" w:type="dxa"/>
            </w:tcMar>
            <w:vAlign w:val="bottom"/>
          </w:tcPr>
          <w:p w:rsidRPr="00202BBF" w:rsidR="00202BBF" w:rsidP="00202BBF" w:rsidRDefault="00202BBF" w14:paraId="16957682" w14:textId="77777777">
            <w:pPr>
              <w:pStyle w:val="tablebody"/>
              <w:jc w:val="right"/>
              <w:rPr>
                <w:b/>
                <w:sz w:val="14"/>
                <w:szCs w:val="14"/>
              </w:rPr>
            </w:pPr>
            <w:r w:rsidRPr="00202BBF">
              <w:rPr>
                <w:b/>
                <w:sz w:val="14"/>
                <w:szCs w:val="14"/>
              </w:rPr>
              <w:t>Closing balance as at 30 June 2018</w:t>
            </w:r>
          </w:p>
        </w:tc>
      </w:tr>
      <w:tr w:rsidRPr="00202BBF" w:rsidR="00202BBF" w:rsidTr="00202BBF" w14:paraId="3E072A00" w14:textId="77777777">
        <w:tc>
          <w:tcPr>
            <w:tcW w:w="3261" w:type="dxa"/>
            <w:tcBorders>
              <w:top w:val="single" w:color="000000" w:sz="6" w:space="0"/>
              <w:left w:val="nil"/>
              <w:bottom w:val="nil"/>
              <w:right w:val="single" w:color="000000" w:sz="6" w:space="0"/>
            </w:tcBorders>
            <w:tcMar>
              <w:top w:w="28" w:type="dxa"/>
              <w:left w:w="0" w:type="dxa"/>
              <w:bottom w:w="57" w:type="dxa"/>
              <w:right w:w="0" w:type="dxa"/>
            </w:tcMar>
          </w:tcPr>
          <w:p w:rsidRPr="00202BBF" w:rsidR="00202BBF" w:rsidP="00202BBF" w:rsidRDefault="00202BBF" w14:paraId="5AD93EEA" w14:textId="77777777">
            <w:pPr>
              <w:pStyle w:val="tablebody"/>
              <w:rPr>
                <w:b/>
                <w:sz w:val="14"/>
                <w:szCs w:val="14"/>
              </w:rPr>
            </w:pPr>
            <w:r w:rsidRPr="00202BBF">
              <w:rPr>
                <w:b/>
                <w:sz w:val="14"/>
                <w:szCs w:val="14"/>
              </w:rPr>
              <w:t>Administered trusts</w:t>
            </w:r>
          </w:p>
        </w:tc>
        <w:tc>
          <w:tcPr>
            <w:tcW w:w="850" w:type="dxa"/>
            <w:tcBorders>
              <w:top w:val="single" w:color="000000" w:sz="6" w:space="0"/>
              <w:left w:val="single" w:color="000000" w:sz="6" w:space="0"/>
              <w:bottom w:val="nil"/>
              <w:right w:val="nil"/>
            </w:tcBorders>
            <w:tcMar>
              <w:top w:w="28" w:type="dxa"/>
              <w:left w:w="0" w:type="dxa"/>
              <w:bottom w:w="57" w:type="dxa"/>
              <w:right w:w="0" w:type="dxa"/>
            </w:tcMar>
          </w:tcPr>
          <w:p w:rsidRPr="00202BBF" w:rsidR="00202BBF" w:rsidP="00202BBF" w:rsidRDefault="00202BBF" w14:paraId="5B4F7963" w14:textId="77777777">
            <w:pPr>
              <w:pStyle w:val="tablebody"/>
              <w:jc w:val="right"/>
              <w:rPr>
                <w:b/>
                <w:sz w:val="14"/>
                <w:szCs w:val="14"/>
                <w:lang w:val="en-US"/>
              </w:rPr>
            </w:pPr>
          </w:p>
        </w:tc>
        <w:tc>
          <w:tcPr>
            <w:tcW w:w="651" w:type="dxa"/>
            <w:tcBorders>
              <w:top w:val="single" w:color="000000" w:sz="6" w:space="0"/>
              <w:left w:val="nil"/>
              <w:bottom w:val="nil"/>
              <w:right w:val="nil"/>
            </w:tcBorders>
            <w:tcMar>
              <w:top w:w="28" w:type="dxa"/>
              <w:left w:w="0" w:type="dxa"/>
              <w:bottom w:w="57" w:type="dxa"/>
              <w:right w:w="0" w:type="dxa"/>
            </w:tcMar>
          </w:tcPr>
          <w:p w:rsidRPr="00202BBF" w:rsidR="00202BBF" w:rsidP="00202BBF" w:rsidRDefault="00202BBF" w14:paraId="12F0B7C4" w14:textId="77777777">
            <w:pPr>
              <w:pStyle w:val="tablebody"/>
              <w:jc w:val="right"/>
              <w:rPr>
                <w:b/>
                <w:sz w:val="14"/>
                <w:szCs w:val="14"/>
                <w:lang w:val="en-US"/>
              </w:rPr>
            </w:pPr>
          </w:p>
        </w:tc>
        <w:tc>
          <w:tcPr>
            <w:tcW w:w="794" w:type="dxa"/>
            <w:tcBorders>
              <w:top w:val="single" w:color="000000" w:sz="6" w:space="0"/>
              <w:left w:val="nil"/>
              <w:bottom w:val="nil"/>
              <w:right w:val="nil"/>
            </w:tcBorders>
            <w:tcMar>
              <w:top w:w="28" w:type="dxa"/>
              <w:left w:w="0" w:type="dxa"/>
              <w:bottom w:w="57" w:type="dxa"/>
              <w:right w:w="0" w:type="dxa"/>
            </w:tcMar>
          </w:tcPr>
          <w:p w:rsidRPr="00202BBF" w:rsidR="00202BBF" w:rsidP="00202BBF" w:rsidRDefault="00202BBF" w14:paraId="37C683CA" w14:textId="77777777">
            <w:pPr>
              <w:pStyle w:val="tablebody"/>
              <w:jc w:val="right"/>
              <w:rPr>
                <w:b/>
                <w:sz w:val="14"/>
                <w:szCs w:val="14"/>
                <w:lang w:val="en-US"/>
              </w:rPr>
            </w:pPr>
          </w:p>
        </w:tc>
        <w:tc>
          <w:tcPr>
            <w:tcW w:w="1077" w:type="dxa"/>
            <w:tcBorders>
              <w:top w:val="single" w:color="000000" w:sz="6" w:space="0"/>
              <w:left w:val="nil"/>
              <w:bottom w:val="nil"/>
              <w:right w:val="single" w:color="000000" w:sz="6" w:space="0"/>
            </w:tcBorders>
            <w:tcMar>
              <w:top w:w="28" w:type="dxa"/>
              <w:left w:w="0" w:type="dxa"/>
              <w:bottom w:w="57" w:type="dxa"/>
              <w:right w:w="57" w:type="dxa"/>
            </w:tcMar>
          </w:tcPr>
          <w:p w:rsidRPr="00202BBF" w:rsidR="00202BBF" w:rsidP="00202BBF" w:rsidRDefault="00202BBF" w14:paraId="55BAAEF4" w14:textId="77777777">
            <w:pPr>
              <w:pStyle w:val="tablebody"/>
              <w:jc w:val="right"/>
              <w:rPr>
                <w:b/>
                <w:sz w:val="14"/>
                <w:szCs w:val="14"/>
                <w:lang w:val="en-US"/>
              </w:rPr>
            </w:pPr>
          </w:p>
        </w:tc>
        <w:tc>
          <w:tcPr>
            <w:tcW w:w="880" w:type="dxa"/>
            <w:tcBorders>
              <w:top w:val="single" w:color="000000" w:sz="6" w:space="0"/>
              <w:left w:val="single" w:color="000000" w:sz="6" w:space="0"/>
              <w:bottom w:val="nil"/>
              <w:right w:val="nil"/>
            </w:tcBorders>
            <w:tcMar>
              <w:top w:w="28" w:type="dxa"/>
              <w:left w:w="0" w:type="dxa"/>
              <w:bottom w:w="57" w:type="dxa"/>
              <w:right w:w="0" w:type="dxa"/>
            </w:tcMar>
          </w:tcPr>
          <w:p w:rsidRPr="00202BBF" w:rsidR="00202BBF" w:rsidP="00202BBF" w:rsidRDefault="00202BBF" w14:paraId="75D6A6EC" w14:textId="77777777">
            <w:pPr>
              <w:pStyle w:val="tablebody"/>
              <w:jc w:val="right"/>
              <w:rPr>
                <w:b/>
                <w:sz w:val="14"/>
                <w:szCs w:val="14"/>
                <w:lang w:val="en-US"/>
              </w:rPr>
            </w:pPr>
          </w:p>
        </w:tc>
        <w:tc>
          <w:tcPr>
            <w:tcW w:w="709" w:type="dxa"/>
            <w:tcBorders>
              <w:top w:val="single" w:color="000000" w:sz="6" w:space="0"/>
              <w:left w:val="nil"/>
              <w:bottom w:val="nil"/>
              <w:right w:val="nil"/>
            </w:tcBorders>
            <w:tcMar>
              <w:top w:w="28" w:type="dxa"/>
              <w:left w:w="0" w:type="dxa"/>
              <w:bottom w:w="57" w:type="dxa"/>
              <w:right w:w="0" w:type="dxa"/>
            </w:tcMar>
          </w:tcPr>
          <w:p w:rsidRPr="00202BBF" w:rsidR="00202BBF" w:rsidP="00202BBF" w:rsidRDefault="00202BBF" w14:paraId="46CE953C" w14:textId="77777777">
            <w:pPr>
              <w:pStyle w:val="tablebody"/>
              <w:jc w:val="right"/>
              <w:rPr>
                <w:b/>
                <w:sz w:val="14"/>
                <w:szCs w:val="14"/>
                <w:lang w:val="en-US"/>
              </w:rPr>
            </w:pPr>
          </w:p>
        </w:tc>
        <w:tc>
          <w:tcPr>
            <w:tcW w:w="850" w:type="dxa"/>
            <w:tcBorders>
              <w:top w:val="single" w:color="000000" w:sz="6" w:space="0"/>
              <w:left w:val="nil"/>
              <w:bottom w:val="nil"/>
              <w:right w:val="nil"/>
            </w:tcBorders>
            <w:tcMar>
              <w:top w:w="28" w:type="dxa"/>
              <w:left w:w="0" w:type="dxa"/>
              <w:bottom w:w="57" w:type="dxa"/>
              <w:right w:w="0" w:type="dxa"/>
            </w:tcMar>
          </w:tcPr>
          <w:p w:rsidRPr="00202BBF" w:rsidR="00202BBF" w:rsidP="00202BBF" w:rsidRDefault="00202BBF" w14:paraId="7E3FEF0B" w14:textId="77777777">
            <w:pPr>
              <w:pStyle w:val="tablebody"/>
              <w:jc w:val="right"/>
              <w:rPr>
                <w:b/>
                <w:sz w:val="14"/>
                <w:szCs w:val="14"/>
                <w:lang w:val="en-US"/>
              </w:rPr>
            </w:pPr>
          </w:p>
        </w:tc>
        <w:tc>
          <w:tcPr>
            <w:tcW w:w="993" w:type="dxa"/>
            <w:tcBorders>
              <w:top w:val="single" w:color="000000" w:sz="6" w:space="0"/>
              <w:left w:val="nil"/>
              <w:bottom w:val="nil"/>
              <w:right w:val="single" w:color="000000" w:sz="6" w:space="0"/>
            </w:tcBorders>
            <w:tcMar>
              <w:top w:w="28" w:type="dxa"/>
              <w:left w:w="0" w:type="dxa"/>
              <w:bottom w:w="57" w:type="dxa"/>
              <w:right w:w="0" w:type="dxa"/>
            </w:tcMar>
          </w:tcPr>
          <w:p w:rsidRPr="00202BBF" w:rsidR="00202BBF" w:rsidP="00202BBF" w:rsidRDefault="00202BBF" w14:paraId="75C26770" w14:textId="77777777">
            <w:pPr>
              <w:pStyle w:val="tablebody"/>
              <w:jc w:val="right"/>
              <w:rPr>
                <w:b/>
                <w:sz w:val="14"/>
                <w:szCs w:val="14"/>
                <w:lang w:val="en-US"/>
              </w:rPr>
            </w:pPr>
          </w:p>
        </w:tc>
      </w:tr>
      <w:tr w:rsidRPr="00202BBF" w:rsidR="00202BBF" w:rsidTr="00202BBF" w14:paraId="6333876C"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33E314A6" w14:textId="77777777">
            <w:pPr>
              <w:pStyle w:val="tablebody"/>
              <w:rPr>
                <w:sz w:val="14"/>
                <w:szCs w:val="14"/>
              </w:rPr>
            </w:pPr>
            <w:r w:rsidRPr="00202BBF">
              <w:rPr>
                <w:b/>
                <w:sz w:val="14"/>
                <w:szCs w:val="14"/>
              </w:rPr>
              <w:t>Asset confiscation office retained monies trust</w:t>
            </w:r>
            <w:r w:rsidRPr="00202BBF">
              <w:rPr>
                <w:sz w:val="14"/>
                <w:szCs w:val="14"/>
              </w:rPr>
              <w:br/>
              <w:t xml:space="preserve">Established under the </w:t>
            </w:r>
            <w:r w:rsidRPr="00202BBF">
              <w:rPr>
                <w:i/>
                <w:iCs/>
                <w:sz w:val="14"/>
                <w:szCs w:val="14"/>
              </w:rPr>
              <w:t>Financial Management Act 1994</w:t>
            </w:r>
            <w:r w:rsidRPr="00202BBF">
              <w:rPr>
                <w:sz w:val="14"/>
                <w:szCs w:val="14"/>
              </w:rPr>
              <w:t xml:space="preserve"> for the Asset Confiscation Office.</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299BE532" w14:textId="77777777">
            <w:pPr>
              <w:pStyle w:val="tablebody"/>
              <w:jc w:val="right"/>
              <w:rPr>
                <w:sz w:val="14"/>
                <w:szCs w:val="14"/>
              </w:rPr>
            </w:pPr>
            <w:r w:rsidRPr="00202BBF">
              <w:rPr>
                <w:sz w:val="14"/>
                <w:szCs w:val="14"/>
              </w:rPr>
              <w:t xml:space="preserve">10,956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5CB46E2D" w14:textId="77777777">
            <w:pPr>
              <w:pStyle w:val="tablebody"/>
              <w:jc w:val="right"/>
              <w:rPr>
                <w:sz w:val="14"/>
                <w:szCs w:val="14"/>
              </w:rPr>
            </w:pPr>
            <w:r w:rsidRPr="00202BBF">
              <w:rPr>
                <w:sz w:val="14"/>
                <w:szCs w:val="14"/>
              </w:rPr>
              <w:t xml:space="preserve">8,295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10F3AB56" w14:textId="77777777">
            <w:pPr>
              <w:pStyle w:val="tablebody"/>
              <w:jc w:val="right"/>
              <w:rPr>
                <w:sz w:val="14"/>
                <w:szCs w:val="14"/>
              </w:rPr>
            </w:pPr>
            <w:r w:rsidRPr="00202BBF">
              <w:rPr>
                <w:sz w:val="14"/>
                <w:szCs w:val="14"/>
              </w:rPr>
              <w:t xml:space="preserve">7,367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6F00C6CD" w14:textId="77777777">
            <w:pPr>
              <w:pStyle w:val="tablebody"/>
              <w:jc w:val="right"/>
              <w:rPr>
                <w:sz w:val="14"/>
                <w:szCs w:val="14"/>
              </w:rPr>
            </w:pPr>
            <w:r w:rsidRPr="00202BBF">
              <w:rPr>
                <w:sz w:val="14"/>
                <w:szCs w:val="14"/>
              </w:rPr>
              <w:t xml:space="preserve">11,884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0BD78808" w14:textId="77777777">
            <w:pPr>
              <w:pStyle w:val="tablebody"/>
              <w:jc w:val="right"/>
              <w:rPr>
                <w:sz w:val="14"/>
                <w:szCs w:val="14"/>
              </w:rPr>
            </w:pPr>
            <w:r w:rsidRPr="00202BBF">
              <w:rPr>
                <w:sz w:val="14"/>
                <w:szCs w:val="14"/>
              </w:rPr>
              <w:t xml:space="preserve">10,904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668A6190" w14:textId="77777777">
            <w:pPr>
              <w:pStyle w:val="tablebody"/>
              <w:jc w:val="right"/>
              <w:rPr>
                <w:sz w:val="14"/>
                <w:szCs w:val="14"/>
              </w:rPr>
            </w:pPr>
            <w:r w:rsidRPr="00202BBF">
              <w:rPr>
                <w:sz w:val="14"/>
                <w:szCs w:val="14"/>
              </w:rPr>
              <w:t xml:space="preserve">6,031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65CDB62A" w14:textId="77777777">
            <w:pPr>
              <w:pStyle w:val="tablebody"/>
              <w:jc w:val="right"/>
              <w:rPr>
                <w:sz w:val="14"/>
                <w:szCs w:val="14"/>
              </w:rPr>
            </w:pPr>
            <w:r w:rsidRPr="00202BBF">
              <w:rPr>
                <w:sz w:val="14"/>
                <w:szCs w:val="14"/>
              </w:rPr>
              <w:t xml:space="preserve">5,979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1FD255D5" w14:textId="77777777">
            <w:pPr>
              <w:pStyle w:val="tablebody"/>
              <w:jc w:val="right"/>
              <w:rPr>
                <w:sz w:val="14"/>
                <w:szCs w:val="14"/>
              </w:rPr>
            </w:pPr>
            <w:r w:rsidRPr="00202BBF">
              <w:rPr>
                <w:sz w:val="14"/>
                <w:szCs w:val="14"/>
              </w:rPr>
              <w:t xml:space="preserve">10,956 </w:t>
            </w:r>
          </w:p>
        </w:tc>
      </w:tr>
      <w:tr w:rsidRPr="00202BBF" w:rsidR="00202BBF" w:rsidTr="00202BBF" w14:paraId="20EA7D16"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4ADF192B" w14:textId="77777777">
            <w:pPr>
              <w:pStyle w:val="tablebody"/>
              <w:rPr>
                <w:sz w:val="14"/>
                <w:szCs w:val="14"/>
              </w:rPr>
            </w:pPr>
            <w:r w:rsidRPr="00202BBF">
              <w:rPr>
                <w:b/>
                <w:sz w:val="14"/>
                <w:szCs w:val="14"/>
              </w:rPr>
              <w:t>Domestic Building Dispute Resolution Victoria Trust Fund</w:t>
            </w:r>
            <w:r w:rsidRPr="00202BBF">
              <w:rPr>
                <w:sz w:val="14"/>
                <w:szCs w:val="14"/>
              </w:rPr>
              <w:br/>
              <w:t xml:space="preserve">Established under the </w:t>
            </w:r>
            <w:r w:rsidRPr="00202BBF">
              <w:rPr>
                <w:i/>
                <w:iCs/>
                <w:sz w:val="14"/>
                <w:szCs w:val="14"/>
              </w:rPr>
              <w:t>Building Legislation Amendment (Consumer Protection) Act 2016</w:t>
            </w:r>
            <w:r w:rsidRPr="00202BBF">
              <w:rPr>
                <w:sz w:val="14"/>
                <w:szCs w:val="14"/>
              </w:rPr>
              <w:t xml:space="preserve"> to hold monies in accordance with that Act.</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6BD565C7" w14:textId="77777777">
            <w:pPr>
              <w:pStyle w:val="tablebody"/>
              <w:jc w:val="right"/>
              <w:rPr>
                <w:sz w:val="14"/>
                <w:szCs w:val="14"/>
              </w:rPr>
            </w:pPr>
            <w:r w:rsidRPr="00202BBF">
              <w:rPr>
                <w:sz w:val="14"/>
                <w:szCs w:val="14"/>
              </w:rPr>
              <w:t xml:space="preserve">26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74AE775B" w14:textId="77777777">
            <w:pPr>
              <w:pStyle w:val="tablebody"/>
              <w:jc w:val="right"/>
              <w:rPr>
                <w:sz w:val="14"/>
                <w:szCs w:val="14"/>
              </w:rPr>
            </w:pPr>
            <w:r w:rsidRPr="00202BBF">
              <w:rPr>
                <w:sz w:val="14"/>
                <w:szCs w:val="14"/>
              </w:rPr>
              <w:t xml:space="preserve">78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6425C5D5" w14:textId="77777777">
            <w:pPr>
              <w:pStyle w:val="tablebody"/>
              <w:jc w:val="right"/>
              <w:rPr>
                <w:sz w:val="14"/>
                <w:szCs w:val="14"/>
              </w:rPr>
            </w:pPr>
            <w:r w:rsidRPr="00202BBF">
              <w:rPr>
                <w:sz w:val="14"/>
                <w:szCs w:val="14"/>
              </w:rPr>
              <w:t xml:space="preserve">72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18236C40" w14:textId="77777777">
            <w:pPr>
              <w:pStyle w:val="tablebody"/>
              <w:jc w:val="right"/>
              <w:rPr>
                <w:sz w:val="14"/>
                <w:szCs w:val="14"/>
              </w:rPr>
            </w:pPr>
            <w:r w:rsidRPr="00202BBF">
              <w:rPr>
                <w:sz w:val="14"/>
                <w:szCs w:val="14"/>
              </w:rPr>
              <w:t xml:space="preserve">32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21FC8DFF" w14:textId="77777777">
            <w:pPr>
              <w:pStyle w:val="tablebody"/>
              <w:jc w:val="right"/>
              <w:rPr>
                <w:sz w:val="14"/>
                <w:szCs w:val="14"/>
              </w:rPr>
            </w:pPr>
            <w:r w:rsidRPr="00202BBF">
              <w:rPr>
                <w:sz w:val="14"/>
                <w:szCs w:val="14"/>
              </w:rPr>
              <w:t xml:space="preserve">0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70E032B2" w14:textId="77777777">
            <w:pPr>
              <w:pStyle w:val="tablebody"/>
              <w:jc w:val="right"/>
              <w:rPr>
                <w:sz w:val="14"/>
                <w:szCs w:val="14"/>
              </w:rPr>
            </w:pPr>
            <w:r w:rsidRPr="00202BBF">
              <w:rPr>
                <w:sz w:val="14"/>
                <w:szCs w:val="14"/>
              </w:rPr>
              <w:t xml:space="preserve">26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6405C64E" w14:textId="77777777">
            <w:pPr>
              <w:pStyle w:val="tablebody"/>
              <w:jc w:val="right"/>
              <w:rPr>
                <w:sz w:val="14"/>
                <w:szCs w:val="14"/>
              </w:rPr>
            </w:pPr>
            <w:r w:rsidRPr="00202BBF">
              <w:rPr>
                <w:sz w:val="14"/>
                <w:szCs w:val="14"/>
              </w:rPr>
              <w:t xml:space="preserve">0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4C95910D" w14:textId="77777777">
            <w:pPr>
              <w:pStyle w:val="tablebody"/>
              <w:jc w:val="right"/>
              <w:rPr>
                <w:sz w:val="14"/>
                <w:szCs w:val="14"/>
              </w:rPr>
            </w:pPr>
            <w:r w:rsidRPr="00202BBF">
              <w:rPr>
                <w:sz w:val="14"/>
                <w:szCs w:val="14"/>
              </w:rPr>
              <w:t xml:space="preserve">26 </w:t>
            </w:r>
          </w:p>
        </w:tc>
      </w:tr>
      <w:tr w:rsidRPr="00202BBF" w:rsidR="00202BBF" w:rsidTr="00202BBF" w14:paraId="7C912A9E"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5ECD74E8" w14:textId="77777777">
            <w:pPr>
              <w:pStyle w:val="tablebody"/>
              <w:rPr>
                <w:sz w:val="14"/>
                <w:szCs w:val="14"/>
              </w:rPr>
            </w:pPr>
            <w:r w:rsidRPr="00202BBF">
              <w:rPr>
                <w:b/>
                <w:sz w:val="14"/>
                <w:szCs w:val="14"/>
              </w:rPr>
              <w:t>Victorian government solicitor’s trust</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for the Victorian Government Solicitors Office.</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0B0ABFCD" w14:textId="77777777">
            <w:pPr>
              <w:pStyle w:val="tablebody"/>
              <w:jc w:val="right"/>
              <w:rPr>
                <w:sz w:val="14"/>
                <w:szCs w:val="14"/>
              </w:rPr>
            </w:pPr>
            <w:r w:rsidRPr="00202BBF">
              <w:rPr>
                <w:sz w:val="14"/>
                <w:szCs w:val="14"/>
              </w:rPr>
              <w:t xml:space="preserve">5,589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366CD4F2" w14:textId="77777777">
            <w:pPr>
              <w:pStyle w:val="tablebody"/>
              <w:jc w:val="right"/>
              <w:rPr>
                <w:sz w:val="14"/>
                <w:szCs w:val="14"/>
              </w:rPr>
            </w:pPr>
            <w:r w:rsidRPr="00202BBF">
              <w:rPr>
                <w:sz w:val="14"/>
                <w:szCs w:val="14"/>
              </w:rPr>
              <w:t xml:space="preserve">229,673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0832079B" w14:textId="77777777">
            <w:pPr>
              <w:pStyle w:val="tablebody"/>
              <w:jc w:val="right"/>
              <w:rPr>
                <w:sz w:val="14"/>
                <w:szCs w:val="14"/>
              </w:rPr>
            </w:pPr>
            <w:r w:rsidRPr="00202BBF">
              <w:rPr>
                <w:sz w:val="14"/>
                <w:szCs w:val="14"/>
              </w:rPr>
              <w:t xml:space="preserve">180,937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025A87ED" w14:textId="77777777">
            <w:pPr>
              <w:pStyle w:val="tablebody"/>
              <w:jc w:val="right"/>
              <w:rPr>
                <w:sz w:val="14"/>
                <w:szCs w:val="14"/>
              </w:rPr>
            </w:pPr>
            <w:r w:rsidRPr="00202BBF">
              <w:rPr>
                <w:sz w:val="14"/>
                <w:szCs w:val="14"/>
              </w:rPr>
              <w:t xml:space="preserve">54,325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661D2E91" w14:textId="77777777">
            <w:pPr>
              <w:pStyle w:val="tablebody"/>
              <w:jc w:val="right"/>
              <w:rPr>
                <w:sz w:val="14"/>
                <w:szCs w:val="14"/>
              </w:rPr>
            </w:pPr>
            <w:r w:rsidRPr="00202BBF">
              <w:rPr>
                <w:sz w:val="14"/>
                <w:szCs w:val="14"/>
              </w:rPr>
              <w:t xml:space="preserve">8,244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0890559C" w14:textId="77777777">
            <w:pPr>
              <w:pStyle w:val="tablebody"/>
              <w:jc w:val="right"/>
              <w:rPr>
                <w:sz w:val="14"/>
                <w:szCs w:val="14"/>
              </w:rPr>
            </w:pPr>
            <w:r w:rsidRPr="00202BBF">
              <w:rPr>
                <w:sz w:val="14"/>
                <w:szCs w:val="14"/>
              </w:rPr>
              <w:t xml:space="preserve">129,507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2430FF7D" w14:textId="77777777">
            <w:pPr>
              <w:pStyle w:val="tablebody"/>
              <w:jc w:val="right"/>
              <w:rPr>
                <w:sz w:val="14"/>
                <w:szCs w:val="14"/>
              </w:rPr>
            </w:pPr>
            <w:r w:rsidRPr="00202BBF">
              <w:rPr>
                <w:sz w:val="14"/>
                <w:szCs w:val="14"/>
              </w:rPr>
              <w:t xml:space="preserve">132,162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06C632A2" w14:textId="77777777">
            <w:pPr>
              <w:pStyle w:val="tablebody"/>
              <w:jc w:val="right"/>
              <w:rPr>
                <w:sz w:val="14"/>
                <w:szCs w:val="14"/>
              </w:rPr>
            </w:pPr>
            <w:r w:rsidRPr="00202BBF">
              <w:rPr>
                <w:sz w:val="14"/>
                <w:szCs w:val="14"/>
              </w:rPr>
              <w:t xml:space="preserve">5,589 </w:t>
            </w:r>
          </w:p>
        </w:tc>
      </w:tr>
      <w:tr w:rsidRPr="00202BBF" w:rsidR="00202BBF" w:rsidTr="00202BBF" w14:paraId="688C65C5"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681CF152" w14:textId="77777777">
            <w:pPr>
              <w:pStyle w:val="tablebody"/>
              <w:rPr>
                <w:sz w:val="14"/>
                <w:szCs w:val="14"/>
              </w:rPr>
            </w:pPr>
            <w:r w:rsidRPr="00202BBF">
              <w:rPr>
                <w:b/>
                <w:sz w:val="14"/>
                <w:szCs w:val="14"/>
              </w:rPr>
              <w:t>Departmental suspense</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as a working account for the department.</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3962D5CB" w14:textId="77777777">
            <w:pPr>
              <w:pStyle w:val="tablebody"/>
              <w:jc w:val="right"/>
              <w:rPr>
                <w:sz w:val="14"/>
                <w:szCs w:val="14"/>
              </w:rPr>
            </w:pPr>
            <w:r w:rsidRPr="00202BBF">
              <w:rPr>
                <w:sz w:val="14"/>
                <w:szCs w:val="14"/>
              </w:rPr>
              <w:t xml:space="preserve">2,882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1FB0A204" w14:textId="77777777">
            <w:pPr>
              <w:pStyle w:val="tablebody"/>
              <w:jc w:val="right"/>
              <w:rPr>
                <w:sz w:val="14"/>
                <w:szCs w:val="14"/>
              </w:rPr>
            </w:pPr>
            <w:r w:rsidRPr="00202BBF">
              <w:rPr>
                <w:sz w:val="14"/>
                <w:szCs w:val="14"/>
              </w:rPr>
              <w:t xml:space="preserve">116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5644420D" w14:textId="77777777">
            <w:pPr>
              <w:pStyle w:val="tablebody"/>
              <w:jc w:val="right"/>
              <w:rPr>
                <w:sz w:val="14"/>
                <w:szCs w:val="14"/>
              </w:rPr>
            </w:pPr>
            <w:r w:rsidRPr="00202BBF">
              <w:rPr>
                <w:sz w:val="14"/>
                <w:szCs w:val="14"/>
              </w:rPr>
              <w:t xml:space="preserve">685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13A6DB52" w14:textId="77777777">
            <w:pPr>
              <w:pStyle w:val="tablebody"/>
              <w:jc w:val="right"/>
              <w:rPr>
                <w:sz w:val="14"/>
                <w:szCs w:val="14"/>
              </w:rPr>
            </w:pPr>
            <w:r w:rsidRPr="00202BBF">
              <w:rPr>
                <w:sz w:val="14"/>
                <w:szCs w:val="14"/>
              </w:rPr>
              <w:t xml:space="preserve">2,313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0338902A" w14:textId="77777777">
            <w:pPr>
              <w:pStyle w:val="tablebody"/>
              <w:jc w:val="right"/>
              <w:rPr>
                <w:sz w:val="14"/>
                <w:szCs w:val="14"/>
              </w:rPr>
            </w:pPr>
            <w:r w:rsidRPr="00202BBF">
              <w:rPr>
                <w:sz w:val="14"/>
                <w:szCs w:val="14"/>
              </w:rPr>
              <w:t xml:space="preserve">3,167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2BFF57A7" w14:textId="77777777">
            <w:pPr>
              <w:pStyle w:val="tablebody"/>
              <w:jc w:val="right"/>
              <w:rPr>
                <w:sz w:val="14"/>
                <w:szCs w:val="14"/>
              </w:rPr>
            </w:pPr>
            <w:r w:rsidRPr="00202BBF">
              <w:rPr>
                <w:sz w:val="14"/>
                <w:szCs w:val="14"/>
              </w:rPr>
              <w:t xml:space="preserve">531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7DD26494" w14:textId="77777777">
            <w:pPr>
              <w:pStyle w:val="tablebody"/>
              <w:jc w:val="right"/>
              <w:rPr>
                <w:sz w:val="14"/>
                <w:szCs w:val="14"/>
              </w:rPr>
            </w:pPr>
            <w:r w:rsidRPr="00202BBF">
              <w:rPr>
                <w:sz w:val="14"/>
                <w:szCs w:val="14"/>
              </w:rPr>
              <w:t xml:space="preserve">816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0B697A7B" w14:textId="77777777">
            <w:pPr>
              <w:pStyle w:val="tablebody"/>
              <w:jc w:val="right"/>
              <w:rPr>
                <w:sz w:val="14"/>
                <w:szCs w:val="14"/>
              </w:rPr>
            </w:pPr>
            <w:r w:rsidRPr="00202BBF">
              <w:rPr>
                <w:sz w:val="14"/>
                <w:szCs w:val="14"/>
              </w:rPr>
              <w:t xml:space="preserve">2,882 </w:t>
            </w:r>
          </w:p>
        </w:tc>
      </w:tr>
      <w:tr w:rsidRPr="00202BBF" w:rsidR="00202BBF" w:rsidTr="00202BBF" w14:paraId="43079DC4"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6D293365" w14:textId="77777777">
            <w:pPr>
              <w:pStyle w:val="tablebody"/>
              <w:rPr>
                <w:sz w:val="14"/>
                <w:szCs w:val="14"/>
              </w:rPr>
            </w:pPr>
            <w:r w:rsidRPr="00202BBF">
              <w:rPr>
                <w:b/>
                <w:sz w:val="14"/>
                <w:szCs w:val="14"/>
              </w:rPr>
              <w:t>Revenue suspense</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to temporarily hold monies pending correct identification of receipts.</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60A59B0E" w14:textId="77777777">
            <w:pPr>
              <w:pStyle w:val="tablebody"/>
              <w:jc w:val="right"/>
              <w:rPr>
                <w:sz w:val="14"/>
                <w:szCs w:val="14"/>
              </w:rPr>
            </w:pPr>
            <w:r w:rsidRPr="00202BBF">
              <w:rPr>
                <w:sz w:val="14"/>
                <w:szCs w:val="14"/>
              </w:rPr>
              <w:t xml:space="preserve">17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4C3A618B" w14:textId="77777777">
            <w:pPr>
              <w:pStyle w:val="tablebody"/>
              <w:jc w:val="right"/>
              <w:rPr>
                <w:sz w:val="14"/>
                <w:szCs w:val="14"/>
              </w:rPr>
            </w:pPr>
            <w:r w:rsidRPr="00202BBF">
              <w:rPr>
                <w:sz w:val="14"/>
                <w:szCs w:val="14"/>
              </w:rPr>
              <w:t xml:space="preserve">2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76BCFC31" w14:textId="77777777">
            <w:pPr>
              <w:pStyle w:val="tablebody"/>
              <w:jc w:val="right"/>
              <w:rPr>
                <w:sz w:val="14"/>
                <w:szCs w:val="14"/>
              </w:rPr>
            </w:pPr>
            <w:r w:rsidRPr="00202BBF">
              <w:rPr>
                <w:sz w:val="14"/>
                <w:szCs w:val="14"/>
              </w:rPr>
              <w:t xml:space="preserve">0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4B23D6D1" w14:textId="77777777">
            <w:pPr>
              <w:pStyle w:val="tablebody"/>
              <w:jc w:val="right"/>
              <w:rPr>
                <w:sz w:val="14"/>
                <w:szCs w:val="14"/>
              </w:rPr>
            </w:pPr>
            <w:r w:rsidRPr="00202BBF">
              <w:rPr>
                <w:sz w:val="14"/>
                <w:szCs w:val="14"/>
              </w:rPr>
              <w:t xml:space="preserve">19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38F4E2DF" w14:textId="77777777">
            <w:pPr>
              <w:pStyle w:val="tablebody"/>
              <w:jc w:val="right"/>
              <w:rPr>
                <w:sz w:val="14"/>
                <w:szCs w:val="14"/>
              </w:rPr>
            </w:pPr>
            <w:r w:rsidRPr="00202BBF">
              <w:rPr>
                <w:sz w:val="14"/>
                <w:szCs w:val="14"/>
              </w:rPr>
              <w:t xml:space="preserve">12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25B061C6" w14:textId="77777777">
            <w:pPr>
              <w:pStyle w:val="tablebody"/>
              <w:jc w:val="right"/>
              <w:rPr>
                <w:sz w:val="14"/>
                <w:szCs w:val="14"/>
              </w:rPr>
            </w:pPr>
            <w:r w:rsidRPr="00202BBF">
              <w:rPr>
                <w:sz w:val="14"/>
                <w:szCs w:val="14"/>
              </w:rPr>
              <w:t xml:space="preserve">5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7AA3BDD2" w14:textId="77777777">
            <w:pPr>
              <w:pStyle w:val="tablebody"/>
              <w:jc w:val="right"/>
              <w:rPr>
                <w:sz w:val="14"/>
                <w:szCs w:val="14"/>
              </w:rPr>
            </w:pPr>
            <w:r w:rsidRPr="00202BBF">
              <w:rPr>
                <w:sz w:val="14"/>
                <w:szCs w:val="14"/>
              </w:rPr>
              <w:t xml:space="preserve">0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76B619C5" w14:textId="77777777">
            <w:pPr>
              <w:pStyle w:val="tablebody"/>
              <w:jc w:val="right"/>
              <w:rPr>
                <w:sz w:val="14"/>
                <w:szCs w:val="14"/>
              </w:rPr>
            </w:pPr>
            <w:r w:rsidRPr="00202BBF">
              <w:rPr>
                <w:sz w:val="14"/>
                <w:szCs w:val="14"/>
              </w:rPr>
              <w:t xml:space="preserve">17 </w:t>
            </w:r>
          </w:p>
        </w:tc>
      </w:tr>
      <w:tr w:rsidRPr="00202BBF" w:rsidR="00202BBF" w:rsidTr="00202BBF" w14:paraId="0E84795D"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163C4425" w14:textId="77777777">
            <w:pPr>
              <w:pStyle w:val="tablebody"/>
              <w:rPr>
                <w:sz w:val="14"/>
                <w:szCs w:val="14"/>
              </w:rPr>
            </w:pPr>
            <w:r w:rsidRPr="00202BBF">
              <w:rPr>
                <w:b/>
                <w:sz w:val="14"/>
                <w:szCs w:val="14"/>
              </w:rPr>
              <w:t>Treasury trust fund</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for the receipt and disbursement of unclaimed monies and other funds held in trust.</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210EEE0D" w14:textId="77777777">
            <w:pPr>
              <w:pStyle w:val="tablebody"/>
              <w:jc w:val="right"/>
              <w:rPr>
                <w:sz w:val="14"/>
                <w:szCs w:val="14"/>
              </w:rPr>
            </w:pPr>
            <w:r w:rsidRPr="00202BBF">
              <w:rPr>
                <w:sz w:val="14"/>
                <w:szCs w:val="14"/>
              </w:rPr>
              <w:t xml:space="preserve">7,583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54CF1B73" w14:textId="77777777">
            <w:pPr>
              <w:pStyle w:val="tablebody"/>
              <w:jc w:val="right"/>
              <w:rPr>
                <w:sz w:val="14"/>
                <w:szCs w:val="14"/>
              </w:rPr>
            </w:pPr>
            <w:r w:rsidRPr="00202BBF">
              <w:rPr>
                <w:sz w:val="14"/>
                <w:szCs w:val="14"/>
              </w:rPr>
              <w:t xml:space="preserve">880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285CE37F" w14:textId="77777777">
            <w:pPr>
              <w:pStyle w:val="tablebody"/>
              <w:jc w:val="right"/>
              <w:rPr>
                <w:sz w:val="14"/>
                <w:szCs w:val="14"/>
              </w:rPr>
            </w:pPr>
            <w:r w:rsidRPr="00202BBF">
              <w:rPr>
                <w:sz w:val="14"/>
                <w:szCs w:val="14"/>
              </w:rPr>
              <w:t xml:space="preserve">1,397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0E903503" w14:textId="77777777">
            <w:pPr>
              <w:pStyle w:val="tablebody"/>
              <w:jc w:val="right"/>
              <w:rPr>
                <w:sz w:val="14"/>
                <w:szCs w:val="14"/>
              </w:rPr>
            </w:pPr>
            <w:r w:rsidRPr="00202BBF">
              <w:rPr>
                <w:sz w:val="14"/>
                <w:szCs w:val="14"/>
              </w:rPr>
              <w:t xml:space="preserve">7,066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4D4E7E91" w14:textId="77777777">
            <w:pPr>
              <w:pStyle w:val="tablebody"/>
              <w:jc w:val="right"/>
              <w:rPr>
                <w:sz w:val="14"/>
                <w:szCs w:val="14"/>
              </w:rPr>
            </w:pPr>
            <w:r w:rsidRPr="00202BBF">
              <w:rPr>
                <w:sz w:val="14"/>
                <w:szCs w:val="14"/>
              </w:rPr>
              <w:t xml:space="preserve">7,622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575A6FA5" w14:textId="77777777">
            <w:pPr>
              <w:pStyle w:val="tablebody"/>
              <w:jc w:val="right"/>
              <w:rPr>
                <w:sz w:val="14"/>
                <w:szCs w:val="14"/>
              </w:rPr>
            </w:pPr>
            <w:r w:rsidRPr="00202BBF">
              <w:rPr>
                <w:sz w:val="14"/>
                <w:szCs w:val="14"/>
              </w:rPr>
              <w:t xml:space="preserve">786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4379E728" w14:textId="77777777">
            <w:pPr>
              <w:pStyle w:val="tablebody"/>
              <w:jc w:val="right"/>
              <w:rPr>
                <w:sz w:val="14"/>
                <w:szCs w:val="14"/>
              </w:rPr>
            </w:pPr>
            <w:r w:rsidRPr="00202BBF">
              <w:rPr>
                <w:sz w:val="14"/>
                <w:szCs w:val="14"/>
              </w:rPr>
              <w:t xml:space="preserve">825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36A5B7AF" w14:textId="77777777">
            <w:pPr>
              <w:pStyle w:val="tablebody"/>
              <w:jc w:val="right"/>
              <w:rPr>
                <w:sz w:val="14"/>
                <w:szCs w:val="14"/>
              </w:rPr>
            </w:pPr>
            <w:r w:rsidRPr="00202BBF">
              <w:rPr>
                <w:sz w:val="14"/>
                <w:szCs w:val="14"/>
              </w:rPr>
              <w:t xml:space="preserve">7,583 </w:t>
            </w:r>
          </w:p>
        </w:tc>
      </w:tr>
      <w:tr w:rsidRPr="00202BBF" w:rsidR="00202BBF" w:rsidTr="00202BBF" w14:paraId="7864771A" w14:textId="77777777">
        <w:tc>
          <w:tcPr>
            <w:tcW w:w="3261" w:type="dxa"/>
            <w:tcBorders>
              <w:top w:val="nil"/>
              <w:left w:val="nil"/>
              <w:bottom w:val="nil"/>
              <w:right w:val="single" w:color="000000" w:sz="6" w:space="0"/>
            </w:tcBorders>
            <w:tcMar>
              <w:top w:w="28" w:type="dxa"/>
              <w:left w:w="0" w:type="dxa"/>
              <w:bottom w:w="57" w:type="dxa"/>
              <w:right w:w="57" w:type="dxa"/>
            </w:tcMar>
          </w:tcPr>
          <w:p w:rsidRPr="00202BBF" w:rsidR="00202BBF" w:rsidP="00202BBF" w:rsidRDefault="00202BBF" w14:paraId="0B308E86" w14:textId="77777777">
            <w:pPr>
              <w:pStyle w:val="tablebody"/>
              <w:rPr>
                <w:sz w:val="14"/>
                <w:szCs w:val="14"/>
              </w:rPr>
            </w:pPr>
            <w:r w:rsidRPr="00202BBF">
              <w:rPr>
                <w:b/>
                <w:sz w:val="14"/>
                <w:szCs w:val="14"/>
              </w:rPr>
              <w:t>Public service commuter club</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for the Public Service Commuter Club.</w:t>
            </w:r>
          </w:p>
        </w:tc>
        <w:tc>
          <w:tcPr>
            <w:tcW w:w="85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60D864D3" w14:textId="77777777">
            <w:pPr>
              <w:pStyle w:val="tablebody"/>
              <w:jc w:val="right"/>
              <w:rPr>
                <w:sz w:val="14"/>
                <w:szCs w:val="14"/>
              </w:rPr>
            </w:pPr>
            <w:r w:rsidRPr="00202BBF">
              <w:rPr>
                <w:sz w:val="14"/>
                <w:szCs w:val="14"/>
              </w:rPr>
              <w:t xml:space="preserve">(583) </w:t>
            </w:r>
          </w:p>
        </w:tc>
        <w:tc>
          <w:tcPr>
            <w:tcW w:w="651" w:type="dxa"/>
            <w:tcBorders>
              <w:top w:val="nil"/>
              <w:left w:val="nil"/>
              <w:bottom w:val="nil"/>
              <w:right w:val="nil"/>
            </w:tcBorders>
            <w:tcMar>
              <w:top w:w="28" w:type="dxa"/>
              <w:left w:w="0" w:type="dxa"/>
              <w:bottom w:w="57" w:type="dxa"/>
              <w:right w:w="0" w:type="dxa"/>
            </w:tcMar>
          </w:tcPr>
          <w:p w:rsidRPr="00202BBF" w:rsidR="00202BBF" w:rsidP="00202BBF" w:rsidRDefault="00202BBF" w14:paraId="68A0CAB1" w14:textId="77777777">
            <w:pPr>
              <w:pStyle w:val="tablebody"/>
              <w:jc w:val="right"/>
              <w:rPr>
                <w:sz w:val="14"/>
                <w:szCs w:val="14"/>
              </w:rPr>
            </w:pPr>
            <w:r w:rsidRPr="00202BBF">
              <w:rPr>
                <w:sz w:val="14"/>
                <w:szCs w:val="14"/>
              </w:rPr>
              <w:t xml:space="preserve">2,543 </w:t>
            </w:r>
          </w:p>
        </w:tc>
        <w:tc>
          <w:tcPr>
            <w:tcW w:w="794" w:type="dxa"/>
            <w:tcBorders>
              <w:top w:val="nil"/>
              <w:left w:val="nil"/>
              <w:bottom w:val="nil"/>
              <w:right w:val="nil"/>
            </w:tcBorders>
            <w:tcMar>
              <w:top w:w="28" w:type="dxa"/>
              <w:left w:w="0" w:type="dxa"/>
              <w:bottom w:w="57" w:type="dxa"/>
              <w:right w:w="0" w:type="dxa"/>
            </w:tcMar>
          </w:tcPr>
          <w:p w:rsidRPr="00202BBF" w:rsidR="00202BBF" w:rsidP="00202BBF" w:rsidRDefault="00202BBF" w14:paraId="7B8CD28C" w14:textId="77777777">
            <w:pPr>
              <w:pStyle w:val="tablebody"/>
              <w:jc w:val="right"/>
              <w:rPr>
                <w:sz w:val="14"/>
                <w:szCs w:val="14"/>
              </w:rPr>
            </w:pPr>
            <w:r w:rsidRPr="00202BBF">
              <w:rPr>
                <w:sz w:val="14"/>
                <w:szCs w:val="14"/>
              </w:rPr>
              <w:t xml:space="preserve">2,812 </w:t>
            </w:r>
          </w:p>
        </w:tc>
        <w:tc>
          <w:tcPr>
            <w:tcW w:w="1077" w:type="dxa"/>
            <w:tcBorders>
              <w:top w:val="nil"/>
              <w:left w:val="nil"/>
              <w:bottom w:val="nil"/>
              <w:right w:val="single" w:color="000000" w:sz="6" w:space="0"/>
            </w:tcBorders>
            <w:tcMar>
              <w:top w:w="28" w:type="dxa"/>
              <w:left w:w="0" w:type="dxa"/>
              <w:bottom w:w="57" w:type="dxa"/>
              <w:right w:w="113" w:type="dxa"/>
            </w:tcMar>
          </w:tcPr>
          <w:p w:rsidRPr="00202BBF" w:rsidR="00202BBF" w:rsidP="00202BBF" w:rsidRDefault="00202BBF" w14:paraId="6476346D" w14:textId="77777777">
            <w:pPr>
              <w:pStyle w:val="tablebody"/>
              <w:jc w:val="right"/>
              <w:rPr>
                <w:sz w:val="14"/>
                <w:szCs w:val="14"/>
              </w:rPr>
            </w:pPr>
            <w:r w:rsidRPr="00202BBF">
              <w:rPr>
                <w:sz w:val="14"/>
                <w:szCs w:val="14"/>
              </w:rPr>
              <w:t xml:space="preserve">(852) </w:t>
            </w:r>
          </w:p>
        </w:tc>
        <w:tc>
          <w:tcPr>
            <w:tcW w:w="880" w:type="dxa"/>
            <w:tcBorders>
              <w:top w:val="nil"/>
              <w:left w:val="single" w:color="000000" w:sz="6" w:space="0"/>
              <w:bottom w:val="nil"/>
              <w:right w:val="nil"/>
            </w:tcBorders>
            <w:tcMar>
              <w:top w:w="28" w:type="dxa"/>
              <w:left w:w="0" w:type="dxa"/>
              <w:bottom w:w="57" w:type="dxa"/>
              <w:right w:w="0" w:type="dxa"/>
            </w:tcMar>
          </w:tcPr>
          <w:p w:rsidRPr="00202BBF" w:rsidR="00202BBF" w:rsidP="00202BBF" w:rsidRDefault="00202BBF" w14:paraId="25C62546" w14:textId="77777777">
            <w:pPr>
              <w:pStyle w:val="tablebody"/>
              <w:jc w:val="right"/>
              <w:rPr>
                <w:sz w:val="14"/>
                <w:szCs w:val="14"/>
              </w:rPr>
            </w:pPr>
            <w:r w:rsidRPr="00202BBF">
              <w:rPr>
                <w:sz w:val="14"/>
                <w:szCs w:val="14"/>
              </w:rPr>
              <w:t xml:space="preserve">(408) </w:t>
            </w:r>
          </w:p>
        </w:tc>
        <w:tc>
          <w:tcPr>
            <w:tcW w:w="709" w:type="dxa"/>
            <w:tcBorders>
              <w:top w:val="nil"/>
              <w:left w:val="nil"/>
              <w:bottom w:val="nil"/>
              <w:right w:val="nil"/>
            </w:tcBorders>
            <w:tcMar>
              <w:top w:w="28" w:type="dxa"/>
              <w:left w:w="0" w:type="dxa"/>
              <w:bottom w:w="57" w:type="dxa"/>
              <w:right w:w="0" w:type="dxa"/>
            </w:tcMar>
          </w:tcPr>
          <w:p w:rsidRPr="00202BBF" w:rsidR="00202BBF" w:rsidP="00202BBF" w:rsidRDefault="00202BBF" w14:paraId="3D90A295" w14:textId="77777777">
            <w:pPr>
              <w:pStyle w:val="tablebody"/>
              <w:jc w:val="right"/>
              <w:rPr>
                <w:sz w:val="14"/>
                <w:szCs w:val="14"/>
              </w:rPr>
            </w:pPr>
            <w:r w:rsidRPr="00202BBF">
              <w:rPr>
                <w:sz w:val="14"/>
                <w:szCs w:val="14"/>
              </w:rPr>
              <w:t xml:space="preserve">2,251 </w:t>
            </w:r>
          </w:p>
        </w:tc>
        <w:tc>
          <w:tcPr>
            <w:tcW w:w="850" w:type="dxa"/>
            <w:tcBorders>
              <w:top w:val="nil"/>
              <w:left w:val="nil"/>
              <w:bottom w:val="nil"/>
              <w:right w:val="nil"/>
            </w:tcBorders>
            <w:tcMar>
              <w:top w:w="28" w:type="dxa"/>
              <w:left w:w="0" w:type="dxa"/>
              <w:bottom w:w="57" w:type="dxa"/>
              <w:right w:w="0" w:type="dxa"/>
            </w:tcMar>
          </w:tcPr>
          <w:p w:rsidRPr="00202BBF" w:rsidR="00202BBF" w:rsidP="00202BBF" w:rsidRDefault="00202BBF" w14:paraId="70B9F1C9" w14:textId="77777777">
            <w:pPr>
              <w:pStyle w:val="tablebody"/>
              <w:jc w:val="right"/>
              <w:rPr>
                <w:sz w:val="14"/>
                <w:szCs w:val="14"/>
              </w:rPr>
            </w:pPr>
            <w:r w:rsidRPr="00202BBF">
              <w:rPr>
                <w:sz w:val="14"/>
                <w:szCs w:val="14"/>
              </w:rPr>
              <w:t xml:space="preserve">2,426 </w:t>
            </w:r>
          </w:p>
        </w:tc>
        <w:tc>
          <w:tcPr>
            <w:tcW w:w="993" w:type="dxa"/>
            <w:tcBorders>
              <w:top w:val="nil"/>
              <w:left w:val="nil"/>
              <w:bottom w:val="nil"/>
              <w:right w:val="single" w:color="000000" w:sz="6" w:space="0"/>
            </w:tcBorders>
            <w:tcMar>
              <w:top w:w="28" w:type="dxa"/>
              <w:left w:w="0" w:type="dxa"/>
              <w:bottom w:w="57" w:type="dxa"/>
              <w:right w:w="0" w:type="dxa"/>
            </w:tcMar>
          </w:tcPr>
          <w:p w:rsidRPr="00202BBF" w:rsidR="00202BBF" w:rsidP="00202BBF" w:rsidRDefault="00202BBF" w14:paraId="287DAD0C" w14:textId="77777777">
            <w:pPr>
              <w:pStyle w:val="tablebody"/>
              <w:jc w:val="right"/>
              <w:rPr>
                <w:sz w:val="14"/>
                <w:szCs w:val="14"/>
              </w:rPr>
            </w:pPr>
            <w:r w:rsidRPr="00202BBF">
              <w:rPr>
                <w:sz w:val="14"/>
                <w:szCs w:val="14"/>
              </w:rPr>
              <w:t xml:space="preserve">(583) </w:t>
            </w:r>
          </w:p>
        </w:tc>
      </w:tr>
      <w:tr w:rsidRPr="00202BBF" w:rsidR="00202BBF" w:rsidTr="00202BBF" w14:paraId="79915B2B" w14:textId="77777777">
        <w:tc>
          <w:tcPr>
            <w:tcW w:w="3261" w:type="dxa"/>
            <w:tcBorders>
              <w:top w:val="nil"/>
              <w:left w:val="nil"/>
              <w:bottom w:val="single" w:color="000000" w:sz="6" w:space="0"/>
              <w:right w:val="single" w:color="000000" w:sz="6" w:space="0"/>
            </w:tcBorders>
            <w:tcMar>
              <w:top w:w="28" w:type="dxa"/>
              <w:left w:w="0" w:type="dxa"/>
              <w:bottom w:w="57" w:type="dxa"/>
              <w:right w:w="57" w:type="dxa"/>
            </w:tcMar>
          </w:tcPr>
          <w:p w:rsidRPr="00202BBF" w:rsidR="00202BBF" w:rsidP="00202BBF" w:rsidRDefault="00202BBF" w14:paraId="413A272B" w14:textId="77777777">
            <w:pPr>
              <w:pStyle w:val="tablebody"/>
              <w:rPr>
                <w:sz w:val="14"/>
                <w:szCs w:val="14"/>
              </w:rPr>
            </w:pPr>
            <w:r w:rsidRPr="00202BBF">
              <w:rPr>
                <w:b/>
                <w:sz w:val="14"/>
                <w:szCs w:val="14"/>
              </w:rPr>
              <w:t>Sundry deposits</w:t>
            </w:r>
            <w:r w:rsidRPr="00202BBF">
              <w:rPr>
                <w:b/>
                <w:sz w:val="14"/>
                <w:szCs w:val="14"/>
              </w:rPr>
              <w:br/>
            </w:r>
            <w:r w:rsidRPr="00202BBF">
              <w:rPr>
                <w:sz w:val="14"/>
                <w:szCs w:val="14"/>
              </w:rPr>
              <w:t xml:space="preserve">Established under the </w:t>
            </w:r>
            <w:r w:rsidRPr="00202BBF">
              <w:rPr>
                <w:i/>
                <w:iCs/>
                <w:sz w:val="14"/>
                <w:szCs w:val="14"/>
              </w:rPr>
              <w:t>Financial Management Act 1994</w:t>
            </w:r>
            <w:r w:rsidRPr="00202BBF">
              <w:rPr>
                <w:sz w:val="14"/>
                <w:szCs w:val="14"/>
              </w:rPr>
              <w:t xml:space="preserve"> to hold term deposits for the Victorian Government Solicitors Office.</w:t>
            </w:r>
          </w:p>
        </w:tc>
        <w:tc>
          <w:tcPr>
            <w:tcW w:w="850" w:type="dxa"/>
            <w:tcBorders>
              <w:top w:val="nil"/>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6EFD66DF" w14:textId="77777777">
            <w:pPr>
              <w:pStyle w:val="tablebody"/>
              <w:jc w:val="right"/>
              <w:rPr>
                <w:sz w:val="14"/>
                <w:szCs w:val="14"/>
              </w:rPr>
            </w:pPr>
            <w:r w:rsidRPr="00202BBF">
              <w:rPr>
                <w:sz w:val="14"/>
                <w:szCs w:val="14"/>
              </w:rPr>
              <w:t xml:space="preserve">0 </w:t>
            </w:r>
          </w:p>
        </w:tc>
        <w:tc>
          <w:tcPr>
            <w:tcW w:w="651" w:type="dxa"/>
            <w:tcBorders>
              <w:top w:val="nil"/>
              <w:left w:val="nil"/>
              <w:bottom w:val="single" w:color="000000" w:sz="6" w:space="0"/>
              <w:right w:val="nil"/>
            </w:tcBorders>
            <w:tcMar>
              <w:top w:w="28" w:type="dxa"/>
              <w:left w:w="0" w:type="dxa"/>
              <w:bottom w:w="57" w:type="dxa"/>
              <w:right w:w="0" w:type="dxa"/>
            </w:tcMar>
          </w:tcPr>
          <w:p w:rsidRPr="00202BBF" w:rsidR="00202BBF" w:rsidP="00202BBF" w:rsidRDefault="00202BBF" w14:paraId="0A607971" w14:textId="77777777">
            <w:pPr>
              <w:pStyle w:val="tablebody"/>
              <w:jc w:val="right"/>
              <w:rPr>
                <w:sz w:val="14"/>
                <w:szCs w:val="14"/>
              </w:rPr>
            </w:pPr>
            <w:r w:rsidRPr="00202BBF">
              <w:rPr>
                <w:sz w:val="14"/>
                <w:szCs w:val="14"/>
              </w:rPr>
              <w:t xml:space="preserve">404 </w:t>
            </w:r>
          </w:p>
        </w:tc>
        <w:tc>
          <w:tcPr>
            <w:tcW w:w="794" w:type="dxa"/>
            <w:tcBorders>
              <w:top w:val="nil"/>
              <w:left w:val="nil"/>
              <w:bottom w:val="single" w:color="000000" w:sz="6" w:space="0"/>
              <w:right w:val="nil"/>
            </w:tcBorders>
            <w:tcMar>
              <w:top w:w="28" w:type="dxa"/>
              <w:left w:w="0" w:type="dxa"/>
              <w:bottom w:w="57" w:type="dxa"/>
              <w:right w:w="0" w:type="dxa"/>
            </w:tcMar>
          </w:tcPr>
          <w:p w:rsidRPr="00202BBF" w:rsidR="00202BBF" w:rsidP="00202BBF" w:rsidRDefault="00202BBF" w14:paraId="321FA46A" w14:textId="77777777">
            <w:pPr>
              <w:pStyle w:val="tablebody"/>
              <w:jc w:val="right"/>
              <w:rPr>
                <w:sz w:val="14"/>
                <w:szCs w:val="14"/>
              </w:rPr>
            </w:pPr>
            <w:r w:rsidRPr="00202BBF">
              <w:rPr>
                <w:sz w:val="14"/>
                <w:szCs w:val="14"/>
              </w:rPr>
              <w:t xml:space="preserve">0 </w:t>
            </w:r>
          </w:p>
        </w:tc>
        <w:tc>
          <w:tcPr>
            <w:tcW w:w="1077" w:type="dxa"/>
            <w:tcBorders>
              <w:top w:val="nil"/>
              <w:left w:val="nil"/>
              <w:bottom w:val="single" w:color="000000" w:sz="6" w:space="0"/>
              <w:right w:val="single" w:color="000000" w:sz="6" w:space="0"/>
            </w:tcBorders>
            <w:tcMar>
              <w:top w:w="28" w:type="dxa"/>
              <w:left w:w="0" w:type="dxa"/>
              <w:bottom w:w="57" w:type="dxa"/>
              <w:right w:w="113" w:type="dxa"/>
            </w:tcMar>
          </w:tcPr>
          <w:p w:rsidRPr="00202BBF" w:rsidR="00202BBF" w:rsidP="00202BBF" w:rsidRDefault="00202BBF" w14:paraId="02F3517A" w14:textId="77777777">
            <w:pPr>
              <w:pStyle w:val="tablebody"/>
              <w:jc w:val="right"/>
              <w:rPr>
                <w:sz w:val="14"/>
                <w:szCs w:val="14"/>
              </w:rPr>
            </w:pPr>
            <w:r w:rsidRPr="00202BBF">
              <w:rPr>
                <w:sz w:val="14"/>
                <w:szCs w:val="14"/>
              </w:rPr>
              <w:t xml:space="preserve">404 </w:t>
            </w:r>
          </w:p>
        </w:tc>
        <w:tc>
          <w:tcPr>
            <w:tcW w:w="880" w:type="dxa"/>
            <w:tcBorders>
              <w:top w:val="nil"/>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4B895610" w14:textId="77777777">
            <w:pPr>
              <w:pStyle w:val="tablebody"/>
              <w:jc w:val="right"/>
              <w:rPr>
                <w:sz w:val="14"/>
                <w:szCs w:val="14"/>
              </w:rPr>
            </w:pPr>
            <w:r w:rsidRPr="00202BBF">
              <w:rPr>
                <w:sz w:val="14"/>
                <w:szCs w:val="14"/>
              </w:rPr>
              <w:t xml:space="preserve">30 </w:t>
            </w:r>
          </w:p>
        </w:tc>
        <w:tc>
          <w:tcPr>
            <w:tcW w:w="709" w:type="dxa"/>
            <w:tcBorders>
              <w:top w:val="nil"/>
              <w:left w:val="nil"/>
              <w:bottom w:val="single" w:color="000000" w:sz="6" w:space="0"/>
              <w:right w:val="nil"/>
            </w:tcBorders>
            <w:tcMar>
              <w:top w:w="28" w:type="dxa"/>
              <w:left w:w="0" w:type="dxa"/>
              <w:bottom w:w="57" w:type="dxa"/>
              <w:right w:w="0" w:type="dxa"/>
            </w:tcMar>
          </w:tcPr>
          <w:p w:rsidRPr="00202BBF" w:rsidR="00202BBF" w:rsidP="00202BBF" w:rsidRDefault="00202BBF" w14:paraId="6EB78C1D" w14:textId="77777777">
            <w:pPr>
              <w:pStyle w:val="tablebody"/>
              <w:jc w:val="right"/>
              <w:rPr>
                <w:sz w:val="14"/>
                <w:szCs w:val="14"/>
              </w:rPr>
            </w:pPr>
            <w:r w:rsidRPr="00202BBF">
              <w:rPr>
                <w:sz w:val="14"/>
                <w:szCs w:val="14"/>
              </w:rPr>
              <w:t xml:space="preserve">0 </w:t>
            </w:r>
          </w:p>
        </w:tc>
        <w:tc>
          <w:tcPr>
            <w:tcW w:w="850" w:type="dxa"/>
            <w:tcBorders>
              <w:top w:val="nil"/>
              <w:left w:val="nil"/>
              <w:bottom w:val="single" w:color="000000" w:sz="6" w:space="0"/>
              <w:right w:val="nil"/>
            </w:tcBorders>
            <w:tcMar>
              <w:top w:w="28" w:type="dxa"/>
              <w:left w:w="0" w:type="dxa"/>
              <w:bottom w:w="57" w:type="dxa"/>
              <w:right w:w="0" w:type="dxa"/>
            </w:tcMar>
          </w:tcPr>
          <w:p w:rsidRPr="00202BBF" w:rsidR="00202BBF" w:rsidP="00202BBF" w:rsidRDefault="00202BBF" w14:paraId="12871F63" w14:textId="77777777">
            <w:pPr>
              <w:pStyle w:val="tablebody"/>
              <w:jc w:val="right"/>
              <w:rPr>
                <w:sz w:val="14"/>
                <w:szCs w:val="14"/>
              </w:rPr>
            </w:pPr>
            <w:r w:rsidRPr="00202BBF">
              <w:rPr>
                <w:sz w:val="14"/>
                <w:szCs w:val="14"/>
              </w:rPr>
              <w:t xml:space="preserve">30 </w:t>
            </w:r>
          </w:p>
        </w:tc>
        <w:tc>
          <w:tcPr>
            <w:tcW w:w="993" w:type="dxa"/>
            <w:tcBorders>
              <w:top w:val="nil"/>
              <w:left w:val="nil"/>
              <w:bottom w:val="single" w:color="000000" w:sz="6" w:space="0"/>
              <w:right w:val="single" w:color="000000" w:sz="6" w:space="0"/>
            </w:tcBorders>
            <w:tcMar>
              <w:top w:w="28" w:type="dxa"/>
              <w:left w:w="0" w:type="dxa"/>
              <w:bottom w:w="57" w:type="dxa"/>
              <w:right w:w="0" w:type="dxa"/>
            </w:tcMar>
          </w:tcPr>
          <w:p w:rsidRPr="00202BBF" w:rsidR="00202BBF" w:rsidP="00202BBF" w:rsidRDefault="00202BBF" w14:paraId="64CBCD56" w14:textId="77777777">
            <w:pPr>
              <w:pStyle w:val="tablebody"/>
              <w:jc w:val="right"/>
              <w:rPr>
                <w:sz w:val="14"/>
                <w:szCs w:val="14"/>
              </w:rPr>
            </w:pPr>
            <w:r w:rsidRPr="00202BBF">
              <w:rPr>
                <w:sz w:val="14"/>
                <w:szCs w:val="14"/>
              </w:rPr>
              <w:t xml:space="preserve">0 </w:t>
            </w:r>
          </w:p>
        </w:tc>
      </w:tr>
      <w:tr w:rsidRPr="00202BBF" w:rsidR="00202BBF" w:rsidTr="00202BBF" w14:paraId="13A94829" w14:textId="77777777">
        <w:tc>
          <w:tcPr>
            <w:tcW w:w="3261" w:type="dxa"/>
            <w:tcBorders>
              <w:top w:val="single" w:color="000000" w:sz="6" w:space="0"/>
              <w:left w:val="nil"/>
              <w:bottom w:val="single" w:color="000000" w:sz="6" w:space="0"/>
              <w:right w:val="single" w:color="000000" w:sz="6" w:space="0"/>
            </w:tcBorders>
            <w:tcMar>
              <w:top w:w="28" w:type="dxa"/>
              <w:left w:w="0" w:type="dxa"/>
              <w:bottom w:w="57" w:type="dxa"/>
              <w:right w:w="57" w:type="dxa"/>
            </w:tcMar>
          </w:tcPr>
          <w:p w:rsidRPr="00202BBF" w:rsidR="00202BBF" w:rsidP="00202BBF" w:rsidRDefault="00202BBF" w14:paraId="58637549" w14:textId="77777777">
            <w:pPr>
              <w:pStyle w:val="tablebody"/>
              <w:rPr>
                <w:b/>
                <w:sz w:val="14"/>
                <w:szCs w:val="14"/>
              </w:rPr>
            </w:pPr>
            <w:r w:rsidRPr="00202BBF">
              <w:rPr>
                <w:b/>
                <w:sz w:val="14"/>
                <w:szCs w:val="14"/>
              </w:rPr>
              <w:t>Total administered trusts</w:t>
            </w:r>
          </w:p>
        </w:tc>
        <w:tc>
          <w:tcPr>
            <w:tcW w:w="850" w:type="dxa"/>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7A974450" w14:textId="77777777">
            <w:pPr>
              <w:pStyle w:val="tablebody"/>
              <w:jc w:val="right"/>
              <w:rPr>
                <w:b/>
                <w:sz w:val="14"/>
                <w:szCs w:val="14"/>
              </w:rPr>
            </w:pPr>
            <w:r w:rsidRPr="00202BBF">
              <w:rPr>
                <w:b/>
                <w:sz w:val="14"/>
                <w:szCs w:val="14"/>
              </w:rPr>
              <w:t xml:space="preserve">26,470 </w:t>
            </w:r>
          </w:p>
        </w:tc>
        <w:tc>
          <w:tcPr>
            <w:tcW w:w="651" w:type="dxa"/>
            <w:tcBorders>
              <w:top w:val="single" w:color="000000" w:sz="6" w:space="0"/>
              <w:left w:val="nil"/>
              <w:bottom w:val="single" w:color="000000" w:sz="6" w:space="0"/>
              <w:right w:val="nil"/>
            </w:tcBorders>
            <w:tcMar>
              <w:top w:w="28" w:type="dxa"/>
              <w:left w:w="0" w:type="dxa"/>
              <w:bottom w:w="57" w:type="dxa"/>
              <w:right w:w="0" w:type="dxa"/>
            </w:tcMar>
          </w:tcPr>
          <w:p w:rsidRPr="00202BBF" w:rsidR="00202BBF" w:rsidP="00202BBF" w:rsidRDefault="00202BBF" w14:paraId="1824A641" w14:textId="77777777">
            <w:pPr>
              <w:pStyle w:val="tablebody"/>
              <w:jc w:val="right"/>
              <w:rPr>
                <w:b/>
                <w:sz w:val="14"/>
                <w:szCs w:val="14"/>
              </w:rPr>
            </w:pPr>
            <w:r w:rsidRPr="00202BBF">
              <w:rPr>
                <w:b/>
                <w:sz w:val="14"/>
                <w:szCs w:val="14"/>
              </w:rPr>
              <w:t xml:space="preserve">241,991 </w:t>
            </w:r>
          </w:p>
        </w:tc>
        <w:tc>
          <w:tcPr>
            <w:tcW w:w="794" w:type="dxa"/>
            <w:tcBorders>
              <w:top w:val="single" w:color="000000" w:sz="6" w:space="0"/>
              <w:left w:val="nil"/>
              <w:bottom w:val="single" w:color="000000" w:sz="6" w:space="0"/>
              <w:right w:val="nil"/>
            </w:tcBorders>
            <w:tcMar>
              <w:top w:w="28" w:type="dxa"/>
              <w:left w:w="0" w:type="dxa"/>
              <w:bottom w:w="57" w:type="dxa"/>
              <w:right w:w="0" w:type="dxa"/>
            </w:tcMar>
          </w:tcPr>
          <w:p w:rsidRPr="00202BBF" w:rsidR="00202BBF" w:rsidP="00202BBF" w:rsidRDefault="00202BBF" w14:paraId="510AC263" w14:textId="77777777">
            <w:pPr>
              <w:pStyle w:val="tablebody"/>
              <w:jc w:val="right"/>
              <w:rPr>
                <w:b/>
                <w:sz w:val="14"/>
                <w:szCs w:val="14"/>
              </w:rPr>
            </w:pPr>
            <w:r w:rsidRPr="00202BBF">
              <w:rPr>
                <w:b/>
                <w:sz w:val="14"/>
                <w:szCs w:val="14"/>
              </w:rPr>
              <w:t xml:space="preserve">193,270 </w:t>
            </w:r>
          </w:p>
        </w:tc>
        <w:tc>
          <w:tcPr>
            <w:tcW w:w="1077" w:type="dxa"/>
            <w:tcBorders>
              <w:top w:val="single" w:color="000000" w:sz="6" w:space="0"/>
              <w:left w:val="nil"/>
              <w:bottom w:val="single" w:color="000000" w:sz="6" w:space="0"/>
              <w:right w:val="single" w:color="000000" w:sz="6" w:space="0"/>
            </w:tcBorders>
            <w:tcMar>
              <w:top w:w="28" w:type="dxa"/>
              <w:left w:w="0" w:type="dxa"/>
              <w:bottom w:w="57" w:type="dxa"/>
              <w:right w:w="113" w:type="dxa"/>
            </w:tcMar>
          </w:tcPr>
          <w:p w:rsidRPr="00202BBF" w:rsidR="00202BBF" w:rsidP="00202BBF" w:rsidRDefault="00202BBF" w14:paraId="24D02157" w14:textId="77777777">
            <w:pPr>
              <w:pStyle w:val="tablebody"/>
              <w:jc w:val="right"/>
              <w:rPr>
                <w:b/>
                <w:sz w:val="14"/>
                <w:szCs w:val="14"/>
              </w:rPr>
            </w:pPr>
            <w:r w:rsidRPr="00202BBF">
              <w:rPr>
                <w:b/>
                <w:sz w:val="14"/>
                <w:szCs w:val="14"/>
              </w:rPr>
              <w:t xml:space="preserve">75,191 </w:t>
            </w:r>
          </w:p>
        </w:tc>
        <w:tc>
          <w:tcPr>
            <w:tcW w:w="880" w:type="dxa"/>
            <w:tcBorders>
              <w:top w:val="single" w:color="000000" w:sz="6" w:space="0"/>
              <w:left w:val="single" w:color="000000" w:sz="6" w:space="0"/>
              <w:bottom w:val="single" w:color="000000" w:sz="6" w:space="0"/>
              <w:right w:val="nil"/>
            </w:tcBorders>
            <w:tcMar>
              <w:top w:w="28" w:type="dxa"/>
              <w:left w:w="0" w:type="dxa"/>
              <w:bottom w:w="57" w:type="dxa"/>
              <w:right w:w="0" w:type="dxa"/>
            </w:tcMar>
          </w:tcPr>
          <w:p w:rsidRPr="00202BBF" w:rsidR="00202BBF" w:rsidP="00202BBF" w:rsidRDefault="00202BBF" w14:paraId="5F9BC41F" w14:textId="77777777">
            <w:pPr>
              <w:pStyle w:val="tablebody"/>
              <w:jc w:val="right"/>
              <w:rPr>
                <w:b/>
                <w:sz w:val="14"/>
                <w:szCs w:val="14"/>
              </w:rPr>
            </w:pPr>
            <w:r w:rsidRPr="00202BBF">
              <w:rPr>
                <w:b/>
                <w:sz w:val="14"/>
                <w:szCs w:val="14"/>
              </w:rPr>
              <w:t xml:space="preserve">29,571 </w:t>
            </w:r>
          </w:p>
        </w:tc>
        <w:tc>
          <w:tcPr>
            <w:tcW w:w="709" w:type="dxa"/>
            <w:tcBorders>
              <w:top w:val="single" w:color="000000" w:sz="6" w:space="0"/>
              <w:left w:val="nil"/>
              <w:bottom w:val="single" w:color="000000" w:sz="6" w:space="0"/>
              <w:right w:val="nil"/>
            </w:tcBorders>
            <w:tcMar>
              <w:top w:w="28" w:type="dxa"/>
              <w:left w:w="0" w:type="dxa"/>
              <w:bottom w:w="57" w:type="dxa"/>
              <w:right w:w="0" w:type="dxa"/>
            </w:tcMar>
          </w:tcPr>
          <w:p w:rsidRPr="00202BBF" w:rsidR="00202BBF" w:rsidP="00202BBF" w:rsidRDefault="00202BBF" w14:paraId="75BFB7F8" w14:textId="77777777">
            <w:pPr>
              <w:pStyle w:val="tablebody"/>
              <w:jc w:val="right"/>
              <w:rPr>
                <w:b/>
                <w:sz w:val="14"/>
                <w:szCs w:val="14"/>
              </w:rPr>
            </w:pPr>
            <w:r w:rsidRPr="00202BBF">
              <w:rPr>
                <w:b/>
                <w:sz w:val="14"/>
                <w:szCs w:val="14"/>
              </w:rPr>
              <w:t xml:space="preserve">139,137 </w:t>
            </w:r>
          </w:p>
        </w:tc>
        <w:tc>
          <w:tcPr>
            <w:tcW w:w="850" w:type="dxa"/>
            <w:tcBorders>
              <w:top w:val="single" w:color="000000" w:sz="6" w:space="0"/>
              <w:left w:val="nil"/>
              <w:bottom w:val="single" w:color="000000" w:sz="6" w:space="0"/>
              <w:right w:val="nil"/>
            </w:tcBorders>
            <w:tcMar>
              <w:top w:w="28" w:type="dxa"/>
              <w:left w:w="0" w:type="dxa"/>
              <w:bottom w:w="57" w:type="dxa"/>
              <w:right w:w="0" w:type="dxa"/>
            </w:tcMar>
          </w:tcPr>
          <w:p w:rsidRPr="00202BBF" w:rsidR="00202BBF" w:rsidP="00202BBF" w:rsidRDefault="00202BBF" w14:paraId="570195B6" w14:textId="77777777">
            <w:pPr>
              <w:pStyle w:val="tablebody"/>
              <w:jc w:val="right"/>
              <w:rPr>
                <w:b/>
                <w:sz w:val="14"/>
                <w:szCs w:val="14"/>
              </w:rPr>
            </w:pPr>
            <w:r w:rsidRPr="00202BBF">
              <w:rPr>
                <w:b/>
                <w:sz w:val="14"/>
                <w:szCs w:val="14"/>
              </w:rPr>
              <w:t xml:space="preserve">142,238 </w:t>
            </w:r>
          </w:p>
        </w:tc>
        <w:tc>
          <w:tcPr>
            <w:tcW w:w="993" w:type="dxa"/>
            <w:tcBorders>
              <w:top w:val="single" w:color="000000" w:sz="6" w:space="0"/>
              <w:left w:val="nil"/>
              <w:bottom w:val="single" w:color="000000" w:sz="6" w:space="0"/>
              <w:right w:val="single" w:color="000000" w:sz="6" w:space="0"/>
            </w:tcBorders>
            <w:tcMar>
              <w:top w:w="28" w:type="dxa"/>
              <w:left w:w="0" w:type="dxa"/>
              <w:bottom w:w="57" w:type="dxa"/>
              <w:right w:w="0" w:type="dxa"/>
            </w:tcMar>
          </w:tcPr>
          <w:p w:rsidRPr="00202BBF" w:rsidR="00202BBF" w:rsidP="00202BBF" w:rsidRDefault="00202BBF" w14:paraId="72D94141" w14:textId="77777777">
            <w:pPr>
              <w:pStyle w:val="tablebody"/>
              <w:jc w:val="right"/>
              <w:rPr>
                <w:b/>
                <w:sz w:val="14"/>
                <w:szCs w:val="14"/>
              </w:rPr>
            </w:pPr>
            <w:r w:rsidRPr="00202BBF">
              <w:rPr>
                <w:b/>
                <w:sz w:val="14"/>
                <w:szCs w:val="14"/>
              </w:rPr>
              <w:t xml:space="preserve">26,470 </w:t>
            </w:r>
          </w:p>
        </w:tc>
      </w:tr>
    </w:tbl>
    <w:p w:rsidRPr="00547CE1" w:rsidR="00547CE1" w:rsidP="00547CE1" w:rsidRDefault="00547CE1" w14:paraId="7329154D" w14:textId="77777777"/>
    <w:p w:rsidRPr="00202BBF" w:rsidR="00202BBF" w:rsidP="00202BBF" w:rsidRDefault="00202BBF" w14:paraId="60200DEC" w14:textId="77777777">
      <w:pPr>
        <w:pStyle w:val="Heading4"/>
      </w:pPr>
      <w:r w:rsidRPr="00202BBF">
        <w:t>Third party funds under management</w:t>
      </w:r>
    </w:p>
    <w:p w:rsidRPr="00202BBF" w:rsidR="00202BBF" w:rsidP="00202BBF" w:rsidRDefault="00202BBF" w14:paraId="7E681176" w14:textId="7739D5E0">
      <w:r w:rsidRPr="00202BBF">
        <w:t>Third party funds under management are funds held in trust for certain clients.  They are not used for government purposes and therefore are not included in the department’s financial statements.  Any earnings on the funds held pending distribution are also applied to the trust funds under management as appropriate.</w:t>
      </w:r>
    </w:p>
    <w:tbl>
      <w:tblPr>
        <w:tblW w:w="0" w:type="auto"/>
        <w:tblLayout w:type="fixed"/>
        <w:tblCellMar>
          <w:left w:w="0" w:type="dxa"/>
          <w:right w:w="0" w:type="dxa"/>
        </w:tblCellMar>
        <w:tblLook w:firstRow="1" w:lastRow="0" w:firstColumn="0" w:lastColumn="0" w:noHBand="0" w:noVBand="0" w:val="0020"/>
      </w:tblPr>
      <w:tblGrid>
        <w:gridCol w:w="7087"/>
        <w:gridCol w:w="1417"/>
        <w:gridCol w:w="1417"/>
      </w:tblGrid>
      <w:tr w:rsidRPr="00202BBF" w:rsidR="00202BBF" w:rsidTr="00202BBF" w14:paraId="45467DBC" w14:textId="77777777">
        <w:trPr>
          <w:tblHeader/>
        </w:trPr>
        <w:tc>
          <w:tcPr>
            <w:tcW w:w="9921" w:type="dxa"/>
            <w:gridSpan w:val="3"/>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972D446" w14:textId="77777777">
            <w:pPr>
              <w:pStyle w:val="tablebody"/>
              <w:rPr>
                <w:b/>
              </w:rPr>
            </w:pPr>
            <w:r w:rsidRPr="00202BBF">
              <w:rPr>
                <w:b/>
              </w:rPr>
              <w:t>($ thousand)</w:t>
            </w:r>
          </w:p>
        </w:tc>
      </w:tr>
      <w:tr w:rsidRPr="00202BBF" w:rsidR="00202BBF" w:rsidTr="00202BBF" w14:paraId="6CECE2F8" w14:textId="77777777">
        <w:trPr>
          <w:tblHeader/>
        </w:trPr>
        <w:tc>
          <w:tcPr>
            <w:tcW w:w="708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3C527C53" w14:textId="77777777">
            <w:pPr>
              <w:pStyle w:val="tablebody"/>
              <w:rPr>
                <w:b/>
              </w:rPr>
            </w:pP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43784CA0" w14:textId="77777777">
            <w:pPr>
              <w:pStyle w:val="tablebody"/>
              <w:jc w:val="right"/>
              <w:rPr>
                <w:b/>
              </w:rPr>
            </w:pPr>
            <w:r w:rsidRPr="00202BBF">
              <w:rPr>
                <w:b/>
              </w:rPr>
              <w:t>2019</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920731C" w14:textId="77777777">
            <w:pPr>
              <w:pStyle w:val="tablebody"/>
              <w:jc w:val="right"/>
              <w:rPr>
                <w:b/>
              </w:rPr>
            </w:pPr>
            <w:r w:rsidRPr="00202BBF">
              <w:rPr>
                <w:b/>
              </w:rPr>
              <w:t>2018</w:t>
            </w:r>
          </w:p>
        </w:tc>
      </w:tr>
      <w:tr w:rsidRPr="00202BBF" w:rsidR="00202BBF" w:rsidTr="00202BBF" w14:paraId="728C64C8" w14:textId="77777777">
        <w:tc>
          <w:tcPr>
            <w:tcW w:w="708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56CC3037" w14:textId="77777777">
            <w:pPr>
              <w:pStyle w:val="tablebody"/>
              <w:rPr>
                <w:b/>
              </w:rPr>
            </w:pPr>
            <w:r w:rsidRPr="00202BBF">
              <w:rPr>
                <w:b/>
              </w:rPr>
              <w:t>Prisoner private monies</w:t>
            </w: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72628C03" w14:textId="77777777">
            <w:pPr>
              <w:pStyle w:val="tablebody"/>
              <w:jc w:val="right"/>
              <w:rPr>
                <w:b/>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49A24DB8" w14:textId="77777777">
            <w:pPr>
              <w:pStyle w:val="tablebody"/>
              <w:jc w:val="right"/>
              <w:rPr>
                <w:b/>
              </w:rPr>
            </w:pPr>
          </w:p>
        </w:tc>
      </w:tr>
      <w:tr w:rsidRPr="00202BBF" w:rsidR="00202BBF" w:rsidTr="00202BBF" w14:paraId="243F76ED" w14:textId="77777777">
        <w:tc>
          <w:tcPr>
            <w:tcW w:w="708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0F033DCD" w14:textId="77777777">
            <w:pPr>
              <w:pStyle w:val="tablebody"/>
            </w:pPr>
            <w:r w:rsidRPr="00202BBF">
              <w:t>Cash</w:t>
            </w:r>
          </w:p>
        </w:tc>
        <w:tc>
          <w:tcPr>
            <w:tcW w:w="141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0A669FBE" w14:textId="77777777">
            <w:pPr>
              <w:pStyle w:val="tablebody"/>
              <w:jc w:val="right"/>
            </w:pPr>
            <w:r w:rsidRPr="00202BBF">
              <w:t xml:space="preserve">5,947 </w:t>
            </w:r>
          </w:p>
        </w:tc>
        <w:tc>
          <w:tcPr>
            <w:tcW w:w="141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1E0AED54" w14:textId="77777777">
            <w:pPr>
              <w:pStyle w:val="tablebody"/>
              <w:jc w:val="right"/>
            </w:pPr>
            <w:r w:rsidRPr="00202BBF">
              <w:t xml:space="preserve">5,610 </w:t>
            </w:r>
          </w:p>
        </w:tc>
      </w:tr>
      <w:tr w:rsidRPr="00202BBF" w:rsidR="00202BBF" w:rsidTr="00202BBF" w14:paraId="4AC81A5E" w14:textId="77777777">
        <w:tc>
          <w:tcPr>
            <w:tcW w:w="708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31C2198C" w14:textId="77777777">
            <w:pPr>
              <w:pStyle w:val="tablebody"/>
            </w:pPr>
            <w:r w:rsidRPr="00202BBF">
              <w:t>Amounts owing to prisoners</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E5AD337" w14:textId="77777777">
            <w:pPr>
              <w:pStyle w:val="tablebody"/>
              <w:jc w:val="right"/>
            </w:pPr>
            <w:r w:rsidRPr="00202BBF">
              <w:t xml:space="preserve">(5,947)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D65F07E" w14:textId="77777777">
            <w:pPr>
              <w:pStyle w:val="tablebody"/>
              <w:jc w:val="right"/>
            </w:pPr>
            <w:r w:rsidRPr="00202BBF">
              <w:t xml:space="preserve">(5,610) </w:t>
            </w:r>
          </w:p>
        </w:tc>
      </w:tr>
      <w:tr w:rsidRPr="00202BBF" w:rsidR="00202BBF" w:rsidTr="00202BBF" w14:paraId="42D6DB12" w14:textId="77777777">
        <w:tc>
          <w:tcPr>
            <w:tcW w:w="708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79A86714" w14:textId="77777777">
            <w:pPr>
              <w:pStyle w:val="tablebody"/>
            </w:pP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4C876FCA" w14:textId="77777777">
            <w:pPr>
              <w:pStyle w:val="tablebody"/>
              <w:jc w:val="right"/>
            </w:pPr>
            <w:r w:rsidRPr="00202BBF">
              <w:t xml:space="preserve">0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02D8663D" w14:textId="77777777">
            <w:pPr>
              <w:pStyle w:val="tablebody"/>
              <w:jc w:val="right"/>
            </w:pPr>
            <w:r w:rsidRPr="00202BBF">
              <w:t xml:space="preserve">0 </w:t>
            </w:r>
          </w:p>
        </w:tc>
      </w:tr>
      <w:tr w:rsidRPr="00202BBF" w:rsidR="00202BBF" w:rsidTr="00202BBF" w14:paraId="0DE4BB2E" w14:textId="77777777">
        <w:tc>
          <w:tcPr>
            <w:tcW w:w="708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479F2220" w14:textId="77777777">
            <w:pPr>
              <w:pStyle w:val="tablebody"/>
              <w:rPr>
                <w:b/>
              </w:rPr>
            </w:pPr>
            <w:r w:rsidRPr="00202BBF">
              <w:rPr>
                <w:b/>
              </w:rPr>
              <w:t>Prisoner compensation quarantine</w:t>
            </w: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3EECF546" w14:textId="77777777">
            <w:pPr>
              <w:pStyle w:val="tablebody"/>
              <w:jc w:val="right"/>
              <w:rPr>
                <w:b/>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202BBF" w:rsidR="00202BBF" w:rsidP="00202BBF" w:rsidRDefault="00202BBF" w14:paraId="238A5B7E" w14:textId="77777777">
            <w:pPr>
              <w:pStyle w:val="tablebody"/>
              <w:jc w:val="right"/>
              <w:rPr>
                <w:b/>
              </w:rPr>
            </w:pPr>
          </w:p>
        </w:tc>
      </w:tr>
      <w:tr w:rsidRPr="00202BBF" w:rsidR="00202BBF" w:rsidTr="00202BBF" w14:paraId="0A5595DD" w14:textId="77777777">
        <w:tc>
          <w:tcPr>
            <w:tcW w:w="708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1AED955A" w14:textId="77777777">
            <w:pPr>
              <w:pStyle w:val="tablebody"/>
            </w:pPr>
            <w:r w:rsidRPr="00202BBF">
              <w:t>Cash</w:t>
            </w:r>
          </w:p>
        </w:tc>
        <w:tc>
          <w:tcPr>
            <w:tcW w:w="141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278755AB" w14:textId="77777777">
            <w:pPr>
              <w:pStyle w:val="tablebody"/>
              <w:jc w:val="right"/>
            </w:pPr>
            <w:r w:rsidRPr="00202BBF">
              <w:t xml:space="preserve">347 </w:t>
            </w:r>
          </w:p>
        </w:tc>
        <w:tc>
          <w:tcPr>
            <w:tcW w:w="1417" w:type="dxa"/>
            <w:tcBorders>
              <w:top w:val="nil"/>
              <w:left w:val="nil"/>
              <w:bottom w:val="nil"/>
              <w:right w:val="nil"/>
            </w:tcBorders>
            <w:tcMar>
              <w:top w:w="28" w:type="dxa"/>
              <w:left w:w="0" w:type="dxa"/>
              <w:bottom w:w="57" w:type="dxa"/>
              <w:right w:w="0" w:type="dxa"/>
            </w:tcMar>
            <w:vAlign w:val="bottom"/>
          </w:tcPr>
          <w:p w:rsidRPr="00202BBF" w:rsidR="00202BBF" w:rsidP="00202BBF" w:rsidRDefault="00202BBF" w14:paraId="0DEE4EE6" w14:textId="77777777">
            <w:pPr>
              <w:pStyle w:val="tablebody"/>
              <w:jc w:val="right"/>
            </w:pPr>
            <w:r w:rsidRPr="00202BBF">
              <w:t xml:space="preserve">325 </w:t>
            </w:r>
          </w:p>
        </w:tc>
      </w:tr>
      <w:tr w:rsidRPr="00202BBF" w:rsidR="00202BBF" w:rsidTr="00202BBF" w14:paraId="0EB6BED0" w14:textId="77777777">
        <w:tc>
          <w:tcPr>
            <w:tcW w:w="708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1062FDA1" w14:textId="77777777">
            <w:pPr>
              <w:pStyle w:val="tablebody"/>
            </w:pPr>
            <w:r w:rsidRPr="00202BBF">
              <w:t>Amounts owing to prisoners</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40A8C1C2" w14:textId="77777777">
            <w:pPr>
              <w:pStyle w:val="tablebody"/>
              <w:jc w:val="right"/>
            </w:pPr>
            <w:r w:rsidRPr="00202BBF">
              <w:t xml:space="preserve">(347)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251E1921" w14:textId="77777777">
            <w:pPr>
              <w:pStyle w:val="tablebody"/>
              <w:jc w:val="right"/>
            </w:pPr>
            <w:r w:rsidRPr="00202BBF">
              <w:t xml:space="preserve">(325) </w:t>
            </w:r>
          </w:p>
        </w:tc>
      </w:tr>
      <w:tr w:rsidRPr="00202BBF" w:rsidR="00202BBF" w:rsidTr="00202BBF" w14:paraId="5B593640" w14:textId="77777777">
        <w:tc>
          <w:tcPr>
            <w:tcW w:w="708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13C2F168" w14:textId="77777777">
            <w:pPr>
              <w:pStyle w:val="tablebody"/>
            </w:pP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38B3CCF7" w14:textId="77777777">
            <w:pPr>
              <w:pStyle w:val="tablebody"/>
              <w:jc w:val="right"/>
            </w:pPr>
            <w:r w:rsidRPr="00202BBF">
              <w:t xml:space="preserve">0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202BBF" w:rsidR="00202BBF" w:rsidP="00202BBF" w:rsidRDefault="00202BBF" w14:paraId="64CB03AF" w14:textId="77777777">
            <w:pPr>
              <w:pStyle w:val="tablebody"/>
              <w:jc w:val="right"/>
            </w:pPr>
            <w:r w:rsidRPr="00202BBF">
              <w:t xml:space="preserve">0 </w:t>
            </w:r>
          </w:p>
        </w:tc>
      </w:tr>
    </w:tbl>
    <w:p w:rsidRPr="00202BBF" w:rsidR="00202BBF" w:rsidP="00202BBF" w:rsidRDefault="00202BBF" w14:paraId="088321C0" w14:textId="77777777"/>
    <w:p w:rsidR="00202BBF" w:rsidRDefault="00202BBF" w14:paraId="5FF4968B" w14:textId="00CEDA01">
      <w:pPr>
        <w:spacing w:after="0"/>
        <w:rPr>
          <w:lang w:val="en-AU"/>
        </w:rPr>
      </w:pPr>
      <w:r>
        <w:rPr>
          <w:lang w:val="en-AU"/>
        </w:rPr>
        <w:br w:type="page"/>
      </w:r>
    </w:p>
    <w:p w:rsidRPr="00056E91" w:rsidR="00056E91" w:rsidP="00056E91" w:rsidRDefault="00056E91" w14:paraId="0222A1DB" w14:textId="5D91B997">
      <w:pPr>
        <w:pStyle w:val="Heading3"/>
      </w:pPr>
      <w:r w:rsidRPr="00056E91">
        <w:lastRenderedPageBreak/>
        <w:t>7.5 Commitments for expenditure</w:t>
      </w:r>
    </w:p>
    <w:p w:rsidRPr="00056E91" w:rsidR="00056E91" w:rsidP="00056E91" w:rsidRDefault="00056E91" w14:paraId="05A7FC0B" w14:textId="77777777">
      <w:r w:rsidRPr="00056E91">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Pr="00056E91" w:rsidR="00056E91" w:rsidP="00056E91" w:rsidRDefault="00056E91" w14:paraId="0BF4CAAF" w14:textId="3A89BFA8">
      <w:pPr>
        <w:pStyle w:val="Heading4"/>
      </w:pPr>
      <w:r w:rsidRPr="00056E91">
        <w:t>7.5.1 Total commitments payable</w:t>
      </w:r>
    </w:p>
    <w:tbl>
      <w:tblPr>
        <w:tblW w:w="0" w:type="auto"/>
        <w:tblLayout w:type="fixed"/>
        <w:tblCellMar>
          <w:left w:w="0" w:type="dxa"/>
          <w:right w:w="0" w:type="dxa"/>
        </w:tblCellMar>
        <w:tblLook w:firstRow="1" w:lastRow="0" w:firstColumn="0" w:lastColumn="0" w:noHBand="0" w:noVBand="0" w:val="0020"/>
      </w:tblPr>
      <w:tblGrid>
        <w:gridCol w:w="4252"/>
        <w:gridCol w:w="1417"/>
        <w:gridCol w:w="1418"/>
        <w:gridCol w:w="1417"/>
        <w:gridCol w:w="1417"/>
      </w:tblGrid>
      <w:tr w:rsidRPr="00056E91" w:rsidR="00056E91" w:rsidTr="00056E91" w14:paraId="22B79C20" w14:textId="77777777">
        <w:trPr>
          <w:tblHeader/>
        </w:trPr>
        <w:tc>
          <w:tcPr>
            <w:tcW w:w="425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91059E0" w14:textId="77777777">
            <w:pPr>
              <w:pStyle w:val="tablebody"/>
              <w:rPr>
                <w:b/>
                <w:lang w:val="en-US"/>
              </w:rPr>
            </w:pP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354D4B6" w14:textId="77777777">
            <w:pPr>
              <w:pStyle w:val="tablebody"/>
              <w:jc w:val="right"/>
              <w:rPr>
                <w:b/>
                <w:lang w:val="en-US"/>
              </w:rPr>
            </w:pPr>
          </w:p>
        </w:tc>
        <w:tc>
          <w:tcPr>
            <w:tcW w:w="1418"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870FC52" w14:textId="77777777">
            <w:pPr>
              <w:pStyle w:val="tablebody"/>
              <w:jc w:val="right"/>
              <w:rPr>
                <w:b/>
                <w:lang w:val="en-US"/>
              </w:rPr>
            </w:pP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18CA416" w14:textId="77777777">
            <w:pPr>
              <w:pStyle w:val="tablebody"/>
              <w:jc w:val="right"/>
              <w:rPr>
                <w:b/>
                <w:lang w:val="en-US"/>
              </w:rPr>
            </w:pP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B7FD913" w14:textId="77777777">
            <w:pPr>
              <w:pStyle w:val="tablebody"/>
              <w:jc w:val="right"/>
              <w:rPr>
                <w:b/>
              </w:rPr>
            </w:pPr>
            <w:r w:rsidRPr="00056E91">
              <w:rPr>
                <w:b/>
              </w:rPr>
              <w:t>($ thousand)</w:t>
            </w:r>
          </w:p>
        </w:tc>
      </w:tr>
      <w:tr w:rsidRPr="00056E91" w:rsidR="00056E91" w:rsidTr="00056E91" w14:paraId="30CAB720" w14:textId="77777777">
        <w:trPr>
          <w:tblHeader/>
        </w:trPr>
        <w:tc>
          <w:tcPr>
            <w:tcW w:w="425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8ED3297" w14:textId="77777777">
            <w:pPr>
              <w:pStyle w:val="tablebody"/>
              <w:rPr>
                <w:b/>
              </w:rPr>
            </w:pPr>
            <w:r w:rsidRPr="00056E91">
              <w:rPr>
                <w:b/>
              </w:rPr>
              <w:t>Nominal values</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EBAC92F" w14:textId="77777777">
            <w:pPr>
              <w:pStyle w:val="tablebody"/>
              <w:jc w:val="right"/>
              <w:rPr>
                <w:b/>
              </w:rPr>
            </w:pPr>
            <w:r w:rsidRPr="00056E91">
              <w:rPr>
                <w:b/>
              </w:rPr>
              <w:t xml:space="preserve">Less than </w:t>
            </w:r>
            <w:r w:rsidRPr="00056E91">
              <w:rPr>
                <w:b/>
              </w:rPr>
              <w:br/>
              <w:t>1 year</w:t>
            </w:r>
          </w:p>
        </w:tc>
        <w:tc>
          <w:tcPr>
            <w:tcW w:w="14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EC4F382" w14:textId="77777777">
            <w:pPr>
              <w:pStyle w:val="tablebody"/>
              <w:jc w:val="right"/>
              <w:rPr>
                <w:b/>
              </w:rPr>
            </w:pPr>
            <w:r w:rsidRPr="00056E91">
              <w:rPr>
                <w:b/>
              </w:rPr>
              <w:t>1 to 5 years</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4BE7721" w14:textId="77777777">
            <w:pPr>
              <w:pStyle w:val="tablebody"/>
              <w:jc w:val="right"/>
              <w:rPr>
                <w:b/>
              </w:rPr>
            </w:pPr>
            <w:r w:rsidRPr="00056E91">
              <w:rPr>
                <w:b/>
              </w:rPr>
              <w:t xml:space="preserve">More than </w:t>
            </w:r>
            <w:r w:rsidRPr="00056E91">
              <w:rPr>
                <w:b/>
              </w:rPr>
              <w:br/>
              <w:t>5 years</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9ECE99C" w14:textId="77777777">
            <w:pPr>
              <w:pStyle w:val="tablebody"/>
              <w:jc w:val="right"/>
              <w:rPr>
                <w:b/>
              </w:rPr>
            </w:pPr>
            <w:r w:rsidRPr="00056E91">
              <w:rPr>
                <w:b/>
              </w:rPr>
              <w:t>Total</w:t>
            </w:r>
          </w:p>
        </w:tc>
      </w:tr>
      <w:tr w:rsidRPr="00056E91" w:rsidR="00056E91" w:rsidTr="00056E91" w14:paraId="2A345931" w14:textId="77777777">
        <w:tc>
          <w:tcPr>
            <w:tcW w:w="425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6BE01BF7" w14:textId="77777777">
            <w:pPr>
              <w:pStyle w:val="tablebody"/>
              <w:rPr>
                <w:b/>
              </w:rPr>
            </w:pPr>
            <w:r w:rsidRPr="00056E91">
              <w:rPr>
                <w:b/>
              </w:rPr>
              <w:t>2019</w:t>
            </w: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0F9DCEAA" w14:textId="77777777">
            <w:pPr>
              <w:pStyle w:val="tablebody"/>
              <w:jc w:val="right"/>
              <w:rPr>
                <w:b/>
                <w:lang w:val="en-US"/>
              </w:rPr>
            </w:pPr>
          </w:p>
        </w:tc>
        <w:tc>
          <w:tcPr>
            <w:tcW w:w="1418"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340E1405" w14:textId="77777777">
            <w:pPr>
              <w:pStyle w:val="tablebody"/>
              <w:jc w:val="right"/>
              <w:rPr>
                <w:b/>
                <w:lang w:val="en-US"/>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1B22C981" w14:textId="77777777">
            <w:pPr>
              <w:pStyle w:val="tablebody"/>
              <w:jc w:val="right"/>
              <w:rPr>
                <w:b/>
                <w:lang w:val="en-US"/>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20990A7E" w14:textId="77777777">
            <w:pPr>
              <w:pStyle w:val="tablebody"/>
              <w:jc w:val="right"/>
              <w:rPr>
                <w:b/>
                <w:lang w:val="en-US"/>
              </w:rPr>
            </w:pPr>
          </w:p>
        </w:tc>
      </w:tr>
      <w:tr w:rsidRPr="00056E91" w:rsidR="00056E91" w:rsidTr="00056E91" w14:paraId="37C87377"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54E8957" w14:textId="77777777">
            <w:pPr>
              <w:pStyle w:val="tablebody"/>
            </w:pPr>
            <w:r w:rsidRPr="00056E91">
              <w:t>PPP commitments (note 7.5.2)</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0F78E99" w14:textId="77777777">
            <w:pPr>
              <w:pStyle w:val="tablebody"/>
              <w:jc w:val="right"/>
            </w:pPr>
            <w:r w:rsidRPr="00056E91">
              <w:t xml:space="preserve">431,363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54263BB4" w14:textId="77777777">
            <w:pPr>
              <w:pStyle w:val="tablebody"/>
              <w:jc w:val="right"/>
            </w:pPr>
            <w:r w:rsidRPr="00056E91">
              <w:t xml:space="preserve">1,839,360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59CD441A" w14:textId="77777777">
            <w:pPr>
              <w:pStyle w:val="tablebody"/>
              <w:jc w:val="right"/>
            </w:pPr>
            <w:r w:rsidRPr="00056E91">
              <w:t xml:space="preserve">9,028,637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2BA7FE0" w14:textId="77777777">
            <w:pPr>
              <w:pStyle w:val="tablebody"/>
              <w:jc w:val="right"/>
            </w:pPr>
            <w:r w:rsidRPr="00056E91">
              <w:t xml:space="preserve">11,299,360 </w:t>
            </w:r>
          </w:p>
        </w:tc>
      </w:tr>
      <w:tr w:rsidRPr="00056E91" w:rsidR="00056E91" w:rsidTr="00056E91" w14:paraId="2498A47A"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00273D3" w14:textId="77777777">
            <w:pPr>
              <w:pStyle w:val="tablebody"/>
            </w:pPr>
            <w:r w:rsidRPr="00056E91">
              <w:t>Capital expenditure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19222618" w14:textId="77777777">
            <w:pPr>
              <w:pStyle w:val="tablebody"/>
              <w:jc w:val="right"/>
            </w:pPr>
            <w:r w:rsidRPr="00056E91">
              <w:t xml:space="preserve">145,216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4E1C2249" w14:textId="77777777">
            <w:pPr>
              <w:pStyle w:val="tablebody"/>
              <w:jc w:val="right"/>
            </w:pPr>
            <w:r w:rsidRPr="00056E91">
              <w:t xml:space="preserve">35,876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85C33DF" w14:textId="77777777">
            <w:pPr>
              <w:pStyle w:val="tablebody"/>
              <w:jc w:val="right"/>
            </w:pPr>
            <w:r w:rsidRPr="00056E91">
              <w:t xml:space="preserve">109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743EB452" w14:textId="77777777">
            <w:pPr>
              <w:pStyle w:val="tablebody"/>
              <w:jc w:val="right"/>
            </w:pPr>
            <w:r w:rsidRPr="00056E91">
              <w:t xml:space="preserve">181,201 </w:t>
            </w:r>
          </w:p>
        </w:tc>
      </w:tr>
      <w:tr w:rsidRPr="00056E91" w:rsidR="00056E91" w:rsidTr="00056E91" w14:paraId="09C52971"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0EEAAB5F" w14:textId="77777777">
            <w:pPr>
              <w:pStyle w:val="tablebody"/>
            </w:pPr>
            <w:r w:rsidRPr="00056E91">
              <w:t>Intangible assets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5BBD2730" w14:textId="77777777">
            <w:pPr>
              <w:pStyle w:val="tablebody"/>
              <w:jc w:val="right"/>
            </w:pPr>
            <w:r w:rsidRPr="00056E91">
              <w:t xml:space="preserve">0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029547D0" w14:textId="77777777">
            <w:pPr>
              <w:pStyle w:val="tablebody"/>
              <w:jc w:val="right"/>
            </w:pPr>
            <w:r w:rsidRPr="00056E91">
              <w:t xml:space="preserve">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3F0B534" w14:textId="77777777">
            <w:pPr>
              <w:pStyle w:val="tablebody"/>
              <w:jc w:val="right"/>
            </w:pPr>
            <w:r w:rsidRPr="00056E91">
              <w:t xml:space="preserve">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464600A" w14:textId="77777777">
            <w:pPr>
              <w:pStyle w:val="tablebody"/>
              <w:jc w:val="right"/>
            </w:pPr>
            <w:r w:rsidRPr="00056E91">
              <w:t xml:space="preserve">0 </w:t>
            </w:r>
          </w:p>
        </w:tc>
      </w:tr>
      <w:tr w:rsidRPr="00056E91" w:rsidR="00056E91" w:rsidTr="00056E91" w14:paraId="4698A436"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6BD3844D" w14:textId="77777777">
            <w:pPr>
              <w:pStyle w:val="tablebody"/>
            </w:pPr>
            <w:r w:rsidRPr="00056E91">
              <w:t>Operating lease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C877D47" w14:textId="77777777">
            <w:pPr>
              <w:pStyle w:val="tablebody"/>
              <w:jc w:val="right"/>
            </w:pPr>
            <w:r w:rsidRPr="00056E91">
              <w:t xml:space="preserve">51,988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64DDD7A5" w14:textId="77777777">
            <w:pPr>
              <w:pStyle w:val="tablebody"/>
              <w:jc w:val="right"/>
            </w:pPr>
            <w:r w:rsidRPr="00056E91">
              <w:t xml:space="preserve">122,690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DA6C064" w14:textId="77777777">
            <w:pPr>
              <w:pStyle w:val="tablebody"/>
              <w:jc w:val="right"/>
            </w:pPr>
            <w:r w:rsidRPr="00056E91">
              <w:t xml:space="preserve">59,463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712F81EF" w14:textId="77777777">
            <w:pPr>
              <w:pStyle w:val="tablebody"/>
              <w:jc w:val="right"/>
            </w:pPr>
            <w:r w:rsidRPr="00056E91">
              <w:t xml:space="preserve">234,141 </w:t>
            </w:r>
          </w:p>
        </w:tc>
      </w:tr>
      <w:tr w:rsidRPr="00056E91" w:rsidR="00056E91" w:rsidTr="00056E91" w14:paraId="202662B3" w14:textId="77777777">
        <w:tc>
          <w:tcPr>
            <w:tcW w:w="425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8E08528" w14:textId="77777777">
            <w:pPr>
              <w:pStyle w:val="tablebody"/>
            </w:pPr>
            <w:r w:rsidRPr="00056E91">
              <w:t>Other commitments</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8612BB2" w14:textId="77777777">
            <w:pPr>
              <w:pStyle w:val="tablebody"/>
              <w:jc w:val="right"/>
            </w:pPr>
            <w:r w:rsidRPr="00056E91">
              <w:t xml:space="preserve">463,868 </w:t>
            </w:r>
          </w:p>
        </w:tc>
        <w:tc>
          <w:tcPr>
            <w:tcW w:w="1418"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2D60F2D" w14:textId="77777777">
            <w:pPr>
              <w:pStyle w:val="tablebody"/>
              <w:jc w:val="right"/>
            </w:pPr>
            <w:r w:rsidRPr="00056E91">
              <w:t xml:space="preserve">532,162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910FE13" w14:textId="77777777">
            <w:pPr>
              <w:pStyle w:val="tablebody"/>
              <w:jc w:val="right"/>
            </w:pPr>
            <w:r w:rsidRPr="00056E91">
              <w:t xml:space="preserve">35,096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BEFF8BD" w14:textId="77777777">
            <w:pPr>
              <w:pStyle w:val="tablebody"/>
              <w:jc w:val="right"/>
            </w:pPr>
            <w:r w:rsidRPr="00056E91">
              <w:t xml:space="preserve">1,031,126 </w:t>
            </w:r>
          </w:p>
        </w:tc>
      </w:tr>
      <w:tr w:rsidRPr="00056E91" w:rsidR="00056E91" w:rsidTr="00056E91" w14:paraId="3F624DFC" w14:textId="77777777">
        <w:tc>
          <w:tcPr>
            <w:tcW w:w="425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BA5200D" w14:textId="77777777">
            <w:pPr>
              <w:pStyle w:val="tablebody"/>
              <w:rPr>
                <w:b/>
              </w:rPr>
            </w:pPr>
            <w:r w:rsidRPr="00056E91">
              <w:rPr>
                <w:b/>
              </w:rPr>
              <w:t>Total commitments (inclusive of GST)</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8CB8751" w14:textId="77777777">
            <w:pPr>
              <w:pStyle w:val="tablebody"/>
              <w:jc w:val="right"/>
              <w:rPr>
                <w:b/>
              </w:rPr>
            </w:pPr>
            <w:r w:rsidRPr="00056E91">
              <w:rPr>
                <w:b/>
              </w:rPr>
              <w:t xml:space="preserve">1,092,435 </w:t>
            </w:r>
          </w:p>
        </w:tc>
        <w:tc>
          <w:tcPr>
            <w:tcW w:w="14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312D3D2" w14:textId="77777777">
            <w:pPr>
              <w:pStyle w:val="tablebody"/>
              <w:jc w:val="right"/>
              <w:rPr>
                <w:b/>
              </w:rPr>
            </w:pPr>
            <w:r w:rsidRPr="00056E91">
              <w:rPr>
                <w:b/>
              </w:rPr>
              <w:t xml:space="preserve">2,530,088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454C4E8" w14:textId="77777777">
            <w:pPr>
              <w:pStyle w:val="tablebody"/>
              <w:jc w:val="right"/>
              <w:rPr>
                <w:b/>
              </w:rPr>
            </w:pPr>
            <w:r w:rsidRPr="00056E91">
              <w:rPr>
                <w:b/>
              </w:rPr>
              <w:t xml:space="preserve">9,123,305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312B2CD" w14:textId="77777777">
            <w:pPr>
              <w:pStyle w:val="tablebody"/>
              <w:jc w:val="right"/>
              <w:rPr>
                <w:b/>
              </w:rPr>
            </w:pPr>
            <w:r w:rsidRPr="00056E91">
              <w:rPr>
                <w:b/>
              </w:rPr>
              <w:t xml:space="preserve">12,745,828 </w:t>
            </w:r>
          </w:p>
        </w:tc>
      </w:tr>
      <w:tr w:rsidRPr="00056E91" w:rsidR="00056E91" w:rsidTr="00056E91" w14:paraId="6F941F66" w14:textId="77777777">
        <w:tc>
          <w:tcPr>
            <w:tcW w:w="425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3956A034" w14:textId="77777777">
            <w:pPr>
              <w:pStyle w:val="tablebody"/>
              <w:rPr>
                <w:b/>
              </w:rPr>
            </w:pPr>
            <w:r w:rsidRPr="00056E91">
              <w:rPr>
                <w:b/>
              </w:rPr>
              <w:t>2018</w:t>
            </w: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4B4CB4B2" w14:textId="77777777">
            <w:pPr>
              <w:pStyle w:val="tablebody"/>
              <w:jc w:val="right"/>
              <w:rPr>
                <w:b/>
                <w:lang w:val="en-US"/>
              </w:rPr>
            </w:pPr>
          </w:p>
        </w:tc>
        <w:tc>
          <w:tcPr>
            <w:tcW w:w="1418"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58BCE748" w14:textId="77777777">
            <w:pPr>
              <w:pStyle w:val="tablebody"/>
              <w:jc w:val="right"/>
              <w:rPr>
                <w:b/>
                <w:lang w:val="en-US"/>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62018E18" w14:textId="77777777">
            <w:pPr>
              <w:pStyle w:val="tablebody"/>
              <w:jc w:val="right"/>
              <w:rPr>
                <w:b/>
                <w:lang w:val="en-US"/>
              </w:rPr>
            </w:pPr>
          </w:p>
        </w:tc>
        <w:tc>
          <w:tcPr>
            <w:tcW w:w="1417"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70B51FDC" w14:textId="77777777">
            <w:pPr>
              <w:pStyle w:val="tablebody"/>
              <w:jc w:val="right"/>
              <w:rPr>
                <w:b/>
                <w:lang w:val="en-US"/>
              </w:rPr>
            </w:pPr>
          </w:p>
        </w:tc>
      </w:tr>
      <w:tr w:rsidRPr="00056E91" w:rsidR="00056E91" w:rsidTr="00056E91" w14:paraId="24002F80"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0857C39" w14:textId="77777777">
            <w:pPr>
              <w:pStyle w:val="tablebody"/>
            </w:pPr>
            <w:r w:rsidRPr="00056E91">
              <w:t>PPP commitments (note 7.5.2)</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BFB6D66" w14:textId="77777777">
            <w:pPr>
              <w:pStyle w:val="tablebody"/>
              <w:jc w:val="right"/>
            </w:pPr>
            <w:r w:rsidRPr="00056E91">
              <w:t xml:space="preserve">377,485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7A0C1F7" w14:textId="77777777">
            <w:pPr>
              <w:pStyle w:val="tablebody"/>
              <w:jc w:val="right"/>
            </w:pPr>
            <w:r w:rsidRPr="00056E91">
              <w:t xml:space="preserve">1,657,404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D3DE764" w14:textId="77777777">
            <w:pPr>
              <w:pStyle w:val="tablebody"/>
              <w:jc w:val="right"/>
            </w:pPr>
            <w:r w:rsidRPr="00056E91">
              <w:t xml:space="preserve">9,322,187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AE2A5D2" w14:textId="77777777">
            <w:pPr>
              <w:pStyle w:val="tablebody"/>
              <w:jc w:val="right"/>
            </w:pPr>
            <w:r w:rsidRPr="00056E91">
              <w:t xml:space="preserve">11,357,076 </w:t>
            </w:r>
          </w:p>
        </w:tc>
      </w:tr>
      <w:tr w:rsidRPr="00056E91" w:rsidR="00056E91" w:rsidTr="00056E91" w14:paraId="1B4CBE01"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62AFC8B" w14:textId="77777777">
            <w:pPr>
              <w:pStyle w:val="tablebody"/>
            </w:pPr>
            <w:r w:rsidRPr="00056E91">
              <w:t>Capital expenditure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A273F6F" w14:textId="77777777">
            <w:pPr>
              <w:pStyle w:val="tablebody"/>
              <w:jc w:val="right"/>
            </w:pPr>
            <w:r w:rsidRPr="00056E91">
              <w:t xml:space="preserve">214,899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EB93E1F" w14:textId="77777777">
            <w:pPr>
              <w:pStyle w:val="tablebody"/>
              <w:jc w:val="right"/>
            </w:pPr>
            <w:r w:rsidRPr="00056E91">
              <w:t xml:space="preserve">37,874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6390F8F6" w14:textId="77777777">
            <w:pPr>
              <w:pStyle w:val="tablebody"/>
              <w:jc w:val="right"/>
            </w:pPr>
            <w:r w:rsidRPr="00056E91">
              <w:t xml:space="preserve">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4BABDD11" w14:textId="77777777">
            <w:pPr>
              <w:pStyle w:val="tablebody"/>
              <w:jc w:val="right"/>
            </w:pPr>
            <w:r w:rsidRPr="00056E91">
              <w:t xml:space="preserve">252,773 </w:t>
            </w:r>
          </w:p>
        </w:tc>
      </w:tr>
      <w:tr w:rsidRPr="00056E91" w:rsidR="00056E91" w:rsidTr="00056E91" w14:paraId="69CD7E86"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6A21E442" w14:textId="77777777">
            <w:pPr>
              <w:pStyle w:val="tablebody"/>
            </w:pPr>
            <w:r w:rsidRPr="00056E91">
              <w:t>Intangible assets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13EA526" w14:textId="77777777">
            <w:pPr>
              <w:pStyle w:val="tablebody"/>
              <w:jc w:val="right"/>
            </w:pPr>
            <w:r w:rsidRPr="00056E91">
              <w:t xml:space="preserve">6,067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4B526F3B" w14:textId="77777777">
            <w:pPr>
              <w:pStyle w:val="tablebody"/>
              <w:jc w:val="right"/>
            </w:pPr>
            <w:r w:rsidRPr="00056E91">
              <w:t xml:space="preserve">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4820EC3" w14:textId="77777777">
            <w:pPr>
              <w:pStyle w:val="tablebody"/>
              <w:jc w:val="right"/>
            </w:pPr>
            <w:r w:rsidRPr="00056E91">
              <w:t xml:space="preserve">0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7C7D30FE" w14:textId="77777777">
            <w:pPr>
              <w:pStyle w:val="tablebody"/>
              <w:jc w:val="right"/>
            </w:pPr>
            <w:r w:rsidRPr="00056E91">
              <w:t xml:space="preserve">6,067 </w:t>
            </w:r>
          </w:p>
        </w:tc>
      </w:tr>
      <w:tr w:rsidRPr="00056E91" w:rsidR="00056E91" w:rsidTr="00056E91" w14:paraId="38F4730D" w14:textId="77777777">
        <w:tc>
          <w:tcPr>
            <w:tcW w:w="4252"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0B7BDD6F" w14:textId="77777777">
            <w:pPr>
              <w:pStyle w:val="tablebody"/>
            </w:pPr>
            <w:r w:rsidRPr="00056E91">
              <w:t>Operating lease commitments</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9EA9D61" w14:textId="77777777">
            <w:pPr>
              <w:pStyle w:val="tablebody"/>
              <w:jc w:val="right"/>
            </w:pPr>
            <w:r w:rsidRPr="00056E91">
              <w:t xml:space="preserve">50,153 </w:t>
            </w:r>
          </w:p>
        </w:tc>
        <w:tc>
          <w:tcPr>
            <w:tcW w:w="1418"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28A4529A" w14:textId="77777777">
            <w:pPr>
              <w:pStyle w:val="tablebody"/>
              <w:jc w:val="right"/>
            </w:pPr>
            <w:r w:rsidRPr="00056E91">
              <w:t xml:space="preserve">152,468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4301B8E9" w14:textId="77777777">
            <w:pPr>
              <w:pStyle w:val="tablebody"/>
              <w:jc w:val="right"/>
            </w:pPr>
            <w:r w:rsidRPr="00056E91">
              <w:t xml:space="preserve">65,859 </w:t>
            </w:r>
          </w:p>
        </w:tc>
        <w:tc>
          <w:tcPr>
            <w:tcW w:w="1417" w:type="dxa"/>
            <w:tcBorders>
              <w:top w:val="nil"/>
              <w:left w:val="nil"/>
              <w:bottom w:val="nil"/>
              <w:right w:val="nil"/>
            </w:tcBorders>
            <w:tcMar>
              <w:top w:w="28" w:type="dxa"/>
              <w:left w:w="0" w:type="dxa"/>
              <w:bottom w:w="57" w:type="dxa"/>
              <w:right w:w="0" w:type="dxa"/>
            </w:tcMar>
            <w:vAlign w:val="bottom"/>
          </w:tcPr>
          <w:p w:rsidRPr="00056E91" w:rsidR="00056E91" w:rsidP="00056E91" w:rsidRDefault="00056E91" w14:paraId="341F89C1" w14:textId="77777777">
            <w:pPr>
              <w:pStyle w:val="tablebody"/>
              <w:jc w:val="right"/>
            </w:pPr>
            <w:r w:rsidRPr="00056E91">
              <w:t xml:space="preserve">268,480 </w:t>
            </w:r>
          </w:p>
        </w:tc>
      </w:tr>
      <w:tr w:rsidRPr="00056E91" w:rsidR="00056E91" w:rsidTr="00056E91" w14:paraId="2E8368E1" w14:textId="77777777">
        <w:tc>
          <w:tcPr>
            <w:tcW w:w="425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4EE8D92" w14:textId="77777777">
            <w:pPr>
              <w:pStyle w:val="tablebody"/>
            </w:pPr>
            <w:r w:rsidRPr="00056E91">
              <w:t>Other commitments</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EB9D755" w14:textId="77777777">
            <w:pPr>
              <w:pStyle w:val="tablebody"/>
              <w:jc w:val="right"/>
            </w:pPr>
            <w:r w:rsidRPr="00056E91">
              <w:t xml:space="preserve">415,380 </w:t>
            </w:r>
          </w:p>
        </w:tc>
        <w:tc>
          <w:tcPr>
            <w:tcW w:w="1418"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A86A1AF" w14:textId="77777777">
            <w:pPr>
              <w:pStyle w:val="tablebody"/>
              <w:jc w:val="right"/>
            </w:pPr>
            <w:r w:rsidRPr="00056E91">
              <w:t xml:space="preserve">531,365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9F58D30" w14:textId="77777777">
            <w:pPr>
              <w:pStyle w:val="tablebody"/>
              <w:jc w:val="right"/>
            </w:pPr>
            <w:r w:rsidRPr="00056E91">
              <w:t xml:space="preserve">42,742 </w:t>
            </w:r>
          </w:p>
        </w:tc>
        <w:tc>
          <w:tcPr>
            <w:tcW w:w="1417"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C3669BD" w14:textId="77777777">
            <w:pPr>
              <w:pStyle w:val="tablebody"/>
              <w:jc w:val="right"/>
            </w:pPr>
            <w:r w:rsidRPr="00056E91">
              <w:t xml:space="preserve">989,487 </w:t>
            </w:r>
          </w:p>
        </w:tc>
      </w:tr>
      <w:tr w:rsidRPr="00056E91" w:rsidR="00056E91" w:rsidTr="00056E91" w14:paraId="7934F1DF" w14:textId="77777777">
        <w:tc>
          <w:tcPr>
            <w:tcW w:w="425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25B44D4" w14:textId="77777777">
            <w:pPr>
              <w:pStyle w:val="tablebody"/>
              <w:rPr>
                <w:b/>
              </w:rPr>
            </w:pPr>
            <w:r w:rsidRPr="00056E91">
              <w:rPr>
                <w:b/>
              </w:rPr>
              <w:t>Total commitments (inclusive of GST)</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26C1844" w14:textId="77777777">
            <w:pPr>
              <w:pStyle w:val="tablebody"/>
              <w:jc w:val="right"/>
              <w:rPr>
                <w:b/>
              </w:rPr>
            </w:pPr>
            <w:r w:rsidRPr="00056E91">
              <w:rPr>
                <w:b/>
              </w:rPr>
              <w:t xml:space="preserve">1,063,984 </w:t>
            </w:r>
          </w:p>
        </w:tc>
        <w:tc>
          <w:tcPr>
            <w:tcW w:w="14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7EB925F" w14:textId="77777777">
            <w:pPr>
              <w:pStyle w:val="tablebody"/>
              <w:jc w:val="right"/>
              <w:rPr>
                <w:b/>
              </w:rPr>
            </w:pPr>
            <w:r w:rsidRPr="00056E91">
              <w:rPr>
                <w:b/>
              </w:rPr>
              <w:t xml:space="preserve">2,379,111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35AEA52" w14:textId="77777777">
            <w:pPr>
              <w:pStyle w:val="tablebody"/>
              <w:jc w:val="right"/>
              <w:rPr>
                <w:b/>
              </w:rPr>
            </w:pPr>
            <w:r w:rsidRPr="00056E91">
              <w:rPr>
                <w:b/>
              </w:rPr>
              <w:t xml:space="preserve">9,430,788 </w:t>
            </w:r>
          </w:p>
        </w:tc>
        <w:tc>
          <w:tcPr>
            <w:tcW w:w="141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1DC3DA1" w14:textId="77777777">
            <w:pPr>
              <w:pStyle w:val="tablebody"/>
              <w:jc w:val="right"/>
              <w:rPr>
                <w:b/>
              </w:rPr>
            </w:pPr>
            <w:r w:rsidRPr="00056E91">
              <w:rPr>
                <w:b/>
              </w:rPr>
              <w:t xml:space="preserve">12,873,883 </w:t>
            </w:r>
          </w:p>
        </w:tc>
      </w:tr>
    </w:tbl>
    <w:p w:rsidRPr="00056E91" w:rsidR="00056E91" w:rsidP="00056E91" w:rsidRDefault="00056E91" w14:paraId="7F2FF48B" w14:textId="77777777"/>
    <w:p w:rsidRPr="00056E91" w:rsidR="00056E91" w:rsidP="00056E91" w:rsidRDefault="00056E91" w14:paraId="6DC56511" w14:textId="77777777">
      <w:pPr>
        <w:pStyle w:val="Heading4"/>
      </w:pPr>
      <w:r w:rsidRPr="00056E91">
        <w:t>7.5.2 PPP commitments</w:t>
      </w:r>
    </w:p>
    <w:p w:rsidRPr="00056E91" w:rsidR="00056E91" w:rsidP="00056E91" w:rsidRDefault="00056E91" w14:paraId="48C31EA8" w14:textId="77777777">
      <w:r w:rsidRPr="00056E91">
        <w:t>The department sometimes enters into arrangements with private sector participants to design and construct or upgrade assets used to provide public services.  These arrangements usually include the provision of operational and maintenance services for a specified period of time.  These arrangements are often referred to as PPPs.</w:t>
      </w:r>
    </w:p>
    <w:p w:rsidRPr="00056E91" w:rsidR="00056E91" w:rsidP="00056E91" w:rsidRDefault="00056E91" w14:paraId="007BF903" w14:textId="77777777">
      <w:r w:rsidRPr="00056E91">
        <w:t>Under these arrangements, the department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leases accounting policy.  The remaining components are accounted for as commitments for operating costs, which are expensed in the comprehensive operating statement as they are incurred.</w:t>
      </w:r>
    </w:p>
    <w:p w:rsidRPr="00056E91" w:rsidR="00056E91" w:rsidP="00056E91" w:rsidRDefault="00056E91" w14:paraId="12F22D41" w14:textId="518A6141">
      <w:pPr>
        <w:pStyle w:val="Heading4"/>
      </w:pPr>
      <w:r w:rsidRPr="00056E91">
        <w:t>PPP commitments</w:t>
      </w:r>
    </w:p>
    <w:tbl>
      <w:tblPr>
        <w:tblW w:w="0" w:type="auto"/>
        <w:tblLayout w:type="fixed"/>
        <w:tblCellMar>
          <w:left w:w="0" w:type="dxa"/>
          <w:right w:w="0" w:type="dxa"/>
        </w:tblCellMar>
        <w:tblLook w:firstRow="1" w:lastRow="0" w:firstColumn="0" w:lastColumn="0" w:noHBand="0" w:noVBand="0" w:val="0020"/>
      </w:tblPr>
      <w:tblGrid>
        <w:gridCol w:w="1990"/>
        <w:gridCol w:w="1322"/>
        <w:gridCol w:w="1322"/>
        <w:gridCol w:w="1322"/>
        <w:gridCol w:w="1321"/>
        <w:gridCol w:w="1322"/>
        <w:gridCol w:w="1322"/>
      </w:tblGrid>
      <w:tr w:rsidRPr="00056E91" w:rsidR="00056E91" w:rsidTr="00056E91" w14:paraId="3BB5065A" w14:textId="77777777">
        <w:trPr>
          <w:tblHeader/>
        </w:trPr>
        <w:tc>
          <w:tcPr>
            <w:tcW w:w="1990"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FBEE04D" w14:textId="77777777">
            <w:pPr>
              <w:pStyle w:val="tablebody"/>
              <w:rPr>
                <w:b/>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8AFEFB0" w14:textId="77777777">
            <w:pPr>
              <w:pStyle w:val="tablebody"/>
              <w:jc w:val="right"/>
              <w:rPr>
                <w:b/>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08AD8A0" w14:textId="77777777">
            <w:pPr>
              <w:pStyle w:val="tablebody"/>
              <w:jc w:val="right"/>
              <w:rPr>
                <w:b/>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9A559FA" w14:textId="77777777">
            <w:pPr>
              <w:pStyle w:val="tablebody"/>
              <w:jc w:val="right"/>
              <w:rPr>
                <w:b/>
                <w:lang w:val="en-US"/>
              </w:rPr>
            </w:pPr>
          </w:p>
        </w:tc>
        <w:tc>
          <w:tcPr>
            <w:tcW w:w="1321"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7799C37" w14:textId="77777777">
            <w:pPr>
              <w:pStyle w:val="tablebody"/>
              <w:jc w:val="right"/>
              <w:rPr>
                <w:b/>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F6AE65D" w14:textId="77777777">
            <w:pPr>
              <w:pStyle w:val="tablebody"/>
              <w:jc w:val="right"/>
              <w:rPr>
                <w:b/>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3144559" w14:textId="77777777">
            <w:pPr>
              <w:pStyle w:val="tablebody"/>
              <w:jc w:val="right"/>
              <w:rPr>
                <w:b/>
              </w:rPr>
            </w:pPr>
            <w:r w:rsidRPr="00056E91">
              <w:rPr>
                <w:b/>
              </w:rPr>
              <w:t>($ thousand)</w:t>
            </w:r>
          </w:p>
        </w:tc>
      </w:tr>
      <w:tr w:rsidRPr="00056E91" w:rsidR="00056E91" w:rsidTr="00056E91" w14:paraId="1343CB65" w14:textId="77777777">
        <w:trPr>
          <w:tblHeader/>
        </w:trPr>
        <w:tc>
          <w:tcPr>
            <w:tcW w:w="1990" w:type="dxa"/>
            <w:tcBorders>
              <w:top w:val="single" w:color="000000" w:sz="6" w:space="0"/>
              <w:left w:val="nil"/>
              <w:bottom w:val="single" w:color="000000" w:sz="8" w:space="0"/>
              <w:right w:val="nil"/>
            </w:tcBorders>
            <w:tcMar>
              <w:top w:w="28" w:type="dxa"/>
              <w:left w:w="0" w:type="dxa"/>
              <w:bottom w:w="57" w:type="dxa"/>
              <w:right w:w="0" w:type="dxa"/>
            </w:tcMar>
            <w:vAlign w:val="bottom"/>
          </w:tcPr>
          <w:p w:rsidRPr="00056E91" w:rsidR="00056E91" w:rsidP="00056E91" w:rsidRDefault="00056E91" w14:paraId="2AC18C2E" w14:textId="77777777">
            <w:pPr>
              <w:pStyle w:val="tablebody"/>
              <w:rPr>
                <w:b/>
                <w:lang w:val="en-US"/>
              </w:rPr>
            </w:pPr>
          </w:p>
        </w:tc>
        <w:tc>
          <w:tcPr>
            <w:tcW w:w="3966" w:type="dxa"/>
            <w:gridSpan w:val="3"/>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E2B9740" w14:textId="77777777">
            <w:pPr>
              <w:pStyle w:val="tablebody"/>
              <w:jc w:val="right"/>
              <w:rPr>
                <w:b/>
              </w:rPr>
            </w:pPr>
            <w:r w:rsidRPr="00056E91">
              <w:rPr>
                <w:b/>
              </w:rPr>
              <w:t>2019</w:t>
            </w:r>
          </w:p>
        </w:tc>
        <w:tc>
          <w:tcPr>
            <w:tcW w:w="3965" w:type="dxa"/>
            <w:gridSpan w:val="3"/>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9566A96" w14:textId="77777777">
            <w:pPr>
              <w:pStyle w:val="tablebody"/>
              <w:jc w:val="right"/>
              <w:rPr>
                <w:b/>
              </w:rPr>
            </w:pPr>
            <w:r w:rsidRPr="00056E91">
              <w:rPr>
                <w:b/>
              </w:rPr>
              <w:t>2018</w:t>
            </w:r>
          </w:p>
        </w:tc>
      </w:tr>
      <w:tr w:rsidRPr="00056E91" w:rsidR="00056E91" w:rsidTr="00056E91" w14:paraId="356A899A" w14:textId="77777777">
        <w:trPr>
          <w:tblHeader/>
        </w:trPr>
        <w:tc>
          <w:tcPr>
            <w:tcW w:w="1990" w:type="dxa"/>
            <w:tcBorders>
              <w:top w:val="single" w:color="000000" w:sz="8" w:space="0"/>
              <w:left w:val="nil"/>
              <w:bottom w:val="single" w:color="000000" w:sz="8" w:space="0"/>
              <w:right w:val="nil"/>
            </w:tcBorders>
            <w:tcMar>
              <w:top w:w="28" w:type="dxa"/>
              <w:left w:w="0" w:type="dxa"/>
              <w:bottom w:w="57" w:type="dxa"/>
              <w:right w:w="0" w:type="dxa"/>
            </w:tcMar>
            <w:vAlign w:val="bottom"/>
          </w:tcPr>
          <w:p w:rsidRPr="00056E91" w:rsidR="00056E91" w:rsidP="00056E91" w:rsidRDefault="00056E91" w14:paraId="2ADE9F6F" w14:textId="77777777">
            <w:pPr>
              <w:pStyle w:val="tablebody"/>
              <w:rPr>
                <w:b/>
                <w:lang w:val="en-US"/>
              </w:rPr>
            </w:pP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9973293" w14:textId="77777777">
            <w:pPr>
              <w:pStyle w:val="tablebody"/>
              <w:jc w:val="right"/>
              <w:rPr>
                <w:b/>
              </w:rPr>
            </w:pPr>
            <w:r w:rsidRPr="00056E91">
              <w:rPr>
                <w:b/>
              </w:rPr>
              <w:t>Minimum lease payments</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87C15A7" w14:textId="77777777">
            <w:pPr>
              <w:pStyle w:val="tablebody"/>
              <w:jc w:val="right"/>
              <w:rPr>
                <w:b/>
              </w:rPr>
            </w:pPr>
            <w:r w:rsidRPr="00056E91">
              <w:rPr>
                <w:b/>
              </w:rPr>
              <w:t>Other commitments</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B57A938" w14:textId="77777777">
            <w:pPr>
              <w:pStyle w:val="tablebody"/>
              <w:jc w:val="right"/>
              <w:rPr>
                <w:b/>
              </w:rPr>
            </w:pPr>
            <w:r w:rsidRPr="00056E91">
              <w:rPr>
                <w:b/>
              </w:rPr>
              <w:t>Total commitments</w:t>
            </w:r>
          </w:p>
        </w:tc>
        <w:tc>
          <w:tcPr>
            <w:tcW w:w="132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D03A56D" w14:textId="77777777">
            <w:pPr>
              <w:pStyle w:val="tablebody"/>
              <w:jc w:val="right"/>
              <w:rPr>
                <w:b/>
              </w:rPr>
            </w:pPr>
            <w:r w:rsidRPr="00056E91">
              <w:rPr>
                <w:b/>
              </w:rPr>
              <w:t>Minimum lease payments</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FEE4FDF" w14:textId="77777777">
            <w:pPr>
              <w:pStyle w:val="tablebody"/>
              <w:jc w:val="right"/>
              <w:rPr>
                <w:b/>
              </w:rPr>
            </w:pPr>
            <w:r w:rsidRPr="00056E91">
              <w:rPr>
                <w:b/>
              </w:rPr>
              <w:t>Other commitments</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47AC87F" w14:textId="77777777">
            <w:pPr>
              <w:pStyle w:val="tablebody"/>
              <w:jc w:val="right"/>
              <w:rPr>
                <w:b/>
              </w:rPr>
            </w:pPr>
            <w:r w:rsidRPr="00056E91">
              <w:rPr>
                <w:b/>
              </w:rPr>
              <w:t>Total commitments</w:t>
            </w:r>
          </w:p>
        </w:tc>
      </w:tr>
      <w:tr w:rsidRPr="00056E91" w:rsidR="00056E91" w:rsidTr="00056E91" w14:paraId="35289E25" w14:textId="77777777">
        <w:trPr>
          <w:tblHeader/>
        </w:trPr>
        <w:tc>
          <w:tcPr>
            <w:tcW w:w="1990" w:type="dxa"/>
            <w:tcBorders>
              <w:top w:val="single" w:color="000000" w:sz="8"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32DAE23" w14:textId="77777777">
            <w:pPr>
              <w:pStyle w:val="tablebody"/>
              <w:rPr>
                <w:b/>
                <w:lang w:val="en-US"/>
              </w:rPr>
            </w:pP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A7E62B6" w14:textId="77777777">
            <w:pPr>
              <w:pStyle w:val="tablebody"/>
              <w:jc w:val="right"/>
              <w:rPr>
                <w:b/>
              </w:rPr>
            </w:pPr>
            <w:r w:rsidRPr="00056E91">
              <w:rPr>
                <w:b/>
              </w:rPr>
              <w:t>Discounted value</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D9DAC77" w14:textId="77777777">
            <w:pPr>
              <w:pStyle w:val="tablebody"/>
              <w:jc w:val="right"/>
              <w:rPr>
                <w:b/>
              </w:rPr>
            </w:pPr>
            <w:r w:rsidRPr="00056E91">
              <w:rPr>
                <w:b/>
              </w:rPr>
              <w:t>Present</w:t>
            </w:r>
            <w:r w:rsidRPr="00056E91">
              <w:rPr>
                <w:b/>
              </w:rPr>
              <w:br/>
              <w:t xml:space="preserve"> value</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24EE54F5" w14:textId="77777777">
            <w:pPr>
              <w:pStyle w:val="tablebody"/>
              <w:jc w:val="right"/>
              <w:rPr>
                <w:b/>
              </w:rPr>
            </w:pPr>
            <w:r w:rsidRPr="00056E91">
              <w:rPr>
                <w:b/>
              </w:rPr>
              <w:t>Nominal value</w:t>
            </w:r>
          </w:p>
        </w:tc>
        <w:tc>
          <w:tcPr>
            <w:tcW w:w="132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63DFB11" w14:textId="77777777">
            <w:pPr>
              <w:pStyle w:val="tablebody"/>
              <w:jc w:val="right"/>
              <w:rPr>
                <w:b/>
              </w:rPr>
            </w:pPr>
            <w:r w:rsidRPr="00056E91">
              <w:rPr>
                <w:b/>
              </w:rPr>
              <w:t>Discounted value</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2D5A0A0" w14:textId="77777777">
            <w:pPr>
              <w:pStyle w:val="tablebody"/>
              <w:jc w:val="right"/>
              <w:rPr>
                <w:b/>
              </w:rPr>
            </w:pPr>
            <w:r w:rsidRPr="00056E91">
              <w:rPr>
                <w:b/>
              </w:rPr>
              <w:t>Present</w:t>
            </w:r>
            <w:r w:rsidRPr="00056E91">
              <w:rPr>
                <w:b/>
              </w:rPr>
              <w:br/>
              <w:t xml:space="preserve"> value</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8801815" w14:textId="77777777">
            <w:pPr>
              <w:pStyle w:val="tablebody"/>
              <w:jc w:val="right"/>
              <w:rPr>
                <w:b/>
              </w:rPr>
            </w:pPr>
            <w:r w:rsidRPr="00056E91">
              <w:rPr>
                <w:b/>
              </w:rPr>
              <w:t>Nominal value</w:t>
            </w:r>
          </w:p>
        </w:tc>
      </w:tr>
      <w:tr w:rsidRPr="00056E91" w:rsidR="00056E91" w:rsidTr="00056E91" w14:paraId="25EA4223" w14:textId="77777777">
        <w:tc>
          <w:tcPr>
            <w:tcW w:w="1990"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7247B3FA" w14:textId="77777777">
            <w:pPr>
              <w:pStyle w:val="tablebody"/>
            </w:pPr>
            <w:r w:rsidRPr="00056E91">
              <w:t xml:space="preserve">Commissioned PPPs </w:t>
            </w:r>
            <w:r w:rsidRPr="00056E91">
              <w:rPr>
                <w:vertAlign w:val="superscript"/>
              </w:rPr>
              <w:t>(i)(ii)</w:t>
            </w:r>
          </w:p>
        </w:tc>
        <w:tc>
          <w:tcPr>
            <w:tcW w:w="132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43D0630C" w14:textId="77777777">
            <w:pPr>
              <w:pStyle w:val="tablebody"/>
              <w:jc w:val="right"/>
              <w:rPr>
                <w:lang w:val="en-US"/>
              </w:rPr>
            </w:pPr>
          </w:p>
        </w:tc>
        <w:tc>
          <w:tcPr>
            <w:tcW w:w="132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2C74AC7C" w14:textId="77777777">
            <w:pPr>
              <w:pStyle w:val="tablebody"/>
              <w:jc w:val="right"/>
              <w:rPr>
                <w:lang w:val="en-US"/>
              </w:rPr>
            </w:pPr>
          </w:p>
        </w:tc>
        <w:tc>
          <w:tcPr>
            <w:tcW w:w="132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1309E4D2" w14:textId="77777777">
            <w:pPr>
              <w:pStyle w:val="tablebody"/>
              <w:jc w:val="right"/>
              <w:rPr>
                <w:lang w:val="en-US"/>
              </w:rPr>
            </w:pPr>
          </w:p>
        </w:tc>
        <w:tc>
          <w:tcPr>
            <w:tcW w:w="1321"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7D9C029C" w14:textId="77777777">
            <w:pPr>
              <w:pStyle w:val="tablebody"/>
              <w:jc w:val="right"/>
              <w:rPr>
                <w:lang w:val="en-US"/>
              </w:rPr>
            </w:pPr>
          </w:p>
        </w:tc>
        <w:tc>
          <w:tcPr>
            <w:tcW w:w="132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651D0EF5" w14:textId="77777777">
            <w:pPr>
              <w:pStyle w:val="tablebody"/>
              <w:jc w:val="right"/>
              <w:rPr>
                <w:lang w:val="en-US"/>
              </w:rPr>
            </w:pPr>
          </w:p>
        </w:tc>
        <w:tc>
          <w:tcPr>
            <w:tcW w:w="1322" w:type="dxa"/>
            <w:tcBorders>
              <w:top w:val="single" w:color="000000" w:sz="6" w:space="0"/>
              <w:left w:val="nil"/>
              <w:bottom w:val="nil"/>
              <w:right w:val="nil"/>
            </w:tcBorders>
            <w:tcMar>
              <w:top w:w="28" w:type="dxa"/>
              <w:left w:w="0" w:type="dxa"/>
              <w:bottom w:w="57" w:type="dxa"/>
              <w:right w:w="0" w:type="dxa"/>
            </w:tcMar>
            <w:vAlign w:val="bottom"/>
          </w:tcPr>
          <w:p w:rsidRPr="00056E91" w:rsidR="00056E91" w:rsidP="00056E91" w:rsidRDefault="00056E91" w14:paraId="26D3C99D" w14:textId="77777777">
            <w:pPr>
              <w:pStyle w:val="tablebody"/>
              <w:jc w:val="right"/>
              <w:rPr>
                <w:lang w:val="en-US"/>
              </w:rPr>
            </w:pPr>
          </w:p>
        </w:tc>
      </w:tr>
      <w:tr w:rsidRPr="00056E91" w:rsidR="00056E91" w:rsidTr="00056E91" w14:paraId="3231A8BC" w14:textId="77777777">
        <w:tc>
          <w:tcPr>
            <w:tcW w:w="1990"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26F7F1BD" w14:textId="77777777">
            <w:pPr>
              <w:pStyle w:val="tablebody"/>
            </w:pPr>
            <w:r w:rsidRPr="00056E91">
              <w:t>Private prisons</w:t>
            </w: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1019BE8" w14:textId="77777777">
            <w:pPr>
              <w:pStyle w:val="tablebody"/>
              <w:jc w:val="right"/>
              <w:rPr>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05C6C842" w14:textId="77777777">
            <w:pPr>
              <w:pStyle w:val="tablebody"/>
              <w:jc w:val="right"/>
            </w:pPr>
            <w:r w:rsidRPr="00056E91">
              <w:t xml:space="preserve">6,599,170 </w:t>
            </w: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5FD4F90" w14:textId="77777777">
            <w:pPr>
              <w:pStyle w:val="tablebody"/>
              <w:jc w:val="right"/>
            </w:pPr>
            <w:r w:rsidRPr="00056E91">
              <w:t xml:space="preserve">11,299,360 </w:t>
            </w:r>
          </w:p>
        </w:tc>
        <w:tc>
          <w:tcPr>
            <w:tcW w:w="1321"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1E21B02" w14:textId="77777777">
            <w:pPr>
              <w:pStyle w:val="tablebody"/>
              <w:jc w:val="right"/>
              <w:rPr>
                <w:lang w:val="en-US"/>
              </w:rPr>
            </w:pP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6A32F171" w14:textId="77777777">
            <w:pPr>
              <w:pStyle w:val="tablebody"/>
              <w:jc w:val="right"/>
            </w:pPr>
            <w:r w:rsidRPr="00056E91">
              <w:t xml:space="preserve">6,537,386 </w:t>
            </w:r>
          </w:p>
        </w:tc>
        <w:tc>
          <w:tcPr>
            <w:tcW w:w="1322" w:type="dxa"/>
            <w:tcBorders>
              <w:top w:val="nil"/>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F657476" w14:textId="77777777">
            <w:pPr>
              <w:pStyle w:val="tablebody"/>
              <w:jc w:val="right"/>
            </w:pPr>
            <w:r w:rsidRPr="00056E91">
              <w:t xml:space="preserve">11,357,076 </w:t>
            </w:r>
          </w:p>
        </w:tc>
      </w:tr>
      <w:tr w:rsidRPr="00056E91" w:rsidR="00056E91" w:rsidTr="00056E91" w14:paraId="5A535E57" w14:textId="77777777">
        <w:tc>
          <w:tcPr>
            <w:tcW w:w="19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36231448" w14:textId="77777777">
            <w:pPr>
              <w:pStyle w:val="tablebody"/>
              <w:rPr>
                <w:b/>
              </w:rPr>
            </w:pPr>
            <w:r w:rsidRPr="00056E91">
              <w:rPr>
                <w:b/>
              </w:rPr>
              <w:t>Total PPP commitments</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7ACDDBC7" w14:textId="77777777">
            <w:pPr>
              <w:pStyle w:val="tablebody"/>
              <w:jc w:val="right"/>
              <w:rPr>
                <w:b/>
                <w:lang w:val="en-US"/>
              </w:rPr>
            </w:pP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46756863" w14:textId="77777777">
            <w:pPr>
              <w:pStyle w:val="tablebody"/>
              <w:jc w:val="right"/>
              <w:rPr>
                <w:b/>
              </w:rPr>
            </w:pPr>
            <w:r w:rsidRPr="00056E91">
              <w:rPr>
                <w:b/>
              </w:rPr>
              <w:t xml:space="preserve">6,599,170 </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21328AFD" w14:textId="77777777">
            <w:pPr>
              <w:pStyle w:val="tablebody"/>
              <w:jc w:val="right"/>
              <w:rPr>
                <w:b/>
              </w:rPr>
            </w:pPr>
            <w:r w:rsidRPr="00056E91">
              <w:rPr>
                <w:b/>
              </w:rPr>
              <w:t xml:space="preserve">11,299,360 </w:t>
            </w:r>
          </w:p>
        </w:tc>
        <w:tc>
          <w:tcPr>
            <w:tcW w:w="132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2B0ACA67" w14:textId="77777777">
            <w:pPr>
              <w:pStyle w:val="tablebody"/>
              <w:jc w:val="right"/>
              <w:rPr>
                <w:b/>
                <w:lang w:val="en-US"/>
              </w:rPr>
            </w:pP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580397A0" w14:textId="77777777">
            <w:pPr>
              <w:pStyle w:val="tablebody"/>
              <w:jc w:val="right"/>
              <w:rPr>
                <w:b/>
              </w:rPr>
            </w:pPr>
            <w:r w:rsidRPr="00056E91">
              <w:rPr>
                <w:b/>
              </w:rPr>
              <w:t xml:space="preserve">6,537,386 </w:t>
            </w:r>
          </w:p>
        </w:tc>
        <w:tc>
          <w:tcPr>
            <w:tcW w:w="132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56E91" w:rsidR="00056E91" w:rsidP="00056E91" w:rsidRDefault="00056E91" w14:paraId="1CDCB689" w14:textId="77777777">
            <w:pPr>
              <w:pStyle w:val="tablebody"/>
              <w:jc w:val="right"/>
              <w:rPr>
                <w:b/>
              </w:rPr>
            </w:pPr>
            <w:r w:rsidRPr="00056E91">
              <w:rPr>
                <w:b/>
              </w:rPr>
              <w:t xml:space="preserve">11,357,076 </w:t>
            </w:r>
          </w:p>
        </w:tc>
      </w:tr>
    </w:tbl>
    <w:p w:rsidRPr="00056E91" w:rsidR="00056E91" w:rsidP="00056E91" w:rsidRDefault="00056E91" w14:paraId="65DE42E7" w14:textId="44C1D08E">
      <w:pPr>
        <w:pStyle w:val="notes"/>
        <w:ind w:left="284" w:hanging="284"/>
      </w:pPr>
      <w:r w:rsidRPr="00056E91">
        <w:t>(i)</w:t>
      </w:r>
      <w:r w:rsidRPr="00056E91">
        <w:tab/>
        <w:t>The present values of the minimum lease payments for commissioned PPPs are recognised on the balance sheet and are not disclosed as commitments.</w:t>
      </w:r>
    </w:p>
    <w:p w:rsidR="008A375C" w:rsidP="00056E91" w:rsidRDefault="00056E91" w14:paraId="1A8E13EF" w14:textId="2DD8D927">
      <w:pPr>
        <w:pStyle w:val="notes"/>
        <w:ind w:left="284" w:hanging="284"/>
      </w:pPr>
      <w:r w:rsidRPr="00056E91">
        <w:t>(ii)</w:t>
      </w:r>
      <w:r w:rsidRPr="00056E91">
        <w:tab/>
        <w:t>Refer to note 7.2 for further details on the commissioned PPPs.</w:t>
      </w:r>
    </w:p>
    <w:p w:rsidR="008A375C" w:rsidRDefault="008A375C" w14:paraId="730F7971" w14:textId="77777777">
      <w:pPr>
        <w:spacing w:after="0"/>
        <w:rPr>
          <w:sz w:val="15"/>
          <w:szCs w:val="15"/>
        </w:rPr>
      </w:pPr>
      <w:r>
        <w:br w:type="page"/>
      </w:r>
    </w:p>
    <w:p w:rsidRPr="00532267" w:rsidR="00532267" w:rsidP="00532267" w:rsidRDefault="00532267" w14:paraId="73851492" w14:textId="3A560D31">
      <w:pPr>
        <w:pStyle w:val="Heading2"/>
      </w:pPr>
      <w:bookmarkStart w:id="22" w:name="_Toc21870910"/>
      <w:r w:rsidRPr="00532267">
        <w:lastRenderedPageBreak/>
        <w:t>8. Risks, contingencies and valuation judgements</w:t>
      </w:r>
      <w:bookmarkEnd w:id="22"/>
    </w:p>
    <w:p w:rsidRPr="00532267" w:rsidR="00532267" w:rsidP="00532267" w:rsidRDefault="00532267" w14:paraId="537316DB" w14:textId="77777777">
      <w:pPr>
        <w:pStyle w:val="Heading3"/>
      </w:pPr>
      <w:r w:rsidRPr="00532267">
        <w:t>8.1 Introduction</w:t>
      </w:r>
    </w:p>
    <w:p w:rsidRPr="00532267" w:rsidR="00532267" w:rsidP="00532267" w:rsidRDefault="00532267" w14:paraId="0140A61B" w14:textId="77777777">
      <w:r w:rsidRPr="00532267">
        <w:t>This note sets out financial instrument specific information (including exposures to financial risks) as well as those items that are contingent in nature or require a higher level of judgement to be applied, which for the department related mainly to fair value determination.</w:t>
      </w:r>
    </w:p>
    <w:p w:rsidRPr="00532267" w:rsidR="00532267" w:rsidP="00532267" w:rsidRDefault="00532267" w14:paraId="2831056B" w14:textId="77777777">
      <w:pPr>
        <w:pStyle w:val="Heading3"/>
      </w:pPr>
      <w:r w:rsidRPr="00532267">
        <w:t>8.2 Financial instruments specific disclosures</w:t>
      </w:r>
    </w:p>
    <w:p w:rsidRPr="00532267" w:rsidR="00532267" w:rsidP="00532267" w:rsidRDefault="00532267" w14:paraId="7BA9A8C5" w14:textId="77777777">
      <w:r w:rsidRPr="00532267">
        <w:t xml:space="preserve">Financial instruments arise out of contractual agreements that give rise to a financial asset of one entity and a financial liability or equity instrument of another entity.  Due to the nature of the department’s activities, certain financial assets and financial liabilities arise under statute rather than a contract (for example taxes, fines and penalties).  Such assets and liabilities do not meet the definition of financial instruments in AASB 132 </w:t>
      </w:r>
      <w:r w:rsidRPr="00532267">
        <w:rPr>
          <w:i/>
          <w:iCs/>
        </w:rPr>
        <w:t>Financial Instruments: Presentation</w:t>
      </w:r>
      <w:r w:rsidRPr="00532267">
        <w:t>.</w:t>
      </w:r>
    </w:p>
    <w:p w:rsidRPr="00532267" w:rsidR="00532267" w:rsidP="00532267" w:rsidRDefault="00532267" w14:paraId="36BC7D2C" w14:textId="77777777">
      <w:pPr>
        <w:pStyle w:val="Heading4"/>
      </w:pPr>
      <w:r w:rsidRPr="00532267">
        <w:t>8.2.1 Categories of financial instruments held by the department</w:t>
      </w:r>
    </w:p>
    <w:p w:rsidRPr="00532267" w:rsidR="00532267" w:rsidP="00532267" w:rsidRDefault="00532267" w14:paraId="781ADCEB" w14:textId="77777777">
      <w:r w:rsidRPr="00532267">
        <w:t>From 1 July 2018, the department applied AASB 9 and classified all of its financial assets based on its business model for managing the assets and the assets’ contractual terms.</w:t>
      </w:r>
    </w:p>
    <w:p w:rsidRPr="00532267" w:rsidR="00532267" w:rsidP="00532267" w:rsidRDefault="00532267" w14:paraId="399A1EB4" w14:textId="77777777">
      <w:pPr>
        <w:rPr>
          <w:b/>
        </w:rPr>
      </w:pPr>
      <w:r w:rsidRPr="00532267">
        <w:rPr>
          <w:b/>
        </w:rPr>
        <w:t>Financial assets at amortised cost, under AASB 9</w:t>
      </w:r>
    </w:p>
    <w:p w:rsidRPr="00532267" w:rsidR="00532267" w:rsidP="00532267" w:rsidRDefault="00532267" w14:paraId="6898B8A1" w14:textId="77777777">
      <w:r w:rsidRPr="00532267">
        <w:t>Financial assets are measured at amortised cost if both of the following criteria are met and the assets are not designated as fair value through net result:</w:t>
      </w:r>
    </w:p>
    <w:p w:rsidRPr="00532267" w:rsidR="00532267" w:rsidP="00532267" w:rsidRDefault="00532267" w14:paraId="45EFDF24" w14:textId="77777777">
      <w:pPr>
        <w:pStyle w:val="Bullet1"/>
      </w:pPr>
      <w:r w:rsidRPr="00532267">
        <w:t>the assets are held by the department to collect the contractual cash flows, and</w:t>
      </w:r>
    </w:p>
    <w:p w:rsidRPr="00532267" w:rsidR="00532267" w:rsidP="00532267" w:rsidRDefault="00532267" w14:paraId="1E503C13" w14:textId="77777777">
      <w:pPr>
        <w:pStyle w:val="Bullet1"/>
      </w:pPr>
      <w:r w:rsidRPr="00532267">
        <w:t>the assets’ contractual terms give rise to cash flows that are solely payments of principal and interest.</w:t>
      </w:r>
    </w:p>
    <w:p w:rsidRPr="00532267" w:rsidR="00532267" w:rsidP="00532267" w:rsidRDefault="00532267" w14:paraId="071D7022" w14:textId="77777777">
      <w:r w:rsidRPr="00532267">
        <w:t>These assets are initially recognised at fair value plus any directly attributable transaction costs and subsequently measured at amortised cost using the effective interest method less any impairment.</w:t>
      </w:r>
    </w:p>
    <w:p w:rsidRPr="00532267" w:rsidR="00532267" w:rsidP="00532267" w:rsidRDefault="00532267" w14:paraId="0F6389EB" w14:textId="77777777">
      <w:r w:rsidRPr="00532267">
        <w:t>The department recognises the following assets in this category:</w:t>
      </w:r>
    </w:p>
    <w:p w:rsidRPr="00532267" w:rsidR="00532267" w:rsidP="00532267" w:rsidRDefault="00532267" w14:paraId="78AEAD5F" w14:textId="77777777">
      <w:pPr>
        <w:pStyle w:val="Bullet1"/>
      </w:pPr>
      <w:r w:rsidRPr="00532267">
        <w:t>cash</w:t>
      </w:r>
    </w:p>
    <w:p w:rsidRPr="00532267" w:rsidR="00532267" w:rsidP="00532267" w:rsidRDefault="00532267" w14:paraId="603E0DC5" w14:textId="77777777">
      <w:pPr>
        <w:pStyle w:val="Bullet1"/>
      </w:pPr>
      <w:r w:rsidRPr="00532267">
        <w:t>term deposits</w:t>
      </w:r>
    </w:p>
    <w:p w:rsidRPr="00532267" w:rsidR="00532267" w:rsidP="00532267" w:rsidRDefault="00532267" w14:paraId="47A32CF0" w14:textId="77777777">
      <w:pPr>
        <w:pStyle w:val="Bullet1"/>
      </w:pPr>
      <w:r w:rsidRPr="00532267">
        <w:t>receivables (excluding statutory receivables)</w:t>
      </w:r>
    </w:p>
    <w:p w:rsidRPr="00532267" w:rsidR="00532267" w:rsidP="00532267" w:rsidRDefault="00532267" w14:paraId="59FFBC04" w14:textId="77777777">
      <w:r w:rsidRPr="00532267">
        <w:t>The department previously classified these assets as loans and receivables and cash under AASB 139 .</w:t>
      </w:r>
    </w:p>
    <w:p w:rsidRPr="00532267" w:rsidR="00532267" w:rsidP="00532267" w:rsidRDefault="00532267" w14:paraId="42DCD492" w14:textId="77777777">
      <w:pPr>
        <w:rPr>
          <w:b/>
          <w:bCs/>
        </w:rPr>
      </w:pPr>
      <w:r w:rsidRPr="00532267">
        <w:rPr>
          <w:b/>
          <w:bCs/>
        </w:rPr>
        <w:t>Financial assets at fair value through net result, under AASB 9 and previously under AASB 139</w:t>
      </w:r>
    </w:p>
    <w:p w:rsidRPr="00532267" w:rsidR="00532267" w:rsidP="00532267" w:rsidRDefault="00532267" w14:paraId="2CD3CD31" w14:textId="77777777">
      <w:r w:rsidRPr="00532267">
        <w:t>Financial assets at fair value through net result are designated as such upon initial recognition.  Financial instrument assets are designated at fair value through net result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  The department categorised its managed investment schemes in this category.</w:t>
      </w:r>
    </w:p>
    <w:p w:rsidRPr="00532267" w:rsidR="00532267" w:rsidP="00532267" w:rsidRDefault="00532267" w14:paraId="547396B5" w14:textId="77777777">
      <w:pPr>
        <w:rPr>
          <w:b/>
          <w:bCs/>
        </w:rPr>
      </w:pPr>
      <w:r w:rsidRPr="00532267">
        <w:rPr>
          <w:b/>
          <w:bCs/>
        </w:rPr>
        <w:t>Financial liabilities at amortised cost, under AASB 9 and previously under AASB 139</w:t>
      </w:r>
    </w:p>
    <w:p w:rsidRPr="00532267" w:rsidR="00532267" w:rsidP="00532267" w:rsidRDefault="00532267" w14:paraId="716989A6" w14:textId="77777777">
      <w:r w:rsidRPr="00532267">
        <w:t>Financial liabilities at amortised cost are initially recognised on the date they are originated and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The department recognises the following liabilities in this category:</w:t>
      </w:r>
    </w:p>
    <w:p w:rsidRPr="00532267" w:rsidR="00532267" w:rsidP="00532267" w:rsidRDefault="00532267" w14:paraId="78D294B8" w14:textId="77777777">
      <w:pPr>
        <w:pStyle w:val="Bullet1"/>
      </w:pPr>
      <w:r w:rsidRPr="00532267">
        <w:t>payables (excluding statutory payables)</w:t>
      </w:r>
    </w:p>
    <w:p w:rsidRPr="00532267" w:rsidR="00532267" w:rsidP="00532267" w:rsidRDefault="00532267" w14:paraId="41A05AF1" w14:textId="77777777">
      <w:pPr>
        <w:pStyle w:val="Bullet1"/>
      </w:pPr>
      <w:r w:rsidRPr="00532267">
        <w:t>borrowings</w:t>
      </w:r>
    </w:p>
    <w:p w:rsidRPr="00532267" w:rsidR="00532267" w:rsidP="00532267" w:rsidRDefault="00532267" w14:paraId="3FCDB262" w14:textId="77777777">
      <w:r w:rsidRPr="00532267">
        <w:rPr>
          <w:b/>
        </w:rPr>
        <w:t>Derecognition of financial assets:</w:t>
      </w:r>
      <w:r w:rsidRPr="00532267">
        <w:t xml:space="preserve"> A financial asset (or, where applicable, a part of a financial asset or part of a group of similar financial assets) is derecognised when:</w:t>
      </w:r>
    </w:p>
    <w:p w:rsidRPr="00532267" w:rsidR="00532267" w:rsidP="00532267" w:rsidRDefault="00532267" w14:paraId="5141237B" w14:textId="77777777">
      <w:pPr>
        <w:pStyle w:val="Bullet1"/>
      </w:pPr>
      <w:r w:rsidRPr="00532267">
        <w:t>the rights to receive cash flows from the asset have expired; or</w:t>
      </w:r>
    </w:p>
    <w:p w:rsidRPr="00532267" w:rsidR="00532267" w:rsidP="00532267" w:rsidRDefault="00532267" w14:paraId="4AFB0345" w14:textId="77777777">
      <w:pPr>
        <w:pStyle w:val="Bullet1"/>
      </w:pPr>
      <w:r w:rsidRPr="00532267">
        <w:t>the department retains the right to receive cash flows from the asset, but has assumed an obligation to pay them in full without material delay to a third party under a ‘pass through’ arrangement; or</w:t>
      </w:r>
    </w:p>
    <w:p w:rsidRPr="00532267" w:rsidR="00532267" w:rsidP="00532267" w:rsidRDefault="00532267" w14:paraId="1AB942E3" w14:textId="77777777">
      <w:pPr>
        <w:pStyle w:val="Bullet1"/>
      </w:pPr>
      <w:r w:rsidRPr="00532267">
        <w:t>the department has transferred its rights to receive cash flows from the asset and either: has transferred substantially all the risks and rewards of the asset; or has neither transferred nor retained substantially all the risks and rewards of the asset, but has transferred control of the asset.</w:t>
      </w:r>
    </w:p>
    <w:p w:rsidRPr="00532267" w:rsidR="00532267" w:rsidP="00532267" w:rsidRDefault="00532267" w14:paraId="5047C99E" w14:textId="77777777">
      <w:r w:rsidRPr="00532267">
        <w:t>Where the department has neither transferred nor retained substantially all the risks and rewards nor transferred control, the asset is recognised to the extent of the department’s continuing involvement in the asset.</w:t>
      </w:r>
    </w:p>
    <w:p w:rsidRPr="00532267" w:rsidR="00532267" w:rsidP="00532267" w:rsidRDefault="00532267" w14:paraId="6D0E935A" w14:textId="77777777">
      <w:r w:rsidRPr="00532267">
        <w:rPr>
          <w:b/>
        </w:rPr>
        <w:t>Derecognition of financial liabilities:</w:t>
      </w:r>
      <w:r w:rsidRPr="00532267">
        <w:t xml:space="preserve"> A financial liability is derecognised when the obligation under the liability is discharged, cancelled or expired.</w:t>
      </w:r>
    </w:p>
    <w:p w:rsidRPr="00532267" w:rsidR="00532267" w:rsidP="00532267" w:rsidRDefault="00532267" w14:paraId="6337E58B" w14:textId="77777777">
      <w:r w:rsidRPr="00532267">
        <w:t xml:space="preserve">When an existing financial liability is replaced by another from the same lender on substantially different terms, or the terms of an existing liability are substantially modified, such an exchange or modification is treated as a derecognition of the original </w:t>
      </w:r>
      <w:r w:rsidRPr="00532267">
        <w:lastRenderedPageBreak/>
        <w:t>liability and the recognition of a new liability.  The difference in the respective carrying amounts is recognised as an ‘other economic flow’ in the comprehensive operating statement.</w:t>
      </w:r>
    </w:p>
    <w:p w:rsidRPr="001F598A" w:rsidR="00532267" w:rsidP="001F598A" w:rsidRDefault="00532267" w14:paraId="00A143EE" w14:textId="3CEEA985">
      <w:pPr>
        <w:pStyle w:val="Heading4"/>
      </w:pPr>
      <w:r w:rsidRPr="001F598A">
        <w:t xml:space="preserve">8.2.2 Net holding gain/(loss) on financial instruments by category </w:t>
      </w:r>
      <w:r w:rsidRPr="001F598A">
        <w:rPr>
          <w:vertAlign w:val="superscript"/>
        </w:rPr>
        <w:t>(i)</w:t>
      </w:r>
    </w:p>
    <w:tbl>
      <w:tblPr>
        <w:tblW w:w="0" w:type="auto"/>
        <w:tblLayout w:type="fixed"/>
        <w:tblCellMar>
          <w:left w:w="0" w:type="dxa"/>
          <w:right w:w="0" w:type="dxa"/>
        </w:tblCellMar>
        <w:tblLook w:firstRow="1" w:lastRow="0" w:firstColumn="0" w:lastColumn="0" w:noHBand="0" w:noVBand="0" w:val="0020"/>
      </w:tblPr>
      <w:tblGrid>
        <w:gridCol w:w="5529"/>
        <w:gridCol w:w="1275"/>
        <w:gridCol w:w="1756"/>
        <w:gridCol w:w="1351"/>
      </w:tblGrid>
      <w:tr w:rsidRPr="001F598A" w:rsidR="00532267" w:rsidTr="001F598A" w14:paraId="5C5CBF01" w14:textId="77777777">
        <w:trPr>
          <w:tblHeader/>
        </w:trPr>
        <w:tc>
          <w:tcPr>
            <w:tcW w:w="5529"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5B7AD72" w14:textId="77777777">
            <w:pPr>
              <w:pStyle w:val="tablebody"/>
              <w:rPr>
                <w:b/>
                <w:lang w:val="en-US"/>
              </w:rPr>
            </w:pP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285B9CB" w14:textId="77777777">
            <w:pPr>
              <w:pStyle w:val="tablebody"/>
              <w:jc w:val="right"/>
              <w:rPr>
                <w:b/>
                <w:lang w:val="en-US"/>
              </w:rPr>
            </w:pP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F357BB5" w14:textId="77777777">
            <w:pPr>
              <w:pStyle w:val="tablebody"/>
              <w:jc w:val="right"/>
              <w:rPr>
                <w:b/>
                <w:lang w:val="en-US"/>
              </w:rPr>
            </w:pP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1D7BC39" w14:textId="77777777">
            <w:pPr>
              <w:pStyle w:val="tablebody"/>
              <w:jc w:val="right"/>
              <w:rPr>
                <w:b/>
              </w:rPr>
            </w:pPr>
            <w:r w:rsidRPr="001F598A">
              <w:rPr>
                <w:b/>
              </w:rPr>
              <w:t>($ thousand)</w:t>
            </w:r>
          </w:p>
        </w:tc>
      </w:tr>
      <w:tr w:rsidRPr="001F598A" w:rsidR="00532267" w:rsidTr="001F598A" w14:paraId="6D9F7B56" w14:textId="77777777">
        <w:trPr>
          <w:tblHeader/>
        </w:trPr>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D188392" w14:textId="77777777">
            <w:pPr>
              <w:pStyle w:val="tablebody"/>
              <w:rPr>
                <w:b/>
              </w:rPr>
            </w:pPr>
            <w:r w:rsidRPr="001F598A">
              <w:rPr>
                <w:b/>
              </w:rPr>
              <w:t>2019</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07C5BB1" w14:textId="77777777">
            <w:pPr>
              <w:pStyle w:val="tablebody"/>
              <w:jc w:val="right"/>
              <w:rPr>
                <w:b/>
              </w:rPr>
            </w:pPr>
            <w:r w:rsidRPr="001F598A">
              <w:rPr>
                <w:b/>
              </w:rPr>
              <w:t>Net holding gain/(loss)</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DD6859F" w14:textId="7F10ADDB">
            <w:pPr>
              <w:pStyle w:val="tablebody"/>
              <w:jc w:val="right"/>
              <w:rPr>
                <w:b/>
              </w:rPr>
            </w:pPr>
            <w:r w:rsidRPr="001F598A">
              <w:rPr>
                <w:b/>
              </w:rPr>
              <w:t xml:space="preserve">Total interest </w:t>
            </w:r>
            <w:r w:rsidR="001F598A">
              <w:rPr>
                <w:b/>
              </w:rPr>
              <w:br/>
            </w:r>
            <w:r w:rsidRPr="001F598A">
              <w:rPr>
                <w:b/>
              </w:rPr>
              <w:t>income / (expense)</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9D0E2F4" w14:textId="77777777">
            <w:pPr>
              <w:pStyle w:val="tablebody"/>
              <w:jc w:val="right"/>
              <w:rPr>
                <w:b/>
              </w:rPr>
            </w:pPr>
            <w:r w:rsidRPr="001F598A">
              <w:rPr>
                <w:b/>
              </w:rPr>
              <w:t>Total</w:t>
            </w:r>
          </w:p>
        </w:tc>
      </w:tr>
      <w:tr w:rsidRPr="001F598A" w:rsidR="00532267" w:rsidTr="001F598A" w14:paraId="45320C5D" w14:textId="77777777">
        <w:tc>
          <w:tcPr>
            <w:tcW w:w="5529"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1A4B8423" w14:textId="77777777">
            <w:pPr>
              <w:pStyle w:val="tablebody"/>
              <w:rPr>
                <w:b/>
              </w:rPr>
            </w:pPr>
            <w:r w:rsidRPr="001F598A">
              <w:rPr>
                <w:b/>
              </w:rPr>
              <w:t>Contractual financial assets</w:t>
            </w:r>
          </w:p>
        </w:tc>
        <w:tc>
          <w:tcPr>
            <w:tcW w:w="1275"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5E18E9C9" w14:textId="77777777">
            <w:pPr>
              <w:pStyle w:val="tablebody"/>
              <w:jc w:val="right"/>
              <w:rPr>
                <w:b/>
                <w:lang w:val="en-US"/>
              </w:rPr>
            </w:pPr>
          </w:p>
        </w:tc>
        <w:tc>
          <w:tcPr>
            <w:tcW w:w="1756"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7CCDB143" w14:textId="77777777">
            <w:pPr>
              <w:pStyle w:val="tablebody"/>
              <w:jc w:val="right"/>
              <w:rPr>
                <w:b/>
                <w:lang w:val="en-US"/>
              </w:rPr>
            </w:pPr>
          </w:p>
        </w:tc>
        <w:tc>
          <w:tcPr>
            <w:tcW w:w="135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7A165118" w14:textId="77777777">
            <w:pPr>
              <w:pStyle w:val="tablebody"/>
              <w:jc w:val="right"/>
              <w:rPr>
                <w:b/>
                <w:lang w:val="en-US"/>
              </w:rPr>
            </w:pPr>
          </w:p>
        </w:tc>
      </w:tr>
      <w:tr w:rsidRPr="00532267" w:rsidR="00532267" w:rsidTr="001F598A" w14:paraId="746811CF" w14:textId="77777777">
        <w:tc>
          <w:tcPr>
            <w:tcW w:w="5529"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2C11355C" w14:textId="77777777">
            <w:pPr>
              <w:pStyle w:val="tablebody"/>
            </w:pPr>
            <w:r w:rsidRPr="00532267">
              <w:t>Designated at fair value through net result</w:t>
            </w:r>
          </w:p>
        </w:tc>
        <w:tc>
          <w:tcPr>
            <w:tcW w:w="1275"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2B38E1A4" w14:textId="77777777">
            <w:pPr>
              <w:pStyle w:val="tablebody"/>
              <w:jc w:val="right"/>
            </w:pPr>
            <w:r w:rsidRPr="00532267">
              <w:t xml:space="preserve">(2,481) </w:t>
            </w:r>
          </w:p>
        </w:tc>
        <w:tc>
          <w:tcPr>
            <w:tcW w:w="1756"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4035148A" w14:textId="77777777">
            <w:pPr>
              <w:pStyle w:val="tablebody"/>
              <w:jc w:val="right"/>
            </w:pPr>
            <w:r w:rsidRPr="00532267">
              <w:t xml:space="preserve">0 </w:t>
            </w:r>
          </w:p>
        </w:tc>
        <w:tc>
          <w:tcPr>
            <w:tcW w:w="1351"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4F61C24E" w14:textId="77777777">
            <w:pPr>
              <w:pStyle w:val="tablebody"/>
              <w:jc w:val="right"/>
            </w:pPr>
            <w:r w:rsidRPr="00532267">
              <w:t xml:space="preserve">(2,481) </w:t>
            </w:r>
          </w:p>
        </w:tc>
      </w:tr>
      <w:tr w:rsidRPr="00532267" w:rsidR="00532267" w:rsidTr="001F598A" w14:paraId="41082F61" w14:textId="77777777">
        <w:tc>
          <w:tcPr>
            <w:tcW w:w="552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57802C7B" w14:textId="77777777">
            <w:pPr>
              <w:pStyle w:val="tablebody"/>
            </w:pPr>
            <w:r w:rsidRPr="00532267">
              <w:t>At amortised cost</w:t>
            </w: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B37554E" w14:textId="77777777">
            <w:pPr>
              <w:pStyle w:val="tablebody"/>
              <w:jc w:val="right"/>
            </w:pPr>
            <w:r w:rsidRPr="00532267">
              <w:t xml:space="preserve">633 </w:t>
            </w: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4D07D62" w14:textId="77777777">
            <w:pPr>
              <w:pStyle w:val="tablebody"/>
              <w:jc w:val="right"/>
            </w:pPr>
            <w:r w:rsidRPr="00532267">
              <w:t xml:space="preserve">1,273 </w:t>
            </w: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D66EFBF" w14:textId="77777777">
            <w:pPr>
              <w:pStyle w:val="tablebody"/>
              <w:jc w:val="right"/>
            </w:pPr>
            <w:r w:rsidRPr="00532267">
              <w:t xml:space="preserve">1,906 </w:t>
            </w:r>
          </w:p>
        </w:tc>
      </w:tr>
      <w:tr w:rsidRPr="001F598A" w:rsidR="00532267" w:rsidTr="001F598A" w14:paraId="51A67FB8" w14:textId="77777777">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20E7088" w14:textId="77777777">
            <w:pPr>
              <w:pStyle w:val="tablebody"/>
              <w:rPr>
                <w:b/>
              </w:rPr>
            </w:pPr>
            <w:r w:rsidRPr="001F598A">
              <w:rPr>
                <w:b/>
              </w:rPr>
              <w:t>Total contractual financial assets</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EFFF882" w14:textId="77777777">
            <w:pPr>
              <w:pStyle w:val="tablebody"/>
              <w:jc w:val="right"/>
              <w:rPr>
                <w:b/>
              </w:rPr>
            </w:pPr>
            <w:r w:rsidRPr="001F598A">
              <w:rPr>
                <w:b/>
              </w:rPr>
              <w:t xml:space="preserve">(1,848) </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CED6AAB" w14:textId="77777777">
            <w:pPr>
              <w:pStyle w:val="tablebody"/>
              <w:jc w:val="right"/>
              <w:rPr>
                <w:b/>
              </w:rPr>
            </w:pPr>
            <w:r w:rsidRPr="001F598A">
              <w:rPr>
                <w:b/>
              </w:rPr>
              <w:t xml:space="preserve">1,273 </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B21FAFD" w14:textId="77777777">
            <w:pPr>
              <w:pStyle w:val="tablebody"/>
              <w:jc w:val="right"/>
              <w:rPr>
                <w:b/>
              </w:rPr>
            </w:pPr>
            <w:r w:rsidRPr="001F598A">
              <w:rPr>
                <w:b/>
              </w:rPr>
              <w:t xml:space="preserve">(575) </w:t>
            </w:r>
          </w:p>
        </w:tc>
      </w:tr>
      <w:tr w:rsidRPr="001F598A" w:rsidR="00532267" w:rsidTr="001F598A" w14:paraId="1BE32B27" w14:textId="77777777">
        <w:tc>
          <w:tcPr>
            <w:tcW w:w="5529"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7B7E9E71" w14:textId="77777777">
            <w:pPr>
              <w:pStyle w:val="tablebody"/>
              <w:rPr>
                <w:b/>
              </w:rPr>
            </w:pPr>
            <w:r w:rsidRPr="001F598A">
              <w:rPr>
                <w:b/>
              </w:rPr>
              <w:t>Contractual financial liabilities</w:t>
            </w:r>
          </w:p>
        </w:tc>
        <w:tc>
          <w:tcPr>
            <w:tcW w:w="1275"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39144C5" w14:textId="77777777">
            <w:pPr>
              <w:pStyle w:val="tablebody"/>
              <w:jc w:val="right"/>
              <w:rPr>
                <w:b/>
                <w:lang w:val="en-US"/>
              </w:rPr>
            </w:pPr>
          </w:p>
        </w:tc>
        <w:tc>
          <w:tcPr>
            <w:tcW w:w="1756"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37080CD0" w14:textId="77777777">
            <w:pPr>
              <w:pStyle w:val="tablebody"/>
              <w:jc w:val="right"/>
              <w:rPr>
                <w:b/>
                <w:lang w:val="en-US"/>
              </w:rPr>
            </w:pPr>
          </w:p>
        </w:tc>
        <w:tc>
          <w:tcPr>
            <w:tcW w:w="135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AE059D5" w14:textId="77777777">
            <w:pPr>
              <w:pStyle w:val="tablebody"/>
              <w:jc w:val="right"/>
              <w:rPr>
                <w:b/>
                <w:lang w:val="en-US"/>
              </w:rPr>
            </w:pPr>
          </w:p>
        </w:tc>
      </w:tr>
      <w:tr w:rsidRPr="00532267" w:rsidR="00532267" w:rsidTr="001F598A" w14:paraId="5879D5BE" w14:textId="77777777">
        <w:tc>
          <w:tcPr>
            <w:tcW w:w="552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4FB4AC9" w14:textId="77777777">
            <w:pPr>
              <w:pStyle w:val="tablebody"/>
            </w:pPr>
            <w:r w:rsidRPr="00532267">
              <w:t>At amortised cost</w:t>
            </w: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770F621" w14:textId="77777777">
            <w:pPr>
              <w:pStyle w:val="tablebody"/>
              <w:jc w:val="right"/>
            </w:pPr>
            <w:r w:rsidRPr="00532267">
              <w:t xml:space="preserve">0 </w:t>
            </w: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39F4C97" w14:textId="77777777">
            <w:pPr>
              <w:pStyle w:val="tablebody"/>
              <w:jc w:val="right"/>
            </w:pPr>
            <w:r w:rsidRPr="00532267">
              <w:t xml:space="preserve">63,635 </w:t>
            </w: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14A3FAE" w14:textId="77777777">
            <w:pPr>
              <w:pStyle w:val="tablebody"/>
              <w:jc w:val="right"/>
            </w:pPr>
            <w:r w:rsidRPr="00532267">
              <w:t xml:space="preserve">63,635 </w:t>
            </w:r>
          </w:p>
        </w:tc>
      </w:tr>
      <w:tr w:rsidRPr="001F598A" w:rsidR="00532267" w:rsidTr="001F598A" w14:paraId="6F1CF9ED" w14:textId="77777777">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509CA91" w14:textId="77777777">
            <w:pPr>
              <w:pStyle w:val="tablebody"/>
              <w:rPr>
                <w:b/>
              </w:rPr>
            </w:pPr>
            <w:r w:rsidRPr="001F598A">
              <w:rPr>
                <w:b/>
              </w:rPr>
              <w:t>Total contractual financial liabilities</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3ACEFC5" w14:textId="77777777">
            <w:pPr>
              <w:pStyle w:val="tablebody"/>
              <w:jc w:val="right"/>
              <w:rPr>
                <w:b/>
              </w:rPr>
            </w:pPr>
            <w:r w:rsidRPr="001F598A">
              <w:rPr>
                <w:b/>
              </w:rPr>
              <w:t xml:space="preserve">0 </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C774344" w14:textId="77777777">
            <w:pPr>
              <w:pStyle w:val="tablebody"/>
              <w:jc w:val="right"/>
              <w:rPr>
                <w:b/>
              </w:rPr>
            </w:pPr>
            <w:r w:rsidRPr="001F598A">
              <w:rPr>
                <w:b/>
              </w:rPr>
              <w:t xml:space="preserve">63,635 </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65C545C" w14:textId="77777777">
            <w:pPr>
              <w:pStyle w:val="tablebody"/>
              <w:jc w:val="right"/>
              <w:rPr>
                <w:b/>
              </w:rPr>
            </w:pPr>
            <w:r w:rsidRPr="001F598A">
              <w:rPr>
                <w:b/>
              </w:rPr>
              <w:t xml:space="preserve">63,635 </w:t>
            </w:r>
          </w:p>
        </w:tc>
      </w:tr>
      <w:tr w:rsidRPr="00532267" w:rsidR="00532267" w:rsidTr="001F598A" w14:paraId="4058B3EA" w14:textId="77777777">
        <w:tc>
          <w:tcPr>
            <w:tcW w:w="5529"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45ACF541" w14:textId="77777777">
            <w:pPr>
              <w:pStyle w:val="tablebody"/>
              <w:rPr>
                <w:lang w:val="en-US"/>
              </w:rPr>
            </w:pPr>
          </w:p>
        </w:tc>
        <w:tc>
          <w:tcPr>
            <w:tcW w:w="1275"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174997B5" w14:textId="77777777">
            <w:pPr>
              <w:pStyle w:val="tablebody"/>
              <w:jc w:val="right"/>
              <w:rPr>
                <w:lang w:val="en-US"/>
              </w:rPr>
            </w:pPr>
          </w:p>
        </w:tc>
        <w:tc>
          <w:tcPr>
            <w:tcW w:w="1756"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7D4DAD1A" w14:textId="77777777">
            <w:pPr>
              <w:pStyle w:val="tablebody"/>
              <w:jc w:val="right"/>
              <w:rPr>
                <w:lang w:val="en-US"/>
              </w:rPr>
            </w:pPr>
          </w:p>
        </w:tc>
        <w:tc>
          <w:tcPr>
            <w:tcW w:w="135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27F6C10C" w14:textId="77777777">
            <w:pPr>
              <w:pStyle w:val="tablebody"/>
              <w:jc w:val="right"/>
              <w:rPr>
                <w:lang w:val="en-US"/>
              </w:rPr>
            </w:pPr>
          </w:p>
        </w:tc>
      </w:tr>
      <w:tr w:rsidRPr="001F598A" w:rsidR="00532267" w:rsidTr="001F598A" w14:paraId="0D0ECE4F" w14:textId="77777777">
        <w:tc>
          <w:tcPr>
            <w:tcW w:w="5529"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5FAE795" w14:textId="77777777">
            <w:pPr>
              <w:pStyle w:val="tablebody"/>
              <w:rPr>
                <w:b/>
                <w:lang w:val="en-US"/>
              </w:rPr>
            </w:pP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5931539" w14:textId="77777777">
            <w:pPr>
              <w:pStyle w:val="tablebody"/>
              <w:jc w:val="right"/>
              <w:rPr>
                <w:b/>
                <w:lang w:val="en-US"/>
              </w:rPr>
            </w:pP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6A1FA3C" w14:textId="77777777">
            <w:pPr>
              <w:pStyle w:val="tablebody"/>
              <w:jc w:val="right"/>
              <w:rPr>
                <w:b/>
                <w:lang w:val="en-US"/>
              </w:rPr>
            </w:pP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F09910F" w14:textId="77777777">
            <w:pPr>
              <w:pStyle w:val="tablebody"/>
              <w:jc w:val="right"/>
              <w:rPr>
                <w:b/>
              </w:rPr>
            </w:pPr>
            <w:r w:rsidRPr="001F598A">
              <w:rPr>
                <w:b/>
              </w:rPr>
              <w:t>($ thousand)</w:t>
            </w:r>
          </w:p>
        </w:tc>
      </w:tr>
      <w:tr w:rsidRPr="001F598A" w:rsidR="00532267" w:rsidTr="001F598A" w14:paraId="20B4B660" w14:textId="77777777">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C0D68B8" w14:textId="77777777">
            <w:pPr>
              <w:pStyle w:val="tablebody"/>
              <w:rPr>
                <w:b/>
              </w:rPr>
            </w:pPr>
            <w:r w:rsidRPr="001F598A">
              <w:rPr>
                <w:b/>
              </w:rPr>
              <w:t>2018</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9772146" w14:textId="77777777">
            <w:pPr>
              <w:pStyle w:val="tablebody"/>
              <w:jc w:val="right"/>
              <w:rPr>
                <w:b/>
              </w:rPr>
            </w:pPr>
            <w:r w:rsidRPr="001F598A">
              <w:rPr>
                <w:b/>
              </w:rPr>
              <w:t>Net holding gain/(loss)</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A4470BD" w14:textId="0CAAD258">
            <w:pPr>
              <w:pStyle w:val="tablebody"/>
              <w:jc w:val="right"/>
              <w:rPr>
                <w:b/>
              </w:rPr>
            </w:pPr>
            <w:r w:rsidRPr="001F598A">
              <w:rPr>
                <w:b/>
              </w:rPr>
              <w:t xml:space="preserve">Total interest </w:t>
            </w:r>
            <w:r w:rsidR="001F598A">
              <w:rPr>
                <w:b/>
              </w:rPr>
              <w:br/>
            </w:r>
            <w:r w:rsidRPr="001F598A">
              <w:rPr>
                <w:b/>
              </w:rPr>
              <w:t>income / (expense)</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EA5FBAB" w14:textId="77777777">
            <w:pPr>
              <w:pStyle w:val="tablebody"/>
              <w:jc w:val="right"/>
              <w:rPr>
                <w:b/>
              </w:rPr>
            </w:pPr>
            <w:r w:rsidRPr="001F598A">
              <w:rPr>
                <w:b/>
              </w:rPr>
              <w:t>Total</w:t>
            </w:r>
          </w:p>
        </w:tc>
      </w:tr>
      <w:tr w:rsidRPr="001F598A" w:rsidR="00532267" w:rsidTr="001F598A" w14:paraId="3D65D100" w14:textId="77777777">
        <w:tc>
          <w:tcPr>
            <w:tcW w:w="5529"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FC53FE4" w14:textId="77777777">
            <w:pPr>
              <w:pStyle w:val="tablebody"/>
              <w:rPr>
                <w:b/>
              </w:rPr>
            </w:pPr>
            <w:r w:rsidRPr="001F598A">
              <w:rPr>
                <w:b/>
              </w:rPr>
              <w:t>Contractual financial assets</w:t>
            </w:r>
          </w:p>
        </w:tc>
        <w:tc>
          <w:tcPr>
            <w:tcW w:w="1275"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5D30DE73" w14:textId="77777777">
            <w:pPr>
              <w:pStyle w:val="tablebody"/>
              <w:jc w:val="right"/>
              <w:rPr>
                <w:b/>
                <w:lang w:val="en-US"/>
              </w:rPr>
            </w:pPr>
          </w:p>
        </w:tc>
        <w:tc>
          <w:tcPr>
            <w:tcW w:w="1756"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36D2CCB3" w14:textId="77777777">
            <w:pPr>
              <w:pStyle w:val="tablebody"/>
              <w:jc w:val="right"/>
              <w:rPr>
                <w:b/>
                <w:lang w:val="en-US"/>
              </w:rPr>
            </w:pPr>
          </w:p>
        </w:tc>
        <w:tc>
          <w:tcPr>
            <w:tcW w:w="135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5003D095" w14:textId="77777777">
            <w:pPr>
              <w:pStyle w:val="tablebody"/>
              <w:jc w:val="right"/>
              <w:rPr>
                <w:b/>
                <w:lang w:val="en-US"/>
              </w:rPr>
            </w:pPr>
          </w:p>
        </w:tc>
      </w:tr>
      <w:tr w:rsidRPr="00532267" w:rsidR="00532267" w:rsidTr="001F598A" w14:paraId="581555E8" w14:textId="77777777">
        <w:tc>
          <w:tcPr>
            <w:tcW w:w="5529"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060FC3EC" w14:textId="77777777">
            <w:pPr>
              <w:pStyle w:val="tablebody"/>
            </w:pPr>
            <w:r w:rsidRPr="00532267">
              <w:t>Designated at fair value through net result</w:t>
            </w:r>
          </w:p>
        </w:tc>
        <w:tc>
          <w:tcPr>
            <w:tcW w:w="1275"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25DBDCD3" w14:textId="77777777">
            <w:pPr>
              <w:pStyle w:val="tablebody"/>
              <w:jc w:val="right"/>
            </w:pPr>
            <w:r w:rsidRPr="00532267">
              <w:t xml:space="preserve">5,508 </w:t>
            </w:r>
          </w:p>
        </w:tc>
        <w:tc>
          <w:tcPr>
            <w:tcW w:w="1756"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7EB344F1" w14:textId="77777777">
            <w:pPr>
              <w:pStyle w:val="tablebody"/>
              <w:jc w:val="right"/>
            </w:pPr>
            <w:r w:rsidRPr="00532267">
              <w:t xml:space="preserve">0 </w:t>
            </w:r>
          </w:p>
        </w:tc>
        <w:tc>
          <w:tcPr>
            <w:tcW w:w="1351" w:type="dxa"/>
            <w:tcBorders>
              <w:top w:val="nil"/>
              <w:left w:val="nil"/>
              <w:bottom w:val="nil"/>
              <w:right w:val="nil"/>
            </w:tcBorders>
            <w:tcMar>
              <w:top w:w="28" w:type="dxa"/>
              <w:left w:w="0" w:type="dxa"/>
              <w:bottom w:w="57" w:type="dxa"/>
              <w:right w:w="0" w:type="dxa"/>
            </w:tcMar>
            <w:vAlign w:val="bottom"/>
          </w:tcPr>
          <w:p w:rsidRPr="00532267" w:rsidR="00532267" w:rsidP="001F598A" w:rsidRDefault="00532267" w14:paraId="3E68DDE4" w14:textId="77777777">
            <w:pPr>
              <w:pStyle w:val="tablebody"/>
              <w:jc w:val="right"/>
            </w:pPr>
            <w:r w:rsidRPr="00532267">
              <w:t xml:space="preserve">5,508 </w:t>
            </w:r>
          </w:p>
        </w:tc>
      </w:tr>
      <w:tr w:rsidRPr="00532267" w:rsidR="00532267" w:rsidTr="001F598A" w14:paraId="5F493005" w14:textId="77777777">
        <w:tc>
          <w:tcPr>
            <w:tcW w:w="552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58D9C91" w14:textId="77777777">
            <w:pPr>
              <w:pStyle w:val="tablebody"/>
            </w:pPr>
            <w:r w:rsidRPr="00532267">
              <w:t>Loans and receivables</w:t>
            </w: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4BC471B" w14:textId="77777777">
            <w:pPr>
              <w:pStyle w:val="tablebody"/>
              <w:jc w:val="right"/>
            </w:pPr>
            <w:r w:rsidRPr="00532267">
              <w:t xml:space="preserve">498 </w:t>
            </w: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2600CE3F" w14:textId="77777777">
            <w:pPr>
              <w:pStyle w:val="tablebody"/>
              <w:jc w:val="right"/>
            </w:pPr>
            <w:r w:rsidRPr="00532267">
              <w:t xml:space="preserve">1,814 </w:t>
            </w: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7F50EE6" w14:textId="77777777">
            <w:pPr>
              <w:pStyle w:val="tablebody"/>
              <w:jc w:val="right"/>
            </w:pPr>
            <w:r w:rsidRPr="00532267">
              <w:t xml:space="preserve">2,312 </w:t>
            </w:r>
          </w:p>
        </w:tc>
      </w:tr>
      <w:tr w:rsidRPr="001F598A" w:rsidR="00532267" w:rsidTr="001F598A" w14:paraId="68B1B5A6" w14:textId="77777777">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5C41EF0" w14:textId="77777777">
            <w:pPr>
              <w:pStyle w:val="tablebody"/>
              <w:rPr>
                <w:b/>
              </w:rPr>
            </w:pPr>
            <w:r w:rsidRPr="001F598A">
              <w:rPr>
                <w:b/>
              </w:rPr>
              <w:t>Total contractual financial assets</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FE39EFA" w14:textId="77777777">
            <w:pPr>
              <w:pStyle w:val="tablebody"/>
              <w:jc w:val="right"/>
              <w:rPr>
                <w:b/>
              </w:rPr>
            </w:pPr>
            <w:r w:rsidRPr="001F598A">
              <w:rPr>
                <w:b/>
              </w:rPr>
              <w:t xml:space="preserve">6,006 </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A56A2BA" w14:textId="77777777">
            <w:pPr>
              <w:pStyle w:val="tablebody"/>
              <w:jc w:val="right"/>
              <w:rPr>
                <w:b/>
              </w:rPr>
            </w:pPr>
            <w:r w:rsidRPr="001F598A">
              <w:rPr>
                <w:b/>
              </w:rPr>
              <w:t xml:space="preserve">1,814 </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8ADA577" w14:textId="77777777">
            <w:pPr>
              <w:pStyle w:val="tablebody"/>
              <w:jc w:val="right"/>
              <w:rPr>
                <w:b/>
              </w:rPr>
            </w:pPr>
            <w:r w:rsidRPr="001F598A">
              <w:rPr>
                <w:b/>
              </w:rPr>
              <w:t xml:space="preserve">7,820 </w:t>
            </w:r>
          </w:p>
        </w:tc>
      </w:tr>
      <w:tr w:rsidRPr="001F598A" w:rsidR="00532267" w:rsidTr="001F598A" w14:paraId="0CA1B9BB" w14:textId="77777777">
        <w:tc>
          <w:tcPr>
            <w:tcW w:w="5529"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04927EF8" w14:textId="77777777">
            <w:pPr>
              <w:pStyle w:val="tablebody"/>
              <w:rPr>
                <w:b/>
              </w:rPr>
            </w:pPr>
            <w:r w:rsidRPr="001F598A">
              <w:rPr>
                <w:b/>
              </w:rPr>
              <w:t>Contractual financial liabilities</w:t>
            </w:r>
          </w:p>
        </w:tc>
        <w:tc>
          <w:tcPr>
            <w:tcW w:w="1275"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031DA586" w14:textId="77777777">
            <w:pPr>
              <w:pStyle w:val="tablebody"/>
              <w:jc w:val="right"/>
              <w:rPr>
                <w:b/>
                <w:lang w:val="en-US"/>
              </w:rPr>
            </w:pPr>
          </w:p>
        </w:tc>
        <w:tc>
          <w:tcPr>
            <w:tcW w:w="1756"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2363A65A" w14:textId="77777777">
            <w:pPr>
              <w:pStyle w:val="tablebody"/>
              <w:jc w:val="right"/>
              <w:rPr>
                <w:b/>
                <w:lang w:val="en-US"/>
              </w:rPr>
            </w:pPr>
          </w:p>
        </w:tc>
        <w:tc>
          <w:tcPr>
            <w:tcW w:w="135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0F185AB" w14:textId="77777777">
            <w:pPr>
              <w:pStyle w:val="tablebody"/>
              <w:jc w:val="right"/>
              <w:rPr>
                <w:b/>
                <w:lang w:val="en-US"/>
              </w:rPr>
            </w:pPr>
          </w:p>
        </w:tc>
      </w:tr>
      <w:tr w:rsidRPr="00532267" w:rsidR="00532267" w:rsidTr="001F598A" w14:paraId="3D856644" w14:textId="77777777">
        <w:tc>
          <w:tcPr>
            <w:tcW w:w="552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335EEEC9" w14:textId="77777777">
            <w:pPr>
              <w:pStyle w:val="tablebody"/>
            </w:pPr>
            <w:r w:rsidRPr="00532267">
              <w:t>At amortised cost</w:t>
            </w:r>
          </w:p>
        </w:tc>
        <w:tc>
          <w:tcPr>
            <w:tcW w:w="1275"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5BFB632B" w14:textId="77777777">
            <w:pPr>
              <w:pStyle w:val="tablebody"/>
              <w:jc w:val="right"/>
            </w:pPr>
            <w:r w:rsidRPr="00532267">
              <w:t xml:space="preserve">0 </w:t>
            </w:r>
          </w:p>
        </w:tc>
        <w:tc>
          <w:tcPr>
            <w:tcW w:w="1756"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561853C4" w14:textId="77777777">
            <w:pPr>
              <w:pStyle w:val="tablebody"/>
              <w:jc w:val="right"/>
            </w:pPr>
            <w:r w:rsidRPr="00532267">
              <w:t xml:space="preserve">50,676 </w:t>
            </w:r>
          </w:p>
        </w:tc>
        <w:tc>
          <w:tcPr>
            <w:tcW w:w="13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E527CA9" w14:textId="77777777">
            <w:pPr>
              <w:pStyle w:val="tablebody"/>
              <w:jc w:val="right"/>
            </w:pPr>
            <w:r w:rsidRPr="00532267">
              <w:t xml:space="preserve">50,676 </w:t>
            </w:r>
          </w:p>
        </w:tc>
      </w:tr>
      <w:tr w:rsidRPr="001F598A" w:rsidR="00532267" w:rsidTr="001F598A" w14:paraId="42951453" w14:textId="77777777">
        <w:tc>
          <w:tcPr>
            <w:tcW w:w="552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1B116BE" w14:textId="77777777">
            <w:pPr>
              <w:pStyle w:val="tablebody"/>
              <w:rPr>
                <w:b/>
              </w:rPr>
            </w:pPr>
            <w:r w:rsidRPr="001F598A">
              <w:rPr>
                <w:b/>
              </w:rPr>
              <w:t>Total contractual financial liabilities</w:t>
            </w:r>
          </w:p>
        </w:tc>
        <w:tc>
          <w:tcPr>
            <w:tcW w:w="1275"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1C26146" w14:textId="77777777">
            <w:pPr>
              <w:pStyle w:val="tablebody"/>
              <w:jc w:val="right"/>
              <w:rPr>
                <w:b/>
              </w:rPr>
            </w:pPr>
            <w:r w:rsidRPr="001F598A">
              <w:rPr>
                <w:b/>
              </w:rPr>
              <w:t xml:space="preserve">0 </w:t>
            </w:r>
          </w:p>
        </w:tc>
        <w:tc>
          <w:tcPr>
            <w:tcW w:w="1756"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91A83A2" w14:textId="77777777">
            <w:pPr>
              <w:pStyle w:val="tablebody"/>
              <w:jc w:val="right"/>
              <w:rPr>
                <w:b/>
              </w:rPr>
            </w:pPr>
            <w:r w:rsidRPr="001F598A">
              <w:rPr>
                <w:b/>
              </w:rPr>
              <w:t xml:space="preserve">50,676 </w:t>
            </w:r>
          </w:p>
        </w:tc>
        <w:tc>
          <w:tcPr>
            <w:tcW w:w="13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938C972" w14:textId="77777777">
            <w:pPr>
              <w:pStyle w:val="tablebody"/>
              <w:jc w:val="right"/>
              <w:rPr>
                <w:b/>
              </w:rPr>
            </w:pPr>
            <w:r w:rsidRPr="001F598A">
              <w:rPr>
                <w:b/>
              </w:rPr>
              <w:t xml:space="preserve">50,676 </w:t>
            </w:r>
          </w:p>
        </w:tc>
      </w:tr>
    </w:tbl>
    <w:p w:rsidRPr="001F598A" w:rsidR="00532267" w:rsidP="001F598A" w:rsidRDefault="00532267" w14:paraId="6311DFBA" w14:textId="7D65EC5E">
      <w:pPr>
        <w:pStyle w:val="notes"/>
      </w:pPr>
      <w:r w:rsidRPr="001F598A">
        <w:t>(i) Amounts disclosed in this table exclude holding gains and losses related to statutory financial assets and liabilities.</w:t>
      </w:r>
    </w:p>
    <w:p w:rsidRPr="00532267" w:rsidR="00532267" w:rsidP="00532267" w:rsidRDefault="00532267" w14:paraId="3FC0D0A4" w14:textId="77777777">
      <w:r w:rsidRPr="00532267">
        <w:t>The net holding gains or losses disclosed above are determined as follows:</w:t>
      </w:r>
    </w:p>
    <w:p w:rsidRPr="001F598A" w:rsidR="00532267" w:rsidP="001F598A" w:rsidRDefault="00532267" w14:paraId="6310F6E6" w14:textId="77777777">
      <w:pPr>
        <w:pStyle w:val="Bullet1"/>
      </w:pPr>
      <w:r w:rsidRPr="001F598A">
        <w:t>for financial assets designated at fair value through net result, the net gain or loss is calculated by taking the movement in the fair value of the financial asset;</w:t>
      </w:r>
    </w:p>
    <w:p w:rsidRPr="001F598A" w:rsidR="00532267" w:rsidP="001F598A" w:rsidRDefault="00532267" w14:paraId="1CDCAECC" w14:textId="77777777">
      <w:pPr>
        <w:pStyle w:val="Bullet1"/>
      </w:pPr>
      <w:r w:rsidRPr="001F598A">
        <w:t>for financial assets at amortised cost, the net gain or loss is calculated by taking the movement in the fair value of the asset, the interest income, plus or minus foreign exchange gains or losses arising from revaluation of the financial assets, and minus any impairment recognised in the net result; and</w:t>
      </w:r>
    </w:p>
    <w:p w:rsidRPr="001F598A" w:rsidR="00532267" w:rsidP="001F598A" w:rsidRDefault="00532267" w14:paraId="592A8866" w14:textId="77777777">
      <w:pPr>
        <w:pStyle w:val="Bullet1"/>
      </w:pPr>
      <w:r w:rsidRPr="001F598A">
        <w:t>for financial liabilities at amortised cost, the net gain or loss is calculated by taking the interest expense, plus or minus foreign exchange gains or losses arising from the revaluation of financial liabilities measured at amortised cost.</w:t>
      </w:r>
    </w:p>
    <w:p w:rsidRPr="001F598A" w:rsidR="00532267" w:rsidP="001F598A" w:rsidRDefault="00532267" w14:paraId="4FBF850C" w14:textId="77777777">
      <w:pPr>
        <w:pStyle w:val="Heading4"/>
      </w:pPr>
      <w:r w:rsidRPr="001F598A">
        <w:t>8.2.3 Financial risk management objective and policies</w:t>
      </w:r>
    </w:p>
    <w:p w:rsidRPr="00532267" w:rsidR="00532267" w:rsidP="00532267" w:rsidRDefault="00532267" w14:paraId="01600EF4" w14:textId="77777777">
      <w:r w:rsidRPr="00532267">
        <w:t>The department’s main financial risks include credit risk, liquidity risk and market risk such as interest rate risk, equity price risk and foreign currency risk.  The department manages these financial risks in accordance with its financial risk management policy.</w:t>
      </w:r>
    </w:p>
    <w:p w:rsidRPr="00532267" w:rsidR="00532267" w:rsidP="00532267" w:rsidRDefault="00532267" w14:paraId="5D2A6834" w14:textId="77777777">
      <w:pPr>
        <w:rPr>
          <w:b/>
          <w:bCs/>
        </w:rPr>
      </w:pPr>
      <w:r w:rsidRPr="00532267">
        <w:rPr>
          <w:b/>
          <w:bCs/>
        </w:rPr>
        <w:t>Financial instruments: credit risk</w:t>
      </w:r>
    </w:p>
    <w:p w:rsidRPr="00532267" w:rsidR="00532267" w:rsidP="00532267" w:rsidRDefault="00532267" w14:paraId="3EEC6A42" w14:textId="77777777">
      <w:r w:rsidRPr="00532267">
        <w:t xml:space="preserve">Credit risks arise from the contractual financial assets of the department, which comprises cash and deposits, contractual receivables and investments and other contractual financial assets.  The department’s exposure to credit risk arises from the potential default of a counterparty on their contractual obligations resulting in financial loss to the department.  Credit risk is measured at fair value and is monitored on a regular basis.  </w:t>
      </w:r>
    </w:p>
    <w:p w:rsidRPr="00532267" w:rsidR="00532267" w:rsidP="00532267" w:rsidRDefault="00532267" w14:paraId="0EB54357" w14:textId="77777777">
      <w:r w:rsidRPr="00532267">
        <w:t>Credit risk associated with the department’s contractual financial assets is minimal because its cash and deposits and the majority of its contractual receivables are with financial institutions and government agencies.  Credit risk in relation to receivables is also monitored by management by reviewing the ageing of receivables on a monthly basis.  Credit risk in relation to the department’s investments and other contractual financial assets is managed by Treasury Corporation Victoria and the Victorian Funds Management Corporation.</w:t>
      </w:r>
    </w:p>
    <w:p w:rsidRPr="00532267" w:rsidR="00532267" w:rsidP="00532267" w:rsidRDefault="00532267" w14:paraId="5AE52085" w14:textId="77777777">
      <w:r w:rsidRPr="00532267">
        <w:t>The department does not engage in hedging for its contractual financial assets.</w:t>
      </w:r>
    </w:p>
    <w:p w:rsidRPr="00532267" w:rsidR="00532267" w:rsidP="00532267" w:rsidRDefault="00532267" w14:paraId="231D65D6" w14:textId="77777777">
      <w:r w:rsidRPr="00532267">
        <w:t>The carrying amount of contractual financial assets recorded in the financial statements, net of any allowances for losses, represents the department’s maximum exposure to credit risk without taking account of the value of any collateral obtained.</w:t>
      </w:r>
    </w:p>
    <w:p w:rsidRPr="00532267" w:rsidR="00532267" w:rsidP="00532267" w:rsidRDefault="00532267" w14:paraId="39D87C37" w14:textId="77777777">
      <w:r w:rsidRPr="00532267">
        <w:t>There has been no material change to the department’s credit risk profile in 2018-19.</w:t>
      </w:r>
    </w:p>
    <w:p w:rsidRPr="00532267" w:rsidR="00532267" w:rsidP="00532267" w:rsidRDefault="00532267" w14:paraId="412209AB" w14:textId="77777777">
      <w:pPr>
        <w:rPr>
          <w:b/>
          <w:bCs/>
        </w:rPr>
      </w:pPr>
      <w:r w:rsidRPr="00532267">
        <w:rPr>
          <w:b/>
          <w:bCs/>
        </w:rPr>
        <w:t>Impairment of financial assets under AASB 9</w:t>
      </w:r>
    </w:p>
    <w:p w:rsidRPr="00532267" w:rsidR="00532267" w:rsidP="00532267" w:rsidRDefault="00532267" w14:paraId="51D9CE18" w14:textId="77777777">
      <w:r w:rsidRPr="00532267">
        <w:t xml:space="preserve">From 1 July 2018, the department has been recording an allowance for expected credit losses for relevant financial instruments based on AASB 9’s expected credit loss approach, rather than AASB 139’s incurred loss approach. </w:t>
      </w:r>
    </w:p>
    <w:p w:rsidRPr="00532267" w:rsidR="00532267" w:rsidP="00532267" w:rsidRDefault="00532267" w14:paraId="2BC45AEB" w14:textId="77777777">
      <w:r w:rsidRPr="00532267">
        <w:lastRenderedPageBreak/>
        <w:t>Financial assets designated at fair value through net result are not subject to impairment under AASB 9.</w:t>
      </w:r>
    </w:p>
    <w:p w:rsidRPr="00532267" w:rsidR="00532267" w:rsidP="00532267" w:rsidRDefault="00532267" w14:paraId="26E0A7F0" w14:textId="77777777">
      <w:r w:rsidRPr="00532267">
        <w:t>Cash and deposits and statutory receivables are subject to impairment under AASB 9, but any impairment loss would be immaterial.</w:t>
      </w:r>
    </w:p>
    <w:p w:rsidRPr="00532267" w:rsidR="00532267" w:rsidP="00532267" w:rsidRDefault="00532267" w14:paraId="33982012" w14:textId="105421E9">
      <w:r w:rsidRPr="00532267">
        <w:t>Contractual receivables are subject to impairment under AASB 9.  The department applied AASB 9’s simplified approach to measure the expected credit losses of its contractual receivables using a lifetime expected loss allowance based on assumptions about risk of default and expected loss rates.  The department has grouped contractual receivables on shared credit risk characteristics and days past due and selected the expected credit loss rate based on the department’s experience.  On this basis, the department determined the opening loss allowance on initial application date of AASB 9 and the closing loss allowance at the end of the financial year as follows.</w:t>
      </w:r>
    </w:p>
    <w:tbl>
      <w:tblPr>
        <w:tblW w:w="0" w:type="auto"/>
        <w:tblLayout w:type="fixed"/>
        <w:tblCellMar>
          <w:left w:w="0" w:type="dxa"/>
          <w:right w:w="0" w:type="dxa"/>
        </w:tblCellMar>
        <w:tblLook w:firstRow="1" w:lastRow="0" w:firstColumn="0" w:lastColumn="0" w:noHBand="0" w:noVBand="0" w:val="0020"/>
      </w:tblPr>
      <w:tblGrid>
        <w:gridCol w:w="3912"/>
        <w:gridCol w:w="1001"/>
        <w:gridCol w:w="1002"/>
        <w:gridCol w:w="1002"/>
        <w:gridCol w:w="1001"/>
        <w:gridCol w:w="1002"/>
        <w:gridCol w:w="1001"/>
      </w:tblGrid>
      <w:tr w:rsidRPr="001F598A" w:rsidR="00532267" w:rsidTr="001F598A" w14:paraId="716C2D77" w14:textId="77777777">
        <w:trPr>
          <w:tblHeader/>
        </w:trPr>
        <w:tc>
          <w:tcPr>
            <w:tcW w:w="9921" w:type="dxa"/>
            <w:gridSpan w:val="7"/>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E1331D8" w14:textId="77777777">
            <w:pPr>
              <w:pStyle w:val="tablebody"/>
              <w:jc w:val="right"/>
              <w:rPr>
                <w:b/>
              </w:rPr>
            </w:pPr>
            <w:r w:rsidRPr="001F598A">
              <w:rPr>
                <w:b/>
              </w:rPr>
              <w:t>($ thousand)</w:t>
            </w:r>
          </w:p>
        </w:tc>
      </w:tr>
      <w:tr w:rsidRPr="001F598A" w:rsidR="00532267" w:rsidTr="001F598A" w14:paraId="199433B2" w14:textId="77777777">
        <w:trPr>
          <w:tblHeader/>
        </w:trPr>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E193420" w14:textId="77777777">
            <w:pPr>
              <w:pStyle w:val="tablebody"/>
              <w:rPr>
                <w:b/>
              </w:rPr>
            </w:pPr>
            <w:r w:rsidRPr="001F598A">
              <w:rPr>
                <w:b/>
              </w:rPr>
              <w:t>1 July 2018</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7F1A03F" w14:textId="77777777">
            <w:pPr>
              <w:pStyle w:val="tablebody"/>
              <w:jc w:val="right"/>
              <w:rPr>
                <w:b/>
              </w:rPr>
            </w:pPr>
            <w:r w:rsidRPr="001F598A">
              <w:rPr>
                <w:b/>
              </w:rPr>
              <w:t>Current</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B9D4496" w14:textId="77777777">
            <w:pPr>
              <w:pStyle w:val="tablebody"/>
              <w:jc w:val="right"/>
              <w:rPr>
                <w:b/>
              </w:rPr>
            </w:pPr>
            <w:r w:rsidRPr="001F598A">
              <w:rPr>
                <w:b/>
              </w:rPr>
              <w:t xml:space="preserve">Less than </w:t>
            </w:r>
            <w:r w:rsidRPr="001F598A">
              <w:rPr>
                <w:b/>
              </w:rPr>
              <w:br/>
              <w:t>1 month</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B5D1512" w14:textId="77777777">
            <w:pPr>
              <w:pStyle w:val="tablebody"/>
              <w:jc w:val="right"/>
              <w:rPr>
                <w:b/>
              </w:rPr>
            </w:pPr>
            <w:r w:rsidRPr="001F598A">
              <w:rPr>
                <w:b/>
              </w:rPr>
              <w:t xml:space="preserve">1 to </w:t>
            </w:r>
            <w:r w:rsidRPr="001F598A">
              <w:rPr>
                <w:b/>
              </w:rPr>
              <w:br/>
              <w:t>3 months</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CFE2090" w14:textId="77777777">
            <w:pPr>
              <w:pStyle w:val="tablebody"/>
              <w:jc w:val="right"/>
              <w:rPr>
                <w:b/>
              </w:rPr>
            </w:pPr>
            <w:r w:rsidRPr="001F598A">
              <w:rPr>
                <w:b/>
              </w:rPr>
              <w:t xml:space="preserve">3 months </w:t>
            </w:r>
            <w:r w:rsidRPr="001F598A">
              <w:rPr>
                <w:b/>
              </w:rPr>
              <w:br/>
              <w:t>to 1 year</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C342A07" w14:textId="77777777">
            <w:pPr>
              <w:pStyle w:val="tablebody"/>
              <w:jc w:val="right"/>
              <w:rPr>
                <w:b/>
              </w:rPr>
            </w:pPr>
            <w:r w:rsidRPr="001F598A">
              <w:rPr>
                <w:b/>
              </w:rPr>
              <w:t xml:space="preserve">1 to </w:t>
            </w:r>
            <w:r w:rsidRPr="001F598A">
              <w:rPr>
                <w:b/>
              </w:rPr>
              <w:br/>
              <w:t>5 years</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83D0FCE" w14:textId="77777777">
            <w:pPr>
              <w:pStyle w:val="tablebody"/>
              <w:jc w:val="right"/>
              <w:rPr>
                <w:b/>
              </w:rPr>
            </w:pPr>
            <w:r w:rsidRPr="001F598A">
              <w:rPr>
                <w:b/>
              </w:rPr>
              <w:t>Total</w:t>
            </w:r>
          </w:p>
        </w:tc>
      </w:tr>
      <w:tr w:rsidRPr="00532267" w:rsidR="00532267" w:rsidTr="001F598A" w14:paraId="5A0D4097" w14:textId="77777777">
        <w:tc>
          <w:tcPr>
            <w:tcW w:w="391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658FEFAE" w14:textId="77777777">
            <w:pPr>
              <w:pStyle w:val="tablebody"/>
            </w:pPr>
            <w:r w:rsidRPr="00532267">
              <w:t>Expected loss rate</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5DEAD301" w14:textId="77777777">
            <w:pPr>
              <w:pStyle w:val="tablebody"/>
              <w:jc w:val="right"/>
            </w:pPr>
            <w:r w:rsidRPr="00532267">
              <w:t>1%</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14ADC3AE" w14:textId="77777777">
            <w:pPr>
              <w:pStyle w:val="tablebody"/>
              <w:jc w:val="right"/>
            </w:pPr>
            <w:r w:rsidRPr="00532267">
              <w:t>1%</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6938966B" w14:textId="77777777">
            <w:pPr>
              <w:pStyle w:val="tablebody"/>
              <w:jc w:val="right"/>
            </w:pPr>
            <w:r w:rsidRPr="00532267">
              <w:t>1%</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3AEF6728" w14:textId="77777777">
            <w:pPr>
              <w:pStyle w:val="tablebody"/>
              <w:jc w:val="right"/>
            </w:pPr>
            <w:r w:rsidRPr="00532267">
              <w:t>100%</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0D552CAC" w14:textId="77777777">
            <w:pPr>
              <w:pStyle w:val="tablebody"/>
              <w:jc w:val="right"/>
            </w:pPr>
            <w:r w:rsidRPr="00532267">
              <w:t>100%</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179F6C5F" w14:textId="77777777">
            <w:pPr>
              <w:pStyle w:val="tablebody"/>
              <w:jc w:val="right"/>
              <w:rPr>
                <w:lang w:val="en-US"/>
              </w:rPr>
            </w:pPr>
          </w:p>
        </w:tc>
      </w:tr>
      <w:tr w:rsidRPr="00532267" w:rsidR="00532267" w:rsidTr="001F598A" w14:paraId="4DD1984F" w14:textId="77777777">
        <w:tc>
          <w:tcPr>
            <w:tcW w:w="391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973D704" w14:textId="77777777">
            <w:pPr>
              <w:pStyle w:val="tablebody"/>
            </w:pPr>
            <w:r w:rsidRPr="00532267">
              <w:t>Gross carrying amount of contractual receivables relating to the provision of goods and services</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C0C9F73" w14:textId="77777777">
            <w:pPr>
              <w:pStyle w:val="tablebody"/>
              <w:jc w:val="right"/>
            </w:pPr>
            <w:r w:rsidRPr="00532267">
              <w:t xml:space="preserve">9,055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B4DE74E" w14:textId="77777777">
            <w:pPr>
              <w:pStyle w:val="tablebody"/>
              <w:jc w:val="right"/>
            </w:pPr>
            <w:r w:rsidRPr="00532267">
              <w:t xml:space="preserve">1,008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6AF5DCC" w14:textId="77777777">
            <w:pPr>
              <w:pStyle w:val="tablebody"/>
              <w:jc w:val="right"/>
            </w:pPr>
            <w:r w:rsidRPr="00532267">
              <w:t xml:space="preserve">526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50AE395E" w14:textId="77777777">
            <w:pPr>
              <w:pStyle w:val="tablebody"/>
              <w:jc w:val="right"/>
            </w:pPr>
            <w:r w:rsidRPr="00532267">
              <w:t xml:space="preserve">772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6DBB852" w14:textId="77777777">
            <w:pPr>
              <w:pStyle w:val="tablebody"/>
              <w:jc w:val="right"/>
            </w:pPr>
            <w:r w:rsidRPr="00532267">
              <w:t xml:space="preserve">19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63AEE37" w14:textId="77777777">
            <w:pPr>
              <w:pStyle w:val="tablebody"/>
              <w:jc w:val="right"/>
            </w:pPr>
            <w:r w:rsidRPr="00532267">
              <w:t xml:space="preserve">11,380 </w:t>
            </w:r>
          </w:p>
        </w:tc>
      </w:tr>
      <w:tr w:rsidRPr="001F598A" w:rsidR="00532267" w:rsidTr="001F598A" w14:paraId="07734DB1" w14:textId="77777777">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CCCF0ED" w14:textId="77777777">
            <w:pPr>
              <w:pStyle w:val="tablebody"/>
              <w:rPr>
                <w:b/>
              </w:rPr>
            </w:pPr>
            <w:r w:rsidRPr="001F598A">
              <w:rPr>
                <w:b/>
              </w:rPr>
              <w:t>Loss allowance</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D43B952" w14:textId="77777777">
            <w:pPr>
              <w:pStyle w:val="tablebody"/>
              <w:jc w:val="right"/>
              <w:rPr>
                <w:b/>
              </w:rPr>
            </w:pPr>
            <w:r w:rsidRPr="001F598A">
              <w:rPr>
                <w:b/>
              </w:rPr>
              <w:t xml:space="preserve">91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A295722" w14:textId="77777777">
            <w:pPr>
              <w:pStyle w:val="tablebody"/>
              <w:jc w:val="right"/>
              <w:rPr>
                <w:b/>
              </w:rPr>
            </w:pPr>
            <w:r w:rsidRPr="001F598A">
              <w:rPr>
                <w:b/>
              </w:rPr>
              <w:t xml:space="preserve">10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F006CBE" w14:textId="77777777">
            <w:pPr>
              <w:pStyle w:val="tablebody"/>
              <w:jc w:val="right"/>
              <w:rPr>
                <w:b/>
              </w:rPr>
            </w:pPr>
            <w:r w:rsidRPr="001F598A">
              <w:rPr>
                <w:b/>
              </w:rPr>
              <w:t xml:space="preserve">5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E58BA78" w14:textId="77777777">
            <w:pPr>
              <w:pStyle w:val="tablebody"/>
              <w:jc w:val="right"/>
              <w:rPr>
                <w:b/>
              </w:rPr>
            </w:pPr>
            <w:r w:rsidRPr="001F598A">
              <w:rPr>
                <w:b/>
              </w:rPr>
              <w:t xml:space="preserve">772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CF67AC4" w14:textId="77777777">
            <w:pPr>
              <w:pStyle w:val="tablebody"/>
              <w:jc w:val="right"/>
              <w:rPr>
                <w:b/>
              </w:rPr>
            </w:pPr>
            <w:r w:rsidRPr="001F598A">
              <w:rPr>
                <w:b/>
              </w:rPr>
              <w:t xml:space="preserve">19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6D07DB5" w14:textId="77777777">
            <w:pPr>
              <w:pStyle w:val="tablebody"/>
              <w:jc w:val="right"/>
              <w:rPr>
                <w:b/>
              </w:rPr>
            </w:pPr>
            <w:r w:rsidRPr="001F598A">
              <w:rPr>
                <w:b/>
              </w:rPr>
              <w:t xml:space="preserve">897 </w:t>
            </w:r>
          </w:p>
        </w:tc>
      </w:tr>
      <w:tr w:rsidRPr="00532267" w:rsidR="00532267" w:rsidTr="001F598A" w14:paraId="31CABAA5" w14:textId="77777777">
        <w:tc>
          <w:tcPr>
            <w:tcW w:w="391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6D7836F8" w14:textId="77777777">
            <w:pPr>
              <w:pStyle w:val="tablebody"/>
            </w:pPr>
            <w:r w:rsidRPr="00532267">
              <w:t>Expected loss rate</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37E1C6B9" w14:textId="77777777">
            <w:pPr>
              <w:pStyle w:val="tablebody"/>
              <w:jc w:val="right"/>
            </w:pPr>
            <w:r w:rsidRPr="00532267">
              <w:t>16%</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6B918025" w14:textId="77777777">
            <w:pPr>
              <w:pStyle w:val="tablebody"/>
              <w:jc w:val="right"/>
              <w:rPr>
                <w:lang w:val="en-US"/>
              </w:rPr>
            </w:pP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47EDFC95" w14:textId="77777777">
            <w:pPr>
              <w:pStyle w:val="tablebody"/>
              <w:jc w:val="right"/>
              <w:rPr>
                <w:lang w:val="en-US"/>
              </w:rPr>
            </w:pP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0FFFC4C3" w14:textId="77777777">
            <w:pPr>
              <w:pStyle w:val="tablebody"/>
              <w:jc w:val="right"/>
              <w:rPr>
                <w:lang w:val="en-US"/>
              </w:rPr>
            </w:pP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622C1E24" w14:textId="77777777">
            <w:pPr>
              <w:pStyle w:val="tablebody"/>
              <w:jc w:val="right"/>
              <w:rPr>
                <w:lang w:val="en-US"/>
              </w:rPr>
            </w:pP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518D38D9" w14:textId="77777777">
            <w:pPr>
              <w:pStyle w:val="tablebody"/>
              <w:jc w:val="right"/>
              <w:rPr>
                <w:lang w:val="en-US"/>
              </w:rPr>
            </w:pPr>
          </w:p>
        </w:tc>
      </w:tr>
      <w:tr w:rsidRPr="00532267" w:rsidR="00532267" w:rsidTr="001F598A" w14:paraId="2B699608" w14:textId="77777777">
        <w:tc>
          <w:tcPr>
            <w:tcW w:w="391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9670F4D" w14:textId="77777777">
            <w:pPr>
              <w:pStyle w:val="tablebody"/>
            </w:pPr>
            <w:r w:rsidRPr="00532267">
              <w:t>Gross carrying amount of other contractual receivables</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11C2E221" w14:textId="77777777">
            <w:pPr>
              <w:pStyle w:val="tablebody"/>
              <w:jc w:val="right"/>
            </w:pPr>
            <w:r w:rsidRPr="00532267">
              <w:t xml:space="preserve">6,362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C69C7B4" w14:textId="77777777">
            <w:pPr>
              <w:pStyle w:val="tablebody"/>
              <w:jc w:val="right"/>
              <w:rPr>
                <w:lang w:val="en-US"/>
              </w:rPr>
            </w:pP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11F3BAE" w14:textId="77777777">
            <w:pPr>
              <w:pStyle w:val="tablebody"/>
              <w:jc w:val="right"/>
              <w:rPr>
                <w:lang w:val="en-US"/>
              </w:rPr>
            </w:pP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26413C48" w14:textId="77777777">
            <w:pPr>
              <w:pStyle w:val="tablebody"/>
              <w:jc w:val="right"/>
              <w:rPr>
                <w:lang w:val="en-US"/>
              </w:rPr>
            </w:pP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2FB2673B" w14:textId="77777777">
            <w:pPr>
              <w:pStyle w:val="tablebody"/>
              <w:jc w:val="right"/>
              <w:rPr>
                <w:lang w:val="en-US"/>
              </w:rPr>
            </w:pP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A2F15F0" w14:textId="77777777">
            <w:pPr>
              <w:pStyle w:val="tablebody"/>
              <w:jc w:val="right"/>
            </w:pPr>
            <w:r w:rsidRPr="00532267">
              <w:t xml:space="preserve">6,362 </w:t>
            </w:r>
          </w:p>
        </w:tc>
      </w:tr>
      <w:tr w:rsidRPr="001F598A" w:rsidR="00532267" w:rsidTr="001F598A" w14:paraId="13178CF6" w14:textId="77777777">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CAD7A0A" w14:textId="77777777">
            <w:pPr>
              <w:pStyle w:val="tablebody"/>
              <w:rPr>
                <w:b/>
              </w:rPr>
            </w:pPr>
            <w:r w:rsidRPr="001F598A">
              <w:rPr>
                <w:b/>
              </w:rPr>
              <w:t>Loss allowance</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62F8FE5" w14:textId="77777777">
            <w:pPr>
              <w:pStyle w:val="tablebody"/>
              <w:jc w:val="right"/>
              <w:rPr>
                <w:b/>
              </w:rPr>
            </w:pPr>
            <w:r w:rsidRPr="001F598A">
              <w:rPr>
                <w:b/>
              </w:rPr>
              <w:t xml:space="preserve">985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9B04239" w14:textId="77777777">
            <w:pPr>
              <w:pStyle w:val="tablebody"/>
              <w:jc w:val="right"/>
              <w:rPr>
                <w:b/>
              </w:rPr>
            </w:pPr>
            <w:r w:rsidRPr="001F598A">
              <w:rPr>
                <w:b/>
              </w:rPr>
              <w:t xml:space="preserve">0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9E94C44" w14:textId="77777777">
            <w:pPr>
              <w:pStyle w:val="tablebody"/>
              <w:jc w:val="right"/>
              <w:rPr>
                <w:b/>
              </w:rPr>
            </w:pPr>
            <w:r w:rsidRPr="001F598A">
              <w:rPr>
                <w:b/>
              </w:rPr>
              <w:t xml:space="preserve">0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61F9217" w14:textId="77777777">
            <w:pPr>
              <w:pStyle w:val="tablebody"/>
              <w:jc w:val="right"/>
              <w:rPr>
                <w:b/>
              </w:rPr>
            </w:pPr>
            <w:r w:rsidRPr="001F598A">
              <w:rPr>
                <w:b/>
              </w:rPr>
              <w:t xml:space="preserve">0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434377A" w14:textId="77777777">
            <w:pPr>
              <w:pStyle w:val="tablebody"/>
              <w:jc w:val="right"/>
              <w:rPr>
                <w:b/>
              </w:rPr>
            </w:pPr>
            <w:r w:rsidRPr="001F598A">
              <w:rPr>
                <w:b/>
              </w:rPr>
              <w:t xml:space="preserve">0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24102DD" w14:textId="77777777">
            <w:pPr>
              <w:pStyle w:val="tablebody"/>
              <w:jc w:val="right"/>
              <w:rPr>
                <w:b/>
              </w:rPr>
            </w:pPr>
            <w:r w:rsidRPr="001F598A">
              <w:rPr>
                <w:b/>
              </w:rPr>
              <w:t xml:space="preserve">985 </w:t>
            </w:r>
          </w:p>
        </w:tc>
      </w:tr>
    </w:tbl>
    <w:p w:rsidRPr="00532267" w:rsidR="00532267" w:rsidP="00532267" w:rsidRDefault="00532267" w14:paraId="2F63F53C" w14:textId="77777777"/>
    <w:tbl>
      <w:tblPr>
        <w:tblW w:w="0" w:type="auto"/>
        <w:tblLayout w:type="fixed"/>
        <w:tblCellMar>
          <w:left w:w="0" w:type="dxa"/>
          <w:right w:w="0" w:type="dxa"/>
        </w:tblCellMar>
        <w:tblLook w:firstRow="1" w:lastRow="0" w:firstColumn="0" w:lastColumn="0" w:noHBand="0" w:noVBand="0" w:val="0020"/>
      </w:tblPr>
      <w:tblGrid>
        <w:gridCol w:w="3912"/>
        <w:gridCol w:w="1001"/>
        <w:gridCol w:w="1002"/>
        <w:gridCol w:w="1002"/>
        <w:gridCol w:w="1001"/>
        <w:gridCol w:w="1002"/>
        <w:gridCol w:w="1001"/>
      </w:tblGrid>
      <w:tr w:rsidRPr="001F598A" w:rsidR="00532267" w:rsidTr="001F598A" w14:paraId="7A27503B" w14:textId="77777777">
        <w:trPr>
          <w:tblHeader/>
        </w:trPr>
        <w:tc>
          <w:tcPr>
            <w:tcW w:w="9921" w:type="dxa"/>
            <w:gridSpan w:val="7"/>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8C3C9F4" w14:textId="77777777">
            <w:pPr>
              <w:pStyle w:val="tablebody"/>
              <w:jc w:val="right"/>
              <w:rPr>
                <w:b/>
              </w:rPr>
            </w:pPr>
            <w:r w:rsidRPr="001F598A">
              <w:rPr>
                <w:b/>
              </w:rPr>
              <w:t>($ thousand)</w:t>
            </w:r>
          </w:p>
        </w:tc>
      </w:tr>
      <w:tr w:rsidRPr="001F598A" w:rsidR="00532267" w:rsidTr="001F598A" w14:paraId="796FF71B" w14:textId="77777777">
        <w:trPr>
          <w:tblHeader/>
        </w:trPr>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513DE949" w14:textId="77777777">
            <w:pPr>
              <w:pStyle w:val="tablebody"/>
              <w:rPr>
                <w:b/>
              </w:rPr>
            </w:pPr>
            <w:r w:rsidRPr="001F598A">
              <w:rPr>
                <w:b/>
              </w:rPr>
              <w:t>30 June 2019</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F2B671E" w14:textId="77777777">
            <w:pPr>
              <w:pStyle w:val="tablebody"/>
              <w:jc w:val="right"/>
              <w:rPr>
                <w:b/>
              </w:rPr>
            </w:pPr>
            <w:r w:rsidRPr="001F598A">
              <w:rPr>
                <w:b/>
              </w:rPr>
              <w:t>Current</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F1FBC52" w14:textId="77777777">
            <w:pPr>
              <w:pStyle w:val="tablebody"/>
              <w:jc w:val="right"/>
              <w:rPr>
                <w:b/>
              </w:rPr>
            </w:pPr>
            <w:r w:rsidRPr="001F598A">
              <w:rPr>
                <w:b/>
              </w:rPr>
              <w:t xml:space="preserve">Less than </w:t>
            </w:r>
            <w:r w:rsidRPr="001F598A">
              <w:rPr>
                <w:b/>
              </w:rPr>
              <w:br/>
              <w:t>1 month</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F886823" w14:textId="77777777">
            <w:pPr>
              <w:pStyle w:val="tablebody"/>
              <w:jc w:val="right"/>
              <w:rPr>
                <w:b/>
              </w:rPr>
            </w:pPr>
            <w:r w:rsidRPr="001F598A">
              <w:rPr>
                <w:b/>
              </w:rPr>
              <w:t xml:space="preserve">1 to </w:t>
            </w:r>
            <w:r w:rsidRPr="001F598A">
              <w:rPr>
                <w:b/>
              </w:rPr>
              <w:br/>
              <w:t>3 months</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F0FD217" w14:textId="77777777">
            <w:pPr>
              <w:pStyle w:val="tablebody"/>
              <w:jc w:val="right"/>
              <w:rPr>
                <w:b/>
              </w:rPr>
            </w:pPr>
            <w:r w:rsidRPr="001F598A">
              <w:rPr>
                <w:b/>
              </w:rPr>
              <w:t xml:space="preserve">3 months </w:t>
            </w:r>
            <w:r w:rsidRPr="001F598A">
              <w:rPr>
                <w:b/>
              </w:rPr>
              <w:br/>
              <w:t>to 1 year</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CFBB238" w14:textId="77777777">
            <w:pPr>
              <w:pStyle w:val="tablebody"/>
              <w:jc w:val="right"/>
              <w:rPr>
                <w:b/>
              </w:rPr>
            </w:pPr>
            <w:r w:rsidRPr="001F598A">
              <w:rPr>
                <w:b/>
              </w:rPr>
              <w:t xml:space="preserve">1 to </w:t>
            </w:r>
            <w:r w:rsidRPr="001F598A">
              <w:rPr>
                <w:b/>
              </w:rPr>
              <w:br/>
              <w:t>5 years</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EF0DD8A" w14:textId="77777777">
            <w:pPr>
              <w:pStyle w:val="tablebody"/>
              <w:jc w:val="right"/>
              <w:rPr>
                <w:b/>
              </w:rPr>
            </w:pPr>
            <w:r w:rsidRPr="001F598A">
              <w:rPr>
                <w:b/>
              </w:rPr>
              <w:t>Total</w:t>
            </w:r>
          </w:p>
        </w:tc>
      </w:tr>
      <w:tr w:rsidRPr="00532267" w:rsidR="00532267" w:rsidTr="001F598A" w14:paraId="5F09F045" w14:textId="77777777">
        <w:tc>
          <w:tcPr>
            <w:tcW w:w="391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5767D04D" w14:textId="77777777">
            <w:pPr>
              <w:pStyle w:val="tablebody"/>
            </w:pPr>
            <w:r w:rsidRPr="00532267">
              <w:t>Expected loss rate</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44AEFFCD" w14:textId="77777777">
            <w:pPr>
              <w:pStyle w:val="tablebody"/>
              <w:jc w:val="right"/>
            </w:pPr>
            <w:r w:rsidRPr="00532267">
              <w:t>1%</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08982F8C" w14:textId="77777777">
            <w:pPr>
              <w:pStyle w:val="tablebody"/>
              <w:jc w:val="right"/>
            </w:pPr>
            <w:r w:rsidRPr="00532267">
              <w:t>1%</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5164B9B1" w14:textId="77777777">
            <w:pPr>
              <w:pStyle w:val="tablebody"/>
              <w:jc w:val="right"/>
            </w:pPr>
            <w:r w:rsidRPr="00532267">
              <w:t>1%</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20349F1C" w14:textId="77777777">
            <w:pPr>
              <w:pStyle w:val="tablebody"/>
              <w:jc w:val="right"/>
            </w:pPr>
            <w:r w:rsidRPr="00532267">
              <w:t>100%</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1DC8A68D" w14:textId="77777777">
            <w:pPr>
              <w:pStyle w:val="tablebody"/>
              <w:jc w:val="right"/>
            </w:pPr>
            <w:r w:rsidRPr="00532267">
              <w:t>100%</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35AA3D99" w14:textId="77777777">
            <w:pPr>
              <w:pStyle w:val="tablebody"/>
              <w:jc w:val="right"/>
              <w:rPr>
                <w:lang w:val="en-US"/>
              </w:rPr>
            </w:pPr>
          </w:p>
        </w:tc>
      </w:tr>
      <w:tr w:rsidRPr="00532267" w:rsidR="00532267" w:rsidTr="001F598A" w14:paraId="1C39FB7E" w14:textId="77777777">
        <w:tc>
          <w:tcPr>
            <w:tcW w:w="391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1B53712B" w14:textId="77777777">
            <w:pPr>
              <w:pStyle w:val="tablebody"/>
            </w:pPr>
            <w:r w:rsidRPr="00532267">
              <w:t>Gross carrying amount of contractual receivables relating to the provision of goods and services</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B2939E3" w14:textId="77777777">
            <w:pPr>
              <w:pStyle w:val="tablebody"/>
              <w:jc w:val="right"/>
            </w:pPr>
            <w:r w:rsidRPr="00532267">
              <w:t xml:space="preserve">4,779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279EAD4E" w14:textId="77777777">
            <w:pPr>
              <w:pStyle w:val="tablebody"/>
              <w:jc w:val="right"/>
            </w:pPr>
            <w:r w:rsidRPr="00532267">
              <w:t xml:space="preserve">8,814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D6B5C49" w14:textId="77777777">
            <w:pPr>
              <w:pStyle w:val="tablebody"/>
              <w:jc w:val="right"/>
            </w:pPr>
            <w:r w:rsidRPr="00532267">
              <w:t xml:space="preserve">1,844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AC012EA" w14:textId="77777777">
            <w:pPr>
              <w:pStyle w:val="tablebody"/>
              <w:jc w:val="right"/>
            </w:pPr>
            <w:r w:rsidRPr="00532267">
              <w:t xml:space="preserve">83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5A29643" w14:textId="77777777">
            <w:pPr>
              <w:pStyle w:val="tablebody"/>
              <w:jc w:val="right"/>
            </w:pPr>
            <w:r w:rsidRPr="00532267">
              <w:t xml:space="preserve">1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296B80D4" w14:textId="77777777">
            <w:pPr>
              <w:pStyle w:val="tablebody"/>
              <w:jc w:val="right"/>
            </w:pPr>
            <w:r w:rsidRPr="00532267">
              <w:t xml:space="preserve">15,521 </w:t>
            </w:r>
          </w:p>
        </w:tc>
      </w:tr>
      <w:tr w:rsidRPr="001F598A" w:rsidR="00532267" w:rsidTr="001F598A" w14:paraId="54E2867C" w14:textId="77777777">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771C645" w14:textId="77777777">
            <w:pPr>
              <w:pStyle w:val="tablebody"/>
              <w:rPr>
                <w:b/>
              </w:rPr>
            </w:pPr>
            <w:r w:rsidRPr="001F598A">
              <w:rPr>
                <w:b/>
              </w:rPr>
              <w:t>Loss allowance</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2D0396E" w14:textId="77777777">
            <w:pPr>
              <w:pStyle w:val="tablebody"/>
              <w:jc w:val="right"/>
              <w:rPr>
                <w:b/>
              </w:rPr>
            </w:pPr>
            <w:r w:rsidRPr="001F598A">
              <w:rPr>
                <w:b/>
              </w:rPr>
              <w:t xml:space="preserve">48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9380E3F" w14:textId="77777777">
            <w:pPr>
              <w:pStyle w:val="tablebody"/>
              <w:jc w:val="right"/>
              <w:rPr>
                <w:b/>
              </w:rPr>
            </w:pPr>
            <w:r w:rsidRPr="001F598A">
              <w:rPr>
                <w:b/>
              </w:rPr>
              <w:t xml:space="preserve">88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6876633" w14:textId="77777777">
            <w:pPr>
              <w:pStyle w:val="tablebody"/>
              <w:jc w:val="right"/>
              <w:rPr>
                <w:b/>
              </w:rPr>
            </w:pPr>
            <w:r w:rsidRPr="001F598A">
              <w:rPr>
                <w:b/>
              </w:rPr>
              <w:t xml:space="preserve">18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36867CD" w14:textId="77777777">
            <w:pPr>
              <w:pStyle w:val="tablebody"/>
              <w:jc w:val="right"/>
              <w:rPr>
                <w:b/>
              </w:rPr>
            </w:pPr>
            <w:r w:rsidRPr="001F598A">
              <w:rPr>
                <w:b/>
              </w:rPr>
              <w:t xml:space="preserve">83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76302EE" w14:textId="77777777">
            <w:pPr>
              <w:pStyle w:val="tablebody"/>
              <w:jc w:val="right"/>
              <w:rPr>
                <w:b/>
              </w:rPr>
            </w:pPr>
            <w:r w:rsidRPr="001F598A">
              <w:rPr>
                <w:b/>
              </w:rPr>
              <w:t xml:space="preserve">1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C744E09" w14:textId="77777777">
            <w:pPr>
              <w:pStyle w:val="tablebody"/>
              <w:jc w:val="right"/>
              <w:rPr>
                <w:b/>
              </w:rPr>
            </w:pPr>
            <w:r w:rsidRPr="001F598A">
              <w:rPr>
                <w:b/>
              </w:rPr>
              <w:t xml:space="preserve">238 </w:t>
            </w:r>
          </w:p>
        </w:tc>
      </w:tr>
      <w:tr w:rsidRPr="00532267" w:rsidR="00532267" w:rsidTr="001F598A" w14:paraId="34DC0B7B" w14:textId="77777777">
        <w:tc>
          <w:tcPr>
            <w:tcW w:w="391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114E2D60" w14:textId="77777777">
            <w:pPr>
              <w:pStyle w:val="tablebody"/>
            </w:pPr>
            <w:r w:rsidRPr="00532267">
              <w:t>Expected loss rate</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7F2F65AE" w14:textId="77777777">
            <w:pPr>
              <w:pStyle w:val="tablebody"/>
              <w:jc w:val="right"/>
            </w:pPr>
            <w:r w:rsidRPr="00532267">
              <w:t>17%</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585CD20D" w14:textId="77777777">
            <w:pPr>
              <w:pStyle w:val="tablebody"/>
              <w:jc w:val="right"/>
              <w:rPr>
                <w:lang w:val="en-US"/>
              </w:rPr>
            </w:pP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7BF310B7" w14:textId="77777777">
            <w:pPr>
              <w:pStyle w:val="tablebody"/>
              <w:jc w:val="right"/>
              <w:rPr>
                <w:lang w:val="en-US"/>
              </w:rPr>
            </w:pP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36D52E13" w14:textId="77777777">
            <w:pPr>
              <w:pStyle w:val="tablebody"/>
              <w:jc w:val="right"/>
              <w:rPr>
                <w:lang w:val="en-US"/>
              </w:rPr>
            </w:pP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2B555077" w14:textId="77777777">
            <w:pPr>
              <w:pStyle w:val="tablebody"/>
              <w:jc w:val="right"/>
              <w:rPr>
                <w:lang w:val="en-US"/>
              </w:rPr>
            </w:pP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532267" w:rsidR="00532267" w:rsidP="001F598A" w:rsidRDefault="00532267" w14:paraId="02FCBC9A" w14:textId="77777777">
            <w:pPr>
              <w:pStyle w:val="tablebody"/>
              <w:jc w:val="right"/>
              <w:rPr>
                <w:lang w:val="en-US"/>
              </w:rPr>
            </w:pPr>
          </w:p>
        </w:tc>
      </w:tr>
      <w:tr w:rsidRPr="00532267" w:rsidR="00532267" w:rsidTr="001F598A" w14:paraId="4599EA02" w14:textId="77777777">
        <w:tc>
          <w:tcPr>
            <w:tcW w:w="391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78B1359D" w14:textId="77777777">
            <w:pPr>
              <w:pStyle w:val="tablebody"/>
            </w:pPr>
            <w:r w:rsidRPr="00532267">
              <w:t>Gross carrying amount of other contractual receivables</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162C743" w14:textId="77777777">
            <w:pPr>
              <w:pStyle w:val="tablebody"/>
              <w:jc w:val="right"/>
            </w:pPr>
            <w:r w:rsidRPr="00532267">
              <w:t xml:space="preserve">5,763 </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05833FAB" w14:textId="77777777">
            <w:pPr>
              <w:pStyle w:val="tablebody"/>
              <w:jc w:val="right"/>
              <w:rPr>
                <w:lang w:val="en-US"/>
              </w:rPr>
            </w:pP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172E2CEF" w14:textId="77777777">
            <w:pPr>
              <w:pStyle w:val="tablebody"/>
              <w:jc w:val="right"/>
              <w:rPr>
                <w:lang w:val="en-US"/>
              </w:rPr>
            </w:pP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17E8DEF" w14:textId="77777777">
            <w:pPr>
              <w:pStyle w:val="tablebody"/>
              <w:jc w:val="right"/>
              <w:rPr>
                <w:lang w:val="en-US"/>
              </w:rPr>
            </w:pP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4F18041B" w14:textId="77777777">
            <w:pPr>
              <w:pStyle w:val="tablebody"/>
              <w:jc w:val="right"/>
              <w:rPr>
                <w:lang w:val="en-US"/>
              </w:rPr>
            </w:pP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1F598A" w:rsidRDefault="00532267" w14:paraId="67626A6E" w14:textId="77777777">
            <w:pPr>
              <w:pStyle w:val="tablebody"/>
              <w:jc w:val="right"/>
            </w:pPr>
            <w:r w:rsidRPr="00532267">
              <w:t xml:space="preserve">5,763 </w:t>
            </w:r>
          </w:p>
        </w:tc>
      </w:tr>
      <w:tr w:rsidRPr="001F598A" w:rsidR="00532267" w:rsidTr="001F598A" w14:paraId="01EC35A2" w14:textId="77777777">
        <w:tc>
          <w:tcPr>
            <w:tcW w:w="391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CB325B8" w14:textId="77777777">
            <w:pPr>
              <w:pStyle w:val="tablebody"/>
              <w:rPr>
                <w:b/>
              </w:rPr>
            </w:pPr>
            <w:r w:rsidRPr="001F598A">
              <w:rPr>
                <w:b/>
              </w:rPr>
              <w:t>Loss allowance</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FBAD943" w14:textId="77777777">
            <w:pPr>
              <w:pStyle w:val="tablebody"/>
              <w:jc w:val="right"/>
              <w:rPr>
                <w:b/>
              </w:rPr>
            </w:pPr>
            <w:r w:rsidRPr="001F598A">
              <w:rPr>
                <w:b/>
              </w:rPr>
              <w:t xml:space="preserve">984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E2DBBDF" w14:textId="77777777">
            <w:pPr>
              <w:pStyle w:val="tablebody"/>
              <w:jc w:val="right"/>
              <w:rPr>
                <w:b/>
              </w:rPr>
            </w:pPr>
            <w:r w:rsidRPr="001F598A">
              <w:rPr>
                <w:b/>
              </w:rPr>
              <w:t xml:space="preserve">0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B8D66BA" w14:textId="77777777">
            <w:pPr>
              <w:pStyle w:val="tablebody"/>
              <w:jc w:val="right"/>
              <w:rPr>
                <w:b/>
              </w:rPr>
            </w:pPr>
            <w:r w:rsidRPr="001F598A">
              <w:rPr>
                <w:b/>
              </w:rPr>
              <w:t xml:space="preserve">0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AAACC35" w14:textId="77777777">
            <w:pPr>
              <w:pStyle w:val="tablebody"/>
              <w:jc w:val="right"/>
              <w:rPr>
                <w:b/>
              </w:rPr>
            </w:pPr>
            <w:r w:rsidRPr="001F598A">
              <w:rPr>
                <w:b/>
              </w:rPr>
              <w:t xml:space="preserve">0 </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568D08A" w14:textId="77777777">
            <w:pPr>
              <w:pStyle w:val="tablebody"/>
              <w:jc w:val="right"/>
              <w:rPr>
                <w:b/>
              </w:rPr>
            </w:pPr>
            <w:r w:rsidRPr="001F598A">
              <w:rPr>
                <w:b/>
              </w:rPr>
              <w:t xml:space="preserve">0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1151C51" w14:textId="77777777">
            <w:pPr>
              <w:pStyle w:val="tablebody"/>
              <w:jc w:val="right"/>
              <w:rPr>
                <w:b/>
              </w:rPr>
            </w:pPr>
            <w:r w:rsidRPr="001F598A">
              <w:rPr>
                <w:b/>
              </w:rPr>
              <w:t xml:space="preserve">984 </w:t>
            </w:r>
          </w:p>
        </w:tc>
      </w:tr>
    </w:tbl>
    <w:p w:rsidRPr="00532267" w:rsidR="00532267" w:rsidP="00532267" w:rsidRDefault="00532267" w14:paraId="5DD23209" w14:textId="77777777"/>
    <w:p w:rsidRPr="00532267" w:rsidR="00532267" w:rsidP="00532267" w:rsidRDefault="00532267" w14:paraId="3342F264" w14:textId="06A59402">
      <w:r w:rsidRPr="00532267">
        <w:t>Reconciliation of the movement in the allowance for impairment losses of contractual receivables is shown as follows.</w:t>
      </w:r>
    </w:p>
    <w:tbl>
      <w:tblPr>
        <w:tblW w:w="0" w:type="auto"/>
        <w:tblLayout w:type="fixed"/>
        <w:tblCellMar>
          <w:left w:w="0" w:type="dxa"/>
          <w:right w:w="0" w:type="dxa"/>
        </w:tblCellMar>
        <w:tblLook w:firstRow="1" w:lastRow="0" w:firstColumn="0" w:lastColumn="0" w:noHBand="0" w:noVBand="0" w:val="0020"/>
      </w:tblPr>
      <w:tblGrid>
        <w:gridCol w:w="7918"/>
        <w:gridCol w:w="1002"/>
        <w:gridCol w:w="1001"/>
      </w:tblGrid>
      <w:tr w:rsidRPr="001F598A" w:rsidR="00532267" w:rsidTr="001F598A" w14:paraId="4BDE34F4" w14:textId="77777777">
        <w:trPr>
          <w:tblHeader/>
        </w:trPr>
        <w:tc>
          <w:tcPr>
            <w:tcW w:w="9921" w:type="dxa"/>
            <w:gridSpan w:val="3"/>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A59A365" w14:textId="77777777">
            <w:pPr>
              <w:pStyle w:val="tablebody"/>
              <w:jc w:val="right"/>
              <w:rPr>
                <w:b/>
              </w:rPr>
            </w:pPr>
            <w:r w:rsidRPr="001F598A">
              <w:rPr>
                <w:b/>
              </w:rPr>
              <w:t>($ thousand)</w:t>
            </w:r>
          </w:p>
        </w:tc>
      </w:tr>
      <w:tr w:rsidRPr="001F598A" w:rsidR="00532267" w:rsidTr="001F598A" w14:paraId="6A6814BD" w14:textId="77777777">
        <w:trPr>
          <w:tblHeader/>
        </w:trPr>
        <w:tc>
          <w:tcPr>
            <w:tcW w:w="79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6A2579F" w14:textId="77777777">
            <w:pPr>
              <w:pStyle w:val="tablebody"/>
              <w:rPr>
                <w:b/>
              </w:rPr>
            </w:pP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D084694" w14:textId="77777777">
            <w:pPr>
              <w:pStyle w:val="tablebody"/>
              <w:jc w:val="right"/>
              <w:rPr>
                <w:b/>
              </w:rPr>
            </w:pPr>
            <w:r w:rsidRPr="001F598A">
              <w:rPr>
                <w:b/>
              </w:rPr>
              <w:t>2019</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188711D" w14:textId="77777777">
            <w:pPr>
              <w:pStyle w:val="tablebody"/>
              <w:jc w:val="right"/>
              <w:rPr>
                <w:b/>
              </w:rPr>
            </w:pPr>
            <w:r w:rsidRPr="001F598A">
              <w:rPr>
                <w:b/>
              </w:rPr>
              <w:t>2018</w:t>
            </w:r>
          </w:p>
        </w:tc>
      </w:tr>
      <w:tr w:rsidRPr="001F598A" w:rsidR="00532267" w:rsidTr="001F598A" w14:paraId="39864463" w14:textId="77777777">
        <w:tc>
          <w:tcPr>
            <w:tcW w:w="7918"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35F08123" w14:textId="77777777">
            <w:pPr>
              <w:pStyle w:val="tablebody"/>
            </w:pPr>
            <w:r w:rsidRPr="001F598A">
              <w:t>Balance at beginning of the year</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6696DEEC" w14:textId="77777777">
            <w:pPr>
              <w:pStyle w:val="tablebody"/>
              <w:jc w:val="right"/>
            </w:pPr>
            <w:r w:rsidRPr="001F598A">
              <w:t xml:space="preserve">(771) </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4F30150" w14:textId="77777777">
            <w:pPr>
              <w:pStyle w:val="tablebody"/>
              <w:jc w:val="right"/>
            </w:pPr>
            <w:r w:rsidRPr="001F598A">
              <w:t xml:space="preserve">(1,279) </w:t>
            </w:r>
          </w:p>
        </w:tc>
      </w:tr>
      <w:tr w:rsidRPr="001F598A" w:rsidR="00532267" w:rsidTr="001F598A" w14:paraId="60629456" w14:textId="77777777">
        <w:tc>
          <w:tcPr>
            <w:tcW w:w="7918"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6EFA5A23" w14:textId="77777777">
            <w:pPr>
              <w:pStyle w:val="tablebody"/>
            </w:pPr>
            <w:r w:rsidRPr="001F598A">
              <w:t>Opening retained earnings adjustment on adoption of AASB 9</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560D832" w14:textId="77777777">
            <w:pPr>
              <w:pStyle w:val="tablebody"/>
              <w:jc w:val="right"/>
            </w:pPr>
            <w:r w:rsidRPr="001F598A">
              <w:t xml:space="preserve">(1,111)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F52A3CC" w14:textId="77777777">
            <w:pPr>
              <w:pStyle w:val="tablebody"/>
              <w:jc w:val="right"/>
            </w:pPr>
            <w:r w:rsidRPr="001F598A">
              <w:t xml:space="preserve">0 </w:t>
            </w:r>
          </w:p>
        </w:tc>
      </w:tr>
      <w:tr w:rsidRPr="001F598A" w:rsidR="00532267" w:rsidTr="001F598A" w14:paraId="13C70F22" w14:textId="77777777">
        <w:tc>
          <w:tcPr>
            <w:tcW w:w="79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40E18F2B" w14:textId="77777777">
            <w:pPr>
              <w:pStyle w:val="tablebody"/>
              <w:rPr>
                <w:b/>
              </w:rPr>
            </w:pPr>
            <w:r w:rsidRPr="001F598A">
              <w:rPr>
                <w:b/>
              </w:rPr>
              <w:t>Opening loss allowance</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83E3BFD" w14:textId="77777777">
            <w:pPr>
              <w:pStyle w:val="tablebody"/>
              <w:jc w:val="right"/>
              <w:rPr>
                <w:b/>
              </w:rPr>
            </w:pPr>
            <w:r w:rsidRPr="001F598A">
              <w:rPr>
                <w:b/>
              </w:rPr>
              <w:t xml:space="preserve">(1,882)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6902ACE" w14:textId="77777777">
            <w:pPr>
              <w:pStyle w:val="tablebody"/>
              <w:jc w:val="right"/>
              <w:rPr>
                <w:b/>
              </w:rPr>
            </w:pPr>
            <w:r w:rsidRPr="001F598A">
              <w:rPr>
                <w:b/>
              </w:rPr>
              <w:t xml:space="preserve">(1,279) </w:t>
            </w:r>
          </w:p>
        </w:tc>
      </w:tr>
      <w:tr w:rsidRPr="001F598A" w:rsidR="00532267" w:rsidTr="001F598A" w14:paraId="4A483CAC" w14:textId="77777777">
        <w:tc>
          <w:tcPr>
            <w:tcW w:w="7918"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569C4D36" w14:textId="77777777">
            <w:pPr>
              <w:pStyle w:val="tablebody"/>
            </w:pPr>
            <w:r w:rsidRPr="001F598A">
              <w:t>Increase in allowance recognised in the net result</w:t>
            </w:r>
          </w:p>
        </w:tc>
        <w:tc>
          <w:tcPr>
            <w:tcW w:w="1002"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454B03DB" w14:textId="77777777">
            <w:pPr>
              <w:pStyle w:val="tablebody"/>
              <w:jc w:val="right"/>
            </w:pPr>
            <w:r w:rsidRPr="001F598A">
              <w:t xml:space="preserve">(7) </w:t>
            </w:r>
          </w:p>
        </w:tc>
        <w:tc>
          <w:tcPr>
            <w:tcW w:w="1001" w:type="dxa"/>
            <w:tcBorders>
              <w:top w:val="single" w:color="000000" w:sz="6" w:space="0"/>
              <w:left w:val="nil"/>
              <w:bottom w:val="nil"/>
              <w:right w:val="nil"/>
            </w:tcBorders>
            <w:tcMar>
              <w:top w:w="28" w:type="dxa"/>
              <w:left w:w="0" w:type="dxa"/>
              <w:bottom w:w="57" w:type="dxa"/>
              <w:right w:w="0" w:type="dxa"/>
            </w:tcMar>
            <w:vAlign w:val="bottom"/>
          </w:tcPr>
          <w:p w:rsidRPr="001F598A" w:rsidR="00532267" w:rsidP="001F598A" w:rsidRDefault="00532267" w14:paraId="69DFD055" w14:textId="77777777">
            <w:pPr>
              <w:pStyle w:val="tablebody"/>
              <w:jc w:val="right"/>
            </w:pPr>
            <w:r w:rsidRPr="001F598A">
              <w:t xml:space="preserve">0 </w:t>
            </w:r>
          </w:p>
        </w:tc>
      </w:tr>
      <w:tr w:rsidRPr="001F598A" w:rsidR="00532267" w:rsidTr="001F598A" w14:paraId="55E67208" w14:textId="77777777">
        <w:tc>
          <w:tcPr>
            <w:tcW w:w="7918" w:type="dxa"/>
            <w:tcBorders>
              <w:top w:val="nil"/>
              <w:left w:val="nil"/>
              <w:bottom w:val="nil"/>
              <w:right w:val="nil"/>
            </w:tcBorders>
            <w:tcMar>
              <w:top w:w="28" w:type="dxa"/>
              <w:left w:w="0" w:type="dxa"/>
              <w:bottom w:w="57" w:type="dxa"/>
              <w:right w:w="0" w:type="dxa"/>
            </w:tcMar>
            <w:vAlign w:val="bottom"/>
          </w:tcPr>
          <w:p w:rsidRPr="001F598A" w:rsidR="00532267" w:rsidP="001F598A" w:rsidRDefault="00532267" w14:paraId="504C6C9F" w14:textId="77777777">
            <w:pPr>
              <w:pStyle w:val="tablebody"/>
            </w:pPr>
            <w:r w:rsidRPr="001F598A">
              <w:t>Reversal of allowance for receivables written off during the year as uncollectible</w:t>
            </w:r>
          </w:p>
        </w:tc>
        <w:tc>
          <w:tcPr>
            <w:tcW w:w="1002" w:type="dxa"/>
            <w:tcBorders>
              <w:top w:val="nil"/>
              <w:left w:val="nil"/>
              <w:bottom w:val="nil"/>
              <w:right w:val="nil"/>
            </w:tcBorders>
            <w:tcMar>
              <w:top w:w="28" w:type="dxa"/>
              <w:left w:w="0" w:type="dxa"/>
              <w:bottom w:w="57" w:type="dxa"/>
              <w:right w:w="0" w:type="dxa"/>
            </w:tcMar>
            <w:vAlign w:val="bottom"/>
          </w:tcPr>
          <w:p w:rsidRPr="001F598A" w:rsidR="00532267" w:rsidP="001F598A" w:rsidRDefault="00532267" w14:paraId="1EEFFD4F" w14:textId="77777777">
            <w:pPr>
              <w:pStyle w:val="tablebody"/>
              <w:jc w:val="right"/>
            </w:pPr>
            <w:r w:rsidRPr="001F598A">
              <w:t xml:space="preserve">7 </w:t>
            </w:r>
          </w:p>
        </w:tc>
        <w:tc>
          <w:tcPr>
            <w:tcW w:w="1001" w:type="dxa"/>
            <w:tcBorders>
              <w:top w:val="nil"/>
              <w:left w:val="nil"/>
              <w:bottom w:val="nil"/>
              <w:right w:val="nil"/>
            </w:tcBorders>
            <w:tcMar>
              <w:top w:w="28" w:type="dxa"/>
              <w:left w:w="0" w:type="dxa"/>
              <w:bottom w:w="57" w:type="dxa"/>
              <w:right w:w="0" w:type="dxa"/>
            </w:tcMar>
            <w:vAlign w:val="bottom"/>
          </w:tcPr>
          <w:p w:rsidRPr="001F598A" w:rsidR="00532267" w:rsidP="001F598A" w:rsidRDefault="00532267" w14:paraId="77D5889A" w14:textId="77777777">
            <w:pPr>
              <w:pStyle w:val="tablebody"/>
              <w:jc w:val="right"/>
            </w:pPr>
            <w:r w:rsidRPr="001F598A">
              <w:t xml:space="preserve">482 </w:t>
            </w:r>
          </w:p>
        </w:tc>
      </w:tr>
      <w:tr w:rsidRPr="001F598A" w:rsidR="00532267" w:rsidTr="001F598A" w14:paraId="266160E9" w14:textId="77777777">
        <w:tc>
          <w:tcPr>
            <w:tcW w:w="7918"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4B180F1" w14:textId="77777777">
            <w:pPr>
              <w:pStyle w:val="tablebody"/>
            </w:pPr>
            <w:r w:rsidRPr="001F598A">
              <w:t>Reversal of unused allowance recognised in the net result</w:t>
            </w:r>
          </w:p>
        </w:tc>
        <w:tc>
          <w:tcPr>
            <w:tcW w:w="1002"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28AC3D79" w14:textId="77777777">
            <w:pPr>
              <w:pStyle w:val="tablebody"/>
              <w:jc w:val="right"/>
            </w:pPr>
            <w:r w:rsidRPr="001F598A">
              <w:t xml:space="preserve">659 </w:t>
            </w:r>
          </w:p>
        </w:tc>
        <w:tc>
          <w:tcPr>
            <w:tcW w:w="1001" w:type="dxa"/>
            <w:tcBorders>
              <w:top w:val="nil"/>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72BF0CF7" w14:textId="77777777">
            <w:pPr>
              <w:pStyle w:val="tablebody"/>
              <w:jc w:val="right"/>
            </w:pPr>
            <w:r w:rsidRPr="001F598A">
              <w:t xml:space="preserve">26 </w:t>
            </w:r>
          </w:p>
        </w:tc>
      </w:tr>
      <w:tr w:rsidRPr="001F598A" w:rsidR="00532267" w:rsidTr="001F598A" w14:paraId="56F7C51E" w14:textId="77777777">
        <w:tc>
          <w:tcPr>
            <w:tcW w:w="7918"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00CF83D2" w14:textId="77777777">
            <w:pPr>
              <w:pStyle w:val="tablebody"/>
              <w:rPr>
                <w:b/>
              </w:rPr>
            </w:pPr>
            <w:r w:rsidRPr="001F598A">
              <w:rPr>
                <w:b/>
              </w:rPr>
              <w:t>Balance at end of the year</w:t>
            </w:r>
          </w:p>
        </w:tc>
        <w:tc>
          <w:tcPr>
            <w:tcW w:w="100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3400B31B" w14:textId="77777777">
            <w:pPr>
              <w:pStyle w:val="tablebody"/>
              <w:jc w:val="right"/>
              <w:rPr>
                <w:b/>
              </w:rPr>
            </w:pPr>
            <w:r w:rsidRPr="001F598A">
              <w:rPr>
                <w:b/>
              </w:rPr>
              <w:t xml:space="preserve">(1,223) </w:t>
            </w:r>
          </w:p>
        </w:tc>
        <w:tc>
          <w:tcPr>
            <w:tcW w:w="10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1F598A" w:rsidR="00532267" w:rsidP="001F598A" w:rsidRDefault="00532267" w14:paraId="19E3E5E8" w14:textId="77777777">
            <w:pPr>
              <w:pStyle w:val="tablebody"/>
              <w:jc w:val="right"/>
              <w:rPr>
                <w:b/>
              </w:rPr>
            </w:pPr>
            <w:r w:rsidRPr="001F598A">
              <w:rPr>
                <w:b/>
              </w:rPr>
              <w:t xml:space="preserve">(771) </w:t>
            </w:r>
          </w:p>
        </w:tc>
      </w:tr>
    </w:tbl>
    <w:p w:rsidRPr="00532267" w:rsidR="00532267" w:rsidP="00532267" w:rsidRDefault="00532267" w14:paraId="7A51EB32" w14:textId="77777777"/>
    <w:p w:rsidRPr="00532267" w:rsidR="00532267" w:rsidP="00532267" w:rsidRDefault="00532267" w14:paraId="33B8D6D9" w14:textId="77777777">
      <w:r w:rsidRPr="00532267">
        <w:t>Movements in the allowance for impairment losses of contractual receivables are classified as other economic flows in the net result.  Contractual receivables are written off when there is no reasonable expectation of recovery and these impairment losses are classified as either a transaction expense or other economic flows in the net result.  Subsequent recoveries of amounts previously written off are credited against the same line item.</w:t>
      </w:r>
    </w:p>
    <w:p w:rsidRPr="00532267" w:rsidR="00532267" w:rsidP="00532267" w:rsidRDefault="00532267" w14:paraId="55171C12" w14:textId="77777777">
      <w:r w:rsidRPr="00532267">
        <w:t>In prior years, a provision for doubtful debts was recognised when there was objective evidence that the debts may not be collected and bad debts were written off when identified.  A provision was made for estimated irrecoverable amounts when there was objective evidence that an individual receivable was impaired.</w:t>
      </w:r>
    </w:p>
    <w:p w:rsidRPr="00532267" w:rsidR="00532267" w:rsidP="00532267" w:rsidRDefault="00532267" w14:paraId="729CC530" w14:textId="77777777">
      <w:pPr>
        <w:rPr>
          <w:b/>
          <w:bCs/>
        </w:rPr>
      </w:pPr>
      <w:r w:rsidRPr="00532267">
        <w:rPr>
          <w:b/>
          <w:bCs/>
        </w:rPr>
        <w:t>Financial instruments: liquidity risk</w:t>
      </w:r>
    </w:p>
    <w:p w:rsidRPr="00532267" w:rsidR="00532267" w:rsidP="00532267" w:rsidRDefault="00532267" w14:paraId="0345BCCD" w14:textId="77777777">
      <w:r w:rsidRPr="00532267">
        <w:t>Liquidity risk arises when the department is unable to meet its financial obligations as they fall due.  The department operates under the government’s fair payments policy of settling financial obligations within 30 days and in the event of a dispute, making payments within 30 days from the date of resolution.</w:t>
      </w:r>
    </w:p>
    <w:p w:rsidRPr="00532267" w:rsidR="00532267" w:rsidP="00532267" w:rsidRDefault="00532267" w14:paraId="2568A96A" w14:textId="77777777">
      <w:r w:rsidRPr="00532267">
        <w:lastRenderedPageBreak/>
        <w:t>The department’s maximum exposure to liquidity risk is the carrying amounts of its financial liabilities as disclosed in the balance sheet.  The exposure to liquidity risk is deemed insignificant based on prior periods’ data and current assessment of risk.</w:t>
      </w:r>
    </w:p>
    <w:p w:rsidRPr="00532267" w:rsidR="00532267" w:rsidP="00532267" w:rsidRDefault="00532267" w14:paraId="3B38100B" w14:textId="77777777">
      <w:pPr>
        <w:rPr>
          <w:b/>
          <w:bCs/>
        </w:rPr>
      </w:pPr>
      <w:r w:rsidRPr="00532267">
        <w:rPr>
          <w:b/>
          <w:bCs/>
        </w:rPr>
        <w:t>Financial instruments: market risk</w:t>
      </w:r>
    </w:p>
    <w:p w:rsidRPr="00532267" w:rsidR="00532267" w:rsidP="00532267" w:rsidRDefault="00532267" w14:paraId="70CC39E1" w14:textId="77777777">
      <w:r w:rsidRPr="00532267">
        <w:t>Market risk is the risk that the fair value of future cash flows of a financial instrument will fluctuate because of changes in market prices.  The department’s exposures to market risk are insignificant and primarily through interest rate risk and equity price risk, with only minimal exposure to foreign currency risk.</w:t>
      </w:r>
    </w:p>
    <w:p w:rsidRPr="00532267" w:rsidR="00532267" w:rsidP="00532267" w:rsidRDefault="00532267" w14:paraId="65D55C4E" w14:textId="77777777">
      <w:pPr>
        <w:rPr>
          <w:b/>
          <w:bCs/>
        </w:rPr>
      </w:pPr>
      <w:r w:rsidRPr="00532267">
        <w:rPr>
          <w:b/>
          <w:bCs/>
        </w:rPr>
        <w:t>Interest rate risk</w:t>
      </w:r>
    </w:p>
    <w:p w:rsidRPr="00532267" w:rsidR="00532267" w:rsidP="00532267" w:rsidRDefault="00532267" w14:paraId="45430802" w14:textId="77777777">
      <w:r w:rsidRPr="00532267">
        <w:t>Fair value interest rate risk is the risk that the fair value of a financial instrument will fluctuate because of changes in market interest rates.  The department does not hold any interest bearing financial instruments that are measured at fair value, and therefore has no exposure to fair value interest rate risk.</w:t>
      </w:r>
    </w:p>
    <w:p w:rsidRPr="00532267" w:rsidR="00532267" w:rsidP="00532267" w:rsidRDefault="00532267" w14:paraId="37970F3E" w14:textId="77777777">
      <w:r w:rsidRPr="00532267">
        <w:t>Cash flow interest rate risk is the risk that future cash flows of a financial instrument will fluctuate because of changes in market interest rates.  The department has minimal exposure to cash flow interest rate risks through its cash and deposits that are at floating rate.</w:t>
      </w:r>
    </w:p>
    <w:p w:rsidRPr="00532267" w:rsidR="00532267" w:rsidP="00532267" w:rsidRDefault="00532267" w14:paraId="3930812F" w14:textId="77777777">
      <w:r w:rsidRPr="00532267">
        <w:t>Interest rate exposures are insignificant and arise predominantly from assets bearing variable interest rates.</w:t>
      </w:r>
    </w:p>
    <w:p w:rsidRPr="00532267" w:rsidR="00532267" w:rsidP="00532267" w:rsidRDefault="00532267" w14:paraId="14D8C2BE" w14:textId="77777777">
      <w:r w:rsidRPr="00532267">
        <w:t>The carrying amounts of financial assets and financial liabilities that are exposed to interest rates are set out in the following table.</w:t>
      </w:r>
    </w:p>
    <w:p w:rsidRPr="00532267" w:rsidR="00532267" w:rsidP="00532267" w:rsidRDefault="00532267" w14:paraId="37CB1C66" w14:textId="32637BF0">
      <w:pPr>
        <w:rPr>
          <w:vertAlign w:val="superscript"/>
        </w:rPr>
      </w:pPr>
      <w:r w:rsidRPr="00532267">
        <w:rPr>
          <w:b/>
          <w:bCs/>
        </w:rPr>
        <w:t xml:space="preserve">Interest rate exposure of financial instruments </w:t>
      </w:r>
      <w:r w:rsidRPr="00532267">
        <w:rPr>
          <w:vertAlign w:val="superscript"/>
        </w:rPr>
        <w:t>(i)</w:t>
      </w:r>
    </w:p>
    <w:tbl>
      <w:tblPr>
        <w:tblW w:w="0" w:type="auto"/>
        <w:tblLayout w:type="fixed"/>
        <w:tblCellMar>
          <w:left w:w="0" w:type="dxa"/>
          <w:right w:w="0" w:type="dxa"/>
        </w:tblCellMar>
        <w:tblLook w:firstRow="1" w:lastRow="0" w:firstColumn="0" w:lastColumn="0" w:noHBand="0" w:noVBand="0" w:val="0020"/>
      </w:tblPr>
      <w:tblGrid>
        <w:gridCol w:w="4989"/>
        <w:gridCol w:w="1191"/>
        <w:gridCol w:w="907"/>
        <w:gridCol w:w="793"/>
        <w:gridCol w:w="851"/>
        <w:gridCol w:w="1190"/>
      </w:tblGrid>
      <w:tr w:rsidRPr="00CB3B7F" w:rsidR="00532267" w:rsidTr="006830D1" w14:paraId="7817BD29" w14:textId="77777777">
        <w:trPr>
          <w:tblHeader/>
        </w:trPr>
        <w:tc>
          <w:tcPr>
            <w:tcW w:w="4989"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060D4768" w14:textId="77777777">
            <w:pPr>
              <w:pStyle w:val="tablebody"/>
              <w:rPr>
                <w:b/>
                <w:lang w:val="en-US"/>
              </w:rPr>
            </w:pP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67905CC" w14:textId="77777777">
            <w:pPr>
              <w:pStyle w:val="tablebody"/>
              <w:jc w:val="right"/>
              <w:rPr>
                <w:b/>
                <w:lang w:val="en-US"/>
              </w:rPr>
            </w:pP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2BE0329C" w14:textId="77777777">
            <w:pPr>
              <w:pStyle w:val="tablebody"/>
              <w:jc w:val="right"/>
              <w:rPr>
                <w:b/>
                <w:lang w:val="en-US"/>
              </w:rPr>
            </w:pP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530259CC" w14:textId="77777777">
            <w:pPr>
              <w:pStyle w:val="tablebody"/>
              <w:jc w:val="right"/>
              <w:rPr>
                <w:b/>
                <w:lang w:val="en-US"/>
              </w:rPr>
            </w:pP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C3BB9C2" w14:textId="77777777">
            <w:pPr>
              <w:pStyle w:val="tablebody"/>
              <w:jc w:val="right"/>
              <w:rPr>
                <w:b/>
                <w:lang w:val="en-US"/>
              </w:rPr>
            </w:pP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3A52085D" w14:textId="77777777">
            <w:pPr>
              <w:pStyle w:val="tablebody"/>
              <w:jc w:val="right"/>
              <w:rPr>
                <w:b/>
              </w:rPr>
            </w:pPr>
            <w:r w:rsidRPr="00CB3B7F">
              <w:rPr>
                <w:b/>
              </w:rPr>
              <w:t>($ thousand)</w:t>
            </w:r>
          </w:p>
        </w:tc>
      </w:tr>
      <w:tr w:rsidRPr="00CB3B7F" w:rsidR="00532267" w:rsidTr="006830D1" w14:paraId="1B2025B1" w14:textId="77777777">
        <w:trPr>
          <w:tblHeader/>
        </w:trPr>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1C0C4E2" w14:textId="77777777">
            <w:pPr>
              <w:pStyle w:val="tablebody"/>
              <w:rPr>
                <w:b/>
              </w:rPr>
            </w:pPr>
            <w:r w:rsidRPr="00CB3B7F">
              <w:rPr>
                <w:b/>
              </w:rPr>
              <w:t>2019</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B4DD6AA" w14:textId="77777777">
            <w:pPr>
              <w:pStyle w:val="tablebody"/>
              <w:jc w:val="right"/>
              <w:rPr>
                <w:b/>
              </w:rPr>
            </w:pPr>
            <w:r w:rsidRPr="00CB3B7F">
              <w:rPr>
                <w:b/>
              </w:rPr>
              <w:t>Weighted average interest rate %</w:t>
            </w: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430F2F4" w14:textId="77777777">
            <w:pPr>
              <w:pStyle w:val="tablebody"/>
              <w:jc w:val="right"/>
              <w:rPr>
                <w:b/>
              </w:rPr>
            </w:pPr>
            <w:r w:rsidRPr="00CB3B7F">
              <w:rPr>
                <w:b/>
              </w:rPr>
              <w:t>Carrying amount</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34E54126" w14:textId="77777777">
            <w:pPr>
              <w:pStyle w:val="tablebody"/>
              <w:jc w:val="right"/>
              <w:rPr>
                <w:b/>
              </w:rPr>
            </w:pPr>
            <w:r w:rsidRPr="00CB3B7F">
              <w:rPr>
                <w:b/>
              </w:rPr>
              <w:t>Fixed interest rate</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5A0125B8" w14:textId="77777777">
            <w:pPr>
              <w:pStyle w:val="tablebody"/>
              <w:jc w:val="right"/>
              <w:rPr>
                <w:b/>
              </w:rPr>
            </w:pPr>
            <w:r w:rsidRPr="00CB3B7F">
              <w:rPr>
                <w:b/>
              </w:rPr>
              <w:t>Variable interest rate</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910F8A7" w14:textId="77777777">
            <w:pPr>
              <w:pStyle w:val="tablebody"/>
              <w:jc w:val="right"/>
              <w:rPr>
                <w:b/>
              </w:rPr>
            </w:pPr>
            <w:r w:rsidRPr="00CB3B7F">
              <w:rPr>
                <w:b/>
              </w:rPr>
              <w:t>Non-interest bearing</w:t>
            </w:r>
          </w:p>
        </w:tc>
      </w:tr>
      <w:tr w:rsidRPr="00CB3B7F" w:rsidR="00532267" w:rsidTr="006830D1" w14:paraId="4BA1CF4A" w14:textId="77777777">
        <w:tc>
          <w:tcPr>
            <w:tcW w:w="4989"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3B52B711" w14:textId="77777777">
            <w:pPr>
              <w:pStyle w:val="tablebody"/>
              <w:rPr>
                <w:b/>
              </w:rPr>
            </w:pPr>
            <w:r w:rsidRPr="00CB3B7F">
              <w:rPr>
                <w:b/>
              </w:rPr>
              <w:t>Financial assets</w:t>
            </w:r>
          </w:p>
        </w:tc>
        <w:tc>
          <w:tcPr>
            <w:tcW w:w="119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F45D0C1" w14:textId="77777777">
            <w:pPr>
              <w:pStyle w:val="tablebody"/>
              <w:jc w:val="right"/>
              <w:rPr>
                <w:b/>
                <w:lang w:val="en-US"/>
              </w:rPr>
            </w:pPr>
          </w:p>
        </w:tc>
        <w:tc>
          <w:tcPr>
            <w:tcW w:w="907"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4666430" w14:textId="77777777">
            <w:pPr>
              <w:pStyle w:val="tablebody"/>
              <w:jc w:val="right"/>
              <w:rPr>
                <w:b/>
                <w:lang w:val="en-US"/>
              </w:rPr>
            </w:pPr>
          </w:p>
        </w:tc>
        <w:tc>
          <w:tcPr>
            <w:tcW w:w="793"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471E6AD1" w14:textId="77777777">
            <w:pPr>
              <w:pStyle w:val="tablebody"/>
              <w:jc w:val="right"/>
              <w:rPr>
                <w:b/>
                <w:lang w:val="en-US"/>
              </w:rPr>
            </w:pPr>
          </w:p>
        </w:tc>
        <w:tc>
          <w:tcPr>
            <w:tcW w:w="85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74F4A48C" w14:textId="77777777">
            <w:pPr>
              <w:pStyle w:val="tablebody"/>
              <w:jc w:val="right"/>
              <w:rPr>
                <w:b/>
                <w:lang w:val="en-US"/>
              </w:rPr>
            </w:pPr>
          </w:p>
        </w:tc>
        <w:tc>
          <w:tcPr>
            <w:tcW w:w="1190"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85979C8" w14:textId="77777777">
            <w:pPr>
              <w:pStyle w:val="tablebody"/>
              <w:jc w:val="right"/>
              <w:rPr>
                <w:b/>
                <w:lang w:val="en-US"/>
              </w:rPr>
            </w:pPr>
          </w:p>
        </w:tc>
      </w:tr>
      <w:tr w:rsidRPr="00532267" w:rsidR="00532267" w:rsidTr="006830D1" w14:paraId="7DEA65DD"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99A175D" w14:textId="77777777">
            <w:pPr>
              <w:pStyle w:val="tablebody"/>
            </w:pPr>
            <w:r w:rsidRPr="00532267">
              <w:t>Cash and deposits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77EF738" w14:textId="77777777">
            <w:pPr>
              <w:pStyle w:val="tablebody"/>
              <w:jc w:val="right"/>
            </w:pPr>
            <w:r w:rsidRPr="00532267">
              <w:t>1.84%</w:t>
            </w: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CDEEE2A" w14:textId="77777777">
            <w:pPr>
              <w:pStyle w:val="tablebody"/>
              <w:jc w:val="right"/>
            </w:pPr>
            <w:r w:rsidRPr="00532267">
              <w:t xml:space="preserve">161,083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63C4C2"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18017EC" w14:textId="77777777">
            <w:pPr>
              <w:pStyle w:val="tablebody"/>
              <w:jc w:val="right"/>
            </w:pPr>
            <w:r w:rsidRPr="00532267">
              <w:t xml:space="preserve">42,937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A22A395" w14:textId="77777777">
            <w:pPr>
              <w:pStyle w:val="tablebody"/>
              <w:jc w:val="right"/>
            </w:pPr>
            <w:r w:rsidRPr="00532267">
              <w:t xml:space="preserve">118,146 </w:t>
            </w:r>
          </w:p>
        </w:tc>
      </w:tr>
      <w:tr w:rsidRPr="00532267" w:rsidR="00532267" w:rsidTr="006830D1" w14:paraId="4CDB9EA4"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452CE37" w14:textId="77777777">
            <w:pPr>
              <w:pStyle w:val="tablebody"/>
            </w:pPr>
            <w:r w:rsidRPr="00532267">
              <w:t>Receivables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7BDE26F"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AA4769E"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2677160"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57551E2"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0D3150E" w14:textId="77777777">
            <w:pPr>
              <w:pStyle w:val="tablebody"/>
              <w:jc w:val="right"/>
              <w:rPr>
                <w:lang w:val="en-US"/>
              </w:rPr>
            </w:pPr>
          </w:p>
        </w:tc>
      </w:tr>
      <w:tr w:rsidRPr="00532267" w:rsidR="00532267" w:rsidTr="006830D1" w14:paraId="43DB0ADA"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061CA47" w14:textId="77777777">
            <w:pPr>
              <w:pStyle w:val="tablebody"/>
              <w:numPr>
                <w:ilvl w:val="0"/>
                <w:numId w:val="9"/>
              </w:numPr>
              <w:ind w:left="284" w:hanging="284"/>
            </w:pPr>
            <w:r w:rsidRPr="00532267">
              <w:t>Advance to Metropolitan Fire and Emergency Services Board</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299D152"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200143A" w14:textId="77777777">
            <w:pPr>
              <w:pStyle w:val="tablebody"/>
              <w:jc w:val="right"/>
            </w:pPr>
            <w:r w:rsidRPr="00532267">
              <w:t xml:space="preserve">952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814BBF5"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E7B5309"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C2D607B" w14:textId="77777777">
            <w:pPr>
              <w:pStyle w:val="tablebody"/>
              <w:jc w:val="right"/>
            </w:pPr>
            <w:r w:rsidRPr="00532267">
              <w:t xml:space="preserve">952 </w:t>
            </w:r>
          </w:p>
        </w:tc>
      </w:tr>
      <w:tr w:rsidRPr="00532267" w:rsidR="00532267" w:rsidTr="006830D1" w14:paraId="1772C6BE"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53C2191" w14:textId="77777777">
            <w:pPr>
              <w:pStyle w:val="tablebody"/>
              <w:numPr>
                <w:ilvl w:val="0"/>
                <w:numId w:val="9"/>
              </w:numPr>
              <w:ind w:left="284" w:hanging="284"/>
            </w:pPr>
            <w:r w:rsidRPr="00532267">
              <w:t>Accrued interest income</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EE07F62" w14:textId="77777777">
            <w:pPr>
              <w:pStyle w:val="tablebody"/>
              <w:jc w:val="right"/>
            </w:pPr>
            <w:r w:rsidRPr="00532267">
              <w:t>0.96%</w:t>
            </w: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583A5EB" w14:textId="77777777">
            <w:pPr>
              <w:pStyle w:val="tablebody"/>
              <w:jc w:val="right"/>
            </w:pPr>
            <w:r w:rsidRPr="00532267">
              <w:t xml:space="preserve">1,750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68127F9" w14:textId="77777777">
            <w:pPr>
              <w:pStyle w:val="tablebody"/>
              <w:jc w:val="right"/>
            </w:pPr>
            <w:r w:rsidRPr="00532267">
              <w:t xml:space="preserve">1,750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3E7622F"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EAE8009" w14:textId="77777777">
            <w:pPr>
              <w:pStyle w:val="tablebody"/>
              <w:jc w:val="right"/>
            </w:pPr>
            <w:r w:rsidRPr="00532267">
              <w:t xml:space="preserve">0 </w:t>
            </w:r>
          </w:p>
        </w:tc>
      </w:tr>
      <w:tr w:rsidRPr="00532267" w:rsidR="00532267" w:rsidTr="006830D1" w14:paraId="0E421CF7"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93F28F6" w14:textId="77777777">
            <w:pPr>
              <w:pStyle w:val="tablebody"/>
              <w:numPr>
                <w:ilvl w:val="0"/>
                <w:numId w:val="9"/>
              </w:numPr>
              <w:ind w:left="284" w:hanging="284"/>
            </w:pPr>
            <w:r w:rsidRPr="00532267">
              <w:t>Other receivables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7133935"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786B046" w14:textId="77777777">
            <w:pPr>
              <w:pStyle w:val="tablebody"/>
              <w:jc w:val="right"/>
            </w:pPr>
            <w:r w:rsidRPr="00532267">
              <w:t xml:space="preserve">17,359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5253762"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CA8F28"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8E2C23A" w14:textId="77777777">
            <w:pPr>
              <w:pStyle w:val="tablebody"/>
              <w:jc w:val="right"/>
            </w:pPr>
            <w:r w:rsidRPr="00532267">
              <w:t xml:space="preserve">17,359 </w:t>
            </w:r>
          </w:p>
        </w:tc>
      </w:tr>
      <w:tr w:rsidRPr="00532267" w:rsidR="00532267" w:rsidTr="006830D1" w14:paraId="49064FD6"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95DE6CE" w14:textId="77777777">
            <w:pPr>
              <w:pStyle w:val="tablebody"/>
            </w:pPr>
            <w:r w:rsidRPr="00532267">
              <w:t>Investments and other contractual financial assets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26C33B8"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C08ED3D"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D821D5F"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3AD81AE"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254C495" w14:textId="77777777">
            <w:pPr>
              <w:pStyle w:val="tablebody"/>
              <w:jc w:val="right"/>
              <w:rPr>
                <w:lang w:val="en-US"/>
              </w:rPr>
            </w:pPr>
          </w:p>
        </w:tc>
      </w:tr>
      <w:tr w:rsidRPr="00532267" w:rsidR="00532267" w:rsidTr="006830D1" w14:paraId="1099838C" w14:textId="77777777">
        <w:tc>
          <w:tcPr>
            <w:tcW w:w="498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12319811" w14:textId="77777777">
            <w:pPr>
              <w:pStyle w:val="tablebody"/>
              <w:numPr>
                <w:ilvl w:val="0"/>
                <w:numId w:val="9"/>
              </w:numPr>
              <w:ind w:left="284" w:hanging="284"/>
            </w:pPr>
            <w:r w:rsidRPr="00532267">
              <w:t>Managed investment schemes</w:t>
            </w: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13A3770E" w14:textId="77777777">
            <w:pPr>
              <w:pStyle w:val="tablebody"/>
              <w:jc w:val="right"/>
              <w:rPr>
                <w:lang w:val="en-US"/>
              </w:rPr>
            </w:pP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011B1461" w14:textId="77777777">
            <w:pPr>
              <w:pStyle w:val="tablebody"/>
              <w:jc w:val="right"/>
            </w:pPr>
            <w:r w:rsidRPr="00532267">
              <w:t xml:space="preserve">205,629 </w:t>
            </w: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06E97AE0" w14:textId="77777777">
            <w:pPr>
              <w:pStyle w:val="tablebody"/>
              <w:jc w:val="right"/>
            </w:pPr>
            <w:r w:rsidRPr="00532267">
              <w:t xml:space="preserve">0 </w:t>
            </w: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461B883E" w14:textId="77777777">
            <w:pPr>
              <w:pStyle w:val="tablebody"/>
              <w:jc w:val="right"/>
            </w:pPr>
            <w:r w:rsidRPr="00532267">
              <w:t xml:space="preserve">0 </w:t>
            </w: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29467F97" w14:textId="77777777">
            <w:pPr>
              <w:pStyle w:val="tablebody"/>
              <w:jc w:val="right"/>
            </w:pPr>
            <w:r w:rsidRPr="00532267">
              <w:t xml:space="preserve">205,629 </w:t>
            </w:r>
          </w:p>
        </w:tc>
      </w:tr>
      <w:tr w:rsidRPr="00CB3B7F" w:rsidR="00532267" w:rsidTr="006830D1" w14:paraId="016220A1" w14:textId="77777777">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6C585478" w14:textId="77777777">
            <w:pPr>
              <w:pStyle w:val="tablebody"/>
              <w:rPr>
                <w:b/>
              </w:rPr>
            </w:pPr>
            <w:r w:rsidRPr="00CB3B7F">
              <w:rPr>
                <w:b/>
              </w:rPr>
              <w:t>Total financial assets</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3AD6BCB" w14:textId="77777777">
            <w:pPr>
              <w:pStyle w:val="tablebody"/>
              <w:jc w:val="right"/>
              <w:rPr>
                <w:b/>
                <w:lang w:val="en-US"/>
              </w:rPr>
            </w:pP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F0D094F" w14:textId="77777777">
            <w:pPr>
              <w:pStyle w:val="tablebody"/>
              <w:jc w:val="right"/>
              <w:rPr>
                <w:b/>
              </w:rPr>
            </w:pPr>
            <w:r w:rsidRPr="00CB3B7F">
              <w:rPr>
                <w:b/>
              </w:rPr>
              <w:t xml:space="preserve">386,773 </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322B0F3D" w14:textId="77777777">
            <w:pPr>
              <w:pStyle w:val="tablebody"/>
              <w:jc w:val="right"/>
              <w:rPr>
                <w:b/>
              </w:rPr>
            </w:pPr>
            <w:r w:rsidRPr="00CB3B7F">
              <w:rPr>
                <w:b/>
              </w:rPr>
              <w:t xml:space="preserve">1,750 </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38F47499" w14:textId="77777777">
            <w:pPr>
              <w:pStyle w:val="tablebody"/>
              <w:jc w:val="right"/>
              <w:rPr>
                <w:b/>
              </w:rPr>
            </w:pPr>
            <w:r w:rsidRPr="00CB3B7F">
              <w:rPr>
                <w:b/>
              </w:rPr>
              <w:t xml:space="preserve">42,937 </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529D878" w14:textId="77777777">
            <w:pPr>
              <w:pStyle w:val="tablebody"/>
              <w:jc w:val="right"/>
              <w:rPr>
                <w:b/>
              </w:rPr>
            </w:pPr>
            <w:r w:rsidRPr="00CB3B7F">
              <w:rPr>
                <w:b/>
              </w:rPr>
              <w:t xml:space="preserve">342,086 </w:t>
            </w:r>
          </w:p>
        </w:tc>
      </w:tr>
      <w:tr w:rsidRPr="00CB3B7F" w:rsidR="00532267" w:rsidTr="006830D1" w14:paraId="2C92D389" w14:textId="77777777">
        <w:tc>
          <w:tcPr>
            <w:tcW w:w="4989"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C8A7A56" w14:textId="77777777">
            <w:pPr>
              <w:pStyle w:val="tablebody"/>
              <w:rPr>
                <w:b/>
              </w:rPr>
            </w:pPr>
            <w:r w:rsidRPr="00CB3B7F">
              <w:rPr>
                <w:b/>
              </w:rPr>
              <w:t>Financial liabilities</w:t>
            </w:r>
          </w:p>
        </w:tc>
        <w:tc>
          <w:tcPr>
            <w:tcW w:w="119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5783F169" w14:textId="77777777">
            <w:pPr>
              <w:pStyle w:val="tablebody"/>
              <w:jc w:val="right"/>
              <w:rPr>
                <w:b/>
                <w:lang w:val="en-US"/>
              </w:rPr>
            </w:pPr>
          </w:p>
        </w:tc>
        <w:tc>
          <w:tcPr>
            <w:tcW w:w="907"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7BD12903" w14:textId="77777777">
            <w:pPr>
              <w:pStyle w:val="tablebody"/>
              <w:jc w:val="right"/>
              <w:rPr>
                <w:b/>
                <w:lang w:val="en-US"/>
              </w:rPr>
            </w:pPr>
          </w:p>
        </w:tc>
        <w:tc>
          <w:tcPr>
            <w:tcW w:w="793"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21F54C6" w14:textId="77777777">
            <w:pPr>
              <w:pStyle w:val="tablebody"/>
              <w:jc w:val="right"/>
              <w:rPr>
                <w:b/>
                <w:lang w:val="en-US"/>
              </w:rPr>
            </w:pPr>
          </w:p>
        </w:tc>
        <w:tc>
          <w:tcPr>
            <w:tcW w:w="85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703ED00" w14:textId="77777777">
            <w:pPr>
              <w:pStyle w:val="tablebody"/>
              <w:jc w:val="right"/>
              <w:rPr>
                <w:b/>
                <w:lang w:val="en-US"/>
              </w:rPr>
            </w:pPr>
          </w:p>
        </w:tc>
        <w:tc>
          <w:tcPr>
            <w:tcW w:w="1190"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5CA7CDE6" w14:textId="77777777">
            <w:pPr>
              <w:pStyle w:val="tablebody"/>
              <w:jc w:val="right"/>
              <w:rPr>
                <w:b/>
                <w:lang w:val="en-US"/>
              </w:rPr>
            </w:pPr>
          </w:p>
        </w:tc>
      </w:tr>
      <w:tr w:rsidRPr="00532267" w:rsidR="00532267" w:rsidTr="006830D1" w14:paraId="76DAD39B"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7CA0697" w14:textId="77777777">
            <w:pPr>
              <w:pStyle w:val="tablebody"/>
            </w:pPr>
            <w:r w:rsidRPr="00532267">
              <w:t>Payables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C6B7DD6"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2C75050"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360D12C"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4456319"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4F785F5" w14:textId="77777777">
            <w:pPr>
              <w:pStyle w:val="tablebody"/>
              <w:jc w:val="right"/>
              <w:rPr>
                <w:lang w:val="en-US"/>
              </w:rPr>
            </w:pPr>
          </w:p>
        </w:tc>
      </w:tr>
      <w:tr w:rsidRPr="00532267" w:rsidR="00532267" w:rsidTr="006830D1" w14:paraId="623A6EA0"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3F4C5B6" w14:textId="77777777">
            <w:pPr>
              <w:pStyle w:val="tablebody"/>
              <w:numPr>
                <w:ilvl w:val="0"/>
                <w:numId w:val="9"/>
              </w:numPr>
              <w:ind w:left="284" w:hanging="294"/>
            </w:pPr>
            <w:r w:rsidRPr="00532267">
              <w:t>Trade creditors and other payables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051C03E"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B48DE4A" w14:textId="77777777">
            <w:pPr>
              <w:pStyle w:val="tablebody"/>
              <w:jc w:val="right"/>
            </w:pPr>
            <w:r w:rsidRPr="00532267">
              <w:t xml:space="preserve">270,020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584BFEF"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0C401D3"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A86D8DD" w14:textId="77777777">
            <w:pPr>
              <w:pStyle w:val="tablebody"/>
              <w:jc w:val="right"/>
            </w:pPr>
            <w:r w:rsidRPr="00532267">
              <w:t xml:space="preserve">270,020 </w:t>
            </w:r>
          </w:p>
        </w:tc>
      </w:tr>
      <w:tr w:rsidRPr="00532267" w:rsidR="00532267" w:rsidTr="006830D1" w14:paraId="4ABC94F0"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6B2CFE1" w14:textId="77777777">
            <w:pPr>
              <w:pStyle w:val="tablebody"/>
              <w:numPr>
                <w:ilvl w:val="0"/>
                <w:numId w:val="9"/>
              </w:numPr>
              <w:ind w:left="284" w:hanging="294"/>
            </w:pPr>
            <w:r w:rsidRPr="00532267">
              <w:t>Accrued capital works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4DDF030"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154283F" w14:textId="77777777">
            <w:pPr>
              <w:pStyle w:val="tablebody"/>
              <w:jc w:val="right"/>
            </w:pPr>
            <w:r w:rsidRPr="00532267">
              <w:t xml:space="preserve">55,054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498C550"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3D67264"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4EF487B" w14:textId="77777777">
            <w:pPr>
              <w:pStyle w:val="tablebody"/>
              <w:jc w:val="right"/>
            </w:pPr>
            <w:r w:rsidRPr="00532267">
              <w:t xml:space="preserve">55,054 </w:t>
            </w:r>
          </w:p>
        </w:tc>
      </w:tr>
      <w:tr w:rsidRPr="00532267" w:rsidR="00532267" w:rsidTr="006830D1" w14:paraId="5AE10B06"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AA9780" w14:textId="77777777">
            <w:pPr>
              <w:pStyle w:val="tablebody"/>
              <w:numPr>
                <w:ilvl w:val="0"/>
                <w:numId w:val="9"/>
              </w:numPr>
              <w:ind w:left="284" w:hanging="294"/>
            </w:pPr>
            <w:r w:rsidRPr="00532267">
              <w:t>Salaries and wages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E82DAF3"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D1660C3" w14:textId="77777777">
            <w:pPr>
              <w:pStyle w:val="tablebody"/>
              <w:jc w:val="right"/>
            </w:pPr>
            <w:r w:rsidRPr="00532267">
              <w:t xml:space="preserve">28,823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E8AF36D"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3A98D96"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AA9B065" w14:textId="77777777">
            <w:pPr>
              <w:pStyle w:val="tablebody"/>
              <w:jc w:val="right"/>
            </w:pPr>
            <w:r w:rsidRPr="00532267">
              <w:t xml:space="preserve">28,823 </w:t>
            </w:r>
          </w:p>
        </w:tc>
      </w:tr>
      <w:tr w:rsidRPr="00532267" w:rsidR="00532267" w:rsidTr="006830D1" w14:paraId="0F79D873"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670DA99" w14:textId="77777777">
            <w:pPr>
              <w:pStyle w:val="tablebody"/>
            </w:pPr>
            <w:r w:rsidRPr="00532267">
              <w:t>Borrowings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27EC4E6"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4547090"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66F2950"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190DC93"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D6AA647" w14:textId="77777777">
            <w:pPr>
              <w:pStyle w:val="tablebody"/>
              <w:jc w:val="right"/>
              <w:rPr>
                <w:lang w:val="en-US"/>
              </w:rPr>
            </w:pPr>
          </w:p>
        </w:tc>
      </w:tr>
      <w:tr w:rsidRPr="00532267" w:rsidR="00532267" w:rsidTr="006830D1" w14:paraId="77CA3553" w14:textId="77777777">
        <w:tc>
          <w:tcPr>
            <w:tcW w:w="498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50716168" w14:textId="77777777">
            <w:pPr>
              <w:pStyle w:val="tablebody"/>
              <w:numPr>
                <w:ilvl w:val="0"/>
                <w:numId w:val="9"/>
              </w:numPr>
              <w:ind w:left="284" w:hanging="294"/>
            </w:pPr>
            <w:r w:rsidRPr="00532267">
              <w:t>Finance lease liabilities</w:t>
            </w: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28B2C460" w14:textId="77777777">
            <w:pPr>
              <w:pStyle w:val="tablebody"/>
              <w:jc w:val="right"/>
            </w:pPr>
            <w:r w:rsidRPr="00532267">
              <w:t>6.53%</w:t>
            </w: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6D24586F" w14:textId="77777777">
            <w:pPr>
              <w:pStyle w:val="tablebody"/>
              <w:jc w:val="right"/>
            </w:pPr>
            <w:r w:rsidRPr="00532267">
              <w:t xml:space="preserve">696,207 </w:t>
            </w: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2661980E" w14:textId="77777777">
            <w:pPr>
              <w:pStyle w:val="tablebody"/>
              <w:jc w:val="right"/>
            </w:pPr>
            <w:r w:rsidRPr="00532267">
              <w:t xml:space="preserve">696,207 </w:t>
            </w: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09132323" w14:textId="77777777">
            <w:pPr>
              <w:pStyle w:val="tablebody"/>
              <w:jc w:val="right"/>
            </w:pPr>
            <w:r w:rsidRPr="00532267">
              <w:t xml:space="preserve">0 </w:t>
            </w: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3E37A538" w14:textId="77777777">
            <w:pPr>
              <w:pStyle w:val="tablebody"/>
              <w:jc w:val="right"/>
            </w:pPr>
            <w:r w:rsidRPr="00532267">
              <w:t xml:space="preserve">0 </w:t>
            </w:r>
          </w:p>
        </w:tc>
      </w:tr>
      <w:tr w:rsidRPr="00CB3B7F" w:rsidR="00532267" w:rsidTr="006830D1" w14:paraId="3B9AF108" w14:textId="77777777">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236CA525" w14:textId="77777777">
            <w:pPr>
              <w:pStyle w:val="tablebody"/>
              <w:rPr>
                <w:b/>
              </w:rPr>
            </w:pPr>
            <w:r w:rsidRPr="00CB3B7F">
              <w:rPr>
                <w:b/>
              </w:rPr>
              <w:t>Total financial liabilities</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A0836D0" w14:textId="77777777">
            <w:pPr>
              <w:pStyle w:val="tablebody"/>
              <w:jc w:val="right"/>
              <w:rPr>
                <w:b/>
                <w:lang w:val="en-US"/>
              </w:rPr>
            </w:pP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82B9025" w14:textId="77777777">
            <w:pPr>
              <w:pStyle w:val="tablebody"/>
              <w:jc w:val="right"/>
              <w:rPr>
                <w:b/>
              </w:rPr>
            </w:pPr>
            <w:r w:rsidRPr="00CB3B7F">
              <w:rPr>
                <w:b/>
              </w:rPr>
              <w:t xml:space="preserve">1,050,104 </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A45B954" w14:textId="77777777">
            <w:pPr>
              <w:pStyle w:val="tablebody"/>
              <w:jc w:val="right"/>
              <w:rPr>
                <w:b/>
              </w:rPr>
            </w:pPr>
            <w:r w:rsidRPr="00CB3B7F">
              <w:rPr>
                <w:b/>
              </w:rPr>
              <w:t xml:space="preserve">696,207 </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6FE395D8" w14:textId="77777777">
            <w:pPr>
              <w:pStyle w:val="tablebody"/>
              <w:jc w:val="right"/>
              <w:rPr>
                <w:b/>
              </w:rPr>
            </w:pPr>
            <w:r w:rsidRPr="00CB3B7F">
              <w:rPr>
                <w:b/>
              </w:rPr>
              <w:t xml:space="preserve">0 </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08F86081" w14:textId="77777777">
            <w:pPr>
              <w:pStyle w:val="tablebody"/>
              <w:jc w:val="right"/>
              <w:rPr>
                <w:b/>
              </w:rPr>
            </w:pPr>
            <w:r w:rsidRPr="00CB3B7F">
              <w:rPr>
                <w:b/>
              </w:rPr>
              <w:t xml:space="preserve">353,897 </w:t>
            </w:r>
          </w:p>
        </w:tc>
      </w:tr>
    </w:tbl>
    <w:p w:rsidRPr="00CB3B7F" w:rsidR="00532267" w:rsidP="00CB3B7F" w:rsidRDefault="00532267" w14:paraId="421D9447" w14:textId="77777777"/>
    <w:p w:rsidR="00CB3B7F" w:rsidRDefault="00CB3B7F" w14:paraId="03CE2F81" w14:textId="3F51A9AE">
      <w:pPr>
        <w:spacing w:after="0"/>
      </w:pPr>
      <w:r>
        <w:br w:type="page"/>
      </w:r>
    </w:p>
    <w:tbl>
      <w:tblPr>
        <w:tblW w:w="0" w:type="auto"/>
        <w:tblLayout w:type="fixed"/>
        <w:tblCellMar>
          <w:left w:w="0" w:type="dxa"/>
          <w:right w:w="0" w:type="dxa"/>
        </w:tblCellMar>
        <w:tblLook w:firstRow="1" w:lastRow="0" w:firstColumn="0" w:lastColumn="0" w:noHBand="0" w:noVBand="0" w:val="0020"/>
      </w:tblPr>
      <w:tblGrid>
        <w:gridCol w:w="4989"/>
        <w:gridCol w:w="1191"/>
        <w:gridCol w:w="907"/>
        <w:gridCol w:w="793"/>
        <w:gridCol w:w="851"/>
        <w:gridCol w:w="1190"/>
      </w:tblGrid>
      <w:tr w:rsidRPr="00CB3B7F" w:rsidR="00532267" w:rsidTr="006830D1" w14:paraId="24E3B6B6" w14:textId="77777777">
        <w:trPr>
          <w:tblHeader/>
        </w:trPr>
        <w:tc>
          <w:tcPr>
            <w:tcW w:w="4989"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80114D3" w14:textId="77777777">
            <w:pPr>
              <w:pStyle w:val="tablebody"/>
              <w:rPr>
                <w:b/>
                <w:lang w:val="en-US"/>
              </w:rPr>
            </w:pP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C889586" w14:textId="77777777">
            <w:pPr>
              <w:pStyle w:val="tablebody"/>
              <w:jc w:val="right"/>
              <w:rPr>
                <w:b/>
                <w:lang w:val="en-US"/>
              </w:rPr>
            </w:pP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EDD42B2" w14:textId="77777777">
            <w:pPr>
              <w:pStyle w:val="tablebody"/>
              <w:jc w:val="right"/>
              <w:rPr>
                <w:b/>
                <w:lang w:val="en-US"/>
              </w:rPr>
            </w:pP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29547ACF" w14:textId="77777777">
            <w:pPr>
              <w:pStyle w:val="tablebody"/>
              <w:jc w:val="right"/>
              <w:rPr>
                <w:b/>
                <w:lang w:val="en-US"/>
              </w:rPr>
            </w:pP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28F8305E" w14:textId="77777777">
            <w:pPr>
              <w:pStyle w:val="tablebody"/>
              <w:jc w:val="right"/>
              <w:rPr>
                <w:b/>
                <w:lang w:val="en-US"/>
              </w:rPr>
            </w:pP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54643F78" w14:textId="77777777">
            <w:pPr>
              <w:pStyle w:val="tablebody"/>
              <w:jc w:val="right"/>
              <w:rPr>
                <w:b/>
              </w:rPr>
            </w:pPr>
            <w:r w:rsidRPr="00CB3B7F">
              <w:rPr>
                <w:b/>
              </w:rPr>
              <w:t>($ thousand)</w:t>
            </w:r>
          </w:p>
        </w:tc>
      </w:tr>
      <w:tr w:rsidRPr="00CB3B7F" w:rsidR="00532267" w:rsidTr="006830D1" w14:paraId="66A2E626" w14:textId="77777777">
        <w:trPr>
          <w:tblHeader/>
        </w:trPr>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EE52EF8" w14:textId="77777777">
            <w:pPr>
              <w:pStyle w:val="tablebody"/>
              <w:rPr>
                <w:b/>
              </w:rPr>
            </w:pPr>
            <w:r w:rsidRPr="00CB3B7F">
              <w:rPr>
                <w:b/>
              </w:rPr>
              <w:t>2018</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947CB8A" w14:textId="77777777">
            <w:pPr>
              <w:pStyle w:val="tablebody"/>
              <w:jc w:val="right"/>
              <w:rPr>
                <w:b/>
              </w:rPr>
            </w:pPr>
            <w:r w:rsidRPr="00CB3B7F">
              <w:rPr>
                <w:b/>
              </w:rPr>
              <w:t>Weighted average interest rate %</w:t>
            </w: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6258591A" w14:textId="77777777">
            <w:pPr>
              <w:pStyle w:val="tablebody"/>
              <w:jc w:val="right"/>
              <w:rPr>
                <w:b/>
              </w:rPr>
            </w:pPr>
            <w:r w:rsidRPr="00CB3B7F">
              <w:rPr>
                <w:b/>
              </w:rPr>
              <w:t>Carrying amount</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25F30D4" w14:textId="77777777">
            <w:pPr>
              <w:pStyle w:val="tablebody"/>
              <w:jc w:val="right"/>
              <w:rPr>
                <w:b/>
              </w:rPr>
            </w:pPr>
            <w:r w:rsidRPr="00CB3B7F">
              <w:rPr>
                <w:b/>
              </w:rPr>
              <w:t>Fixed interest rate</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8E134EB" w14:textId="77777777">
            <w:pPr>
              <w:pStyle w:val="tablebody"/>
              <w:jc w:val="right"/>
              <w:rPr>
                <w:b/>
              </w:rPr>
            </w:pPr>
            <w:r w:rsidRPr="00CB3B7F">
              <w:rPr>
                <w:b/>
              </w:rPr>
              <w:t>Variable interest rate</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02B7F79D" w14:textId="77777777">
            <w:pPr>
              <w:pStyle w:val="tablebody"/>
              <w:jc w:val="right"/>
              <w:rPr>
                <w:b/>
              </w:rPr>
            </w:pPr>
            <w:r w:rsidRPr="00CB3B7F">
              <w:rPr>
                <w:b/>
              </w:rPr>
              <w:t>Non-interest bearing</w:t>
            </w:r>
          </w:p>
        </w:tc>
      </w:tr>
      <w:tr w:rsidRPr="00CB3B7F" w:rsidR="00532267" w:rsidTr="006830D1" w14:paraId="02A68132" w14:textId="77777777">
        <w:tc>
          <w:tcPr>
            <w:tcW w:w="4989"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12642EC7" w14:textId="77777777">
            <w:pPr>
              <w:pStyle w:val="tablebody"/>
              <w:rPr>
                <w:b/>
              </w:rPr>
            </w:pPr>
            <w:r w:rsidRPr="00CB3B7F">
              <w:rPr>
                <w:b/>
              </w:rPr>
              <w:t>Financial assets</w:t>
            </w:r>
          </w:p>
        </w:tc>
        <w:tc>
          <w:tcPr>
            <w:tcW w:w="119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8635326" w14:textId="77777777">
            <w:pPr>
              <w:pStyle w:val="tablebody"/>
              <w:jc w:val="right"/>
              <w:rPr>
                <w:b/>
                <w:lang w:val="en-US"/>
              </w:rPr>
            </w:pPr>
          </w:p>
        </w:tc>
        <w:tc>
          <w:tcPr>
            <w:tcW w:w="907"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05799DE4" w14:textId="77777777">
            <w:pPr>
              <w:pStyle w:val="tablebody"/>
              <w:jc w:val="right"/>
              <w:rPr>
                <w:b/>
                <w:lang w:val="en-US"/>
              </w:rPr>
            </w:pPr>
          </w:p>
        </w:tc>
        <w:tc>
          <w:tcPr>
            <w:tcW w:w="793"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5AAF970" w14:textId="77777777">
            <w:pPr>
              <w:pStyle w:val="tablebody"/>
              <w:jc w:val="right"/>
              <w:rPr>
                <w:b/>
                <w:lang w:val="en-US"/>
              </w:rPr>
            </w:pPr>
          </w:p>
        </w:tc>
        <w:tc>
          <w:tcPr>
            <w:tcW w:w="85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B300DB6" w14:textId="77777777">
            <w:pPr>
              <w:pStyle w:val="tablebody"/>
              <w:jc w:val="right"/>
              <w:rPr>
                <w:b/>
                <w:lang w:val="en-US"/>
              </w:rPr>
            </w:pPr>
          </w:p>
        </w:tc>
        <w:tc>
          <w:tcPr>
            <w:tcW w:w="1190"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D8AD8A7" w14:textId="77777777">
            <w:pPr>
              <w:pStyle w:val="tablebody"/>
              <w:jc w:val="right"/>
              <w:rPr>
                <w:b/>
                <w:lang w:val="en-US"/>
              </w:rPr>
            </w:pPr>
          </w:p>
        </w:tc>
      </w:tr>
      <w:tr w:rsidRPr="00532267" w:rsidR="00532267" w:rsidTr="006830D1" w14:paraId="19311DE9"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8B71ED3" w14:textId="77777777">
            <w:pPr>
              <w:pStyle w:val="tablebody"/>
            </w:pPr>
            <w:r w:rsidRPr="00532267">
              <w:t>Cash and deposits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4265F52" w14:textId="77777777">
            <w:pPr>
              <w:pStyle w:val="tablebody"/>
              <w:jc w:val="right"/>
            </w:pPr>
            <w:r w:rsidRPr="00532267">
              <w:t>1.95%</w:t>
            </w: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238F07" w14:textId="77777777">
            <w:pPr>
              <w:pStyle w:val="tablebody"/>
              <w:jc w:val="right"/>
            </w:pPr>
            <w:r w:rsidRPr="00532267">
              <w:t xml:space="preserve">90,767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232C8E6" w14:textId="77777777">
            <w:pPr>
              <w:pStyle w:val="tablebody"/>
              <w:jc w:val="right"/>
            </w:pPr>
            <w:r w:rsidRPr="00532267">
              <w:t xml:space="preserve">19,560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151F2BB" w14:textId="77777777">
            <w:pPr>
              <w:pStyle w:val="tablebody"/>
              <w:jc w:val="right"/>
            </w:pPr>
            <w:r w:rsidRPr="00532267">
              <w:t xml:space="preserve">2,531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D994E0" w14:textId="77777777">
            <w:pPr>
              <w:pStyle w:val="tablebody"/>
              <w:jc w:val="right"/>
            </w:pPr>
            <w:r w:rsidRPr="00532267">
              <w:t xml:space="preserve">68,676 </w:t>
            </w:r>
          </w:p>
        </w:tc>
      </w:tr>
      <w:tr w:rsidRPr="00532267" w:rsidR="00532267" w:rsidTr="006830D1" w14:paraId="574CD463"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C552BFE" w14:textId="77777777">
            <w:pPr>
              <w:pStyle w:val="tablebody"/>
            </w:pPr>
            <w:r w:rsidRPr="00532267">
              <w:t>Receivables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A857987"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D940A1C"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3549463"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ECD66FD"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8F4EDA0" w14:textId="77777777">
            <w:pPr>
              <w:pStyle w:val="tablebody"/>
              <w:jc w:val="right"/>
              <w:rPr>
                <w:lang w:val="en-US"/>
              </w:rPr>
            </w:pPr>
          </w:p>
        </w:tc>
      </w:tr>
      <w:tr w:rsidRPr="00532267" w:rsidR="00532267" w:rsidTr="006830D1" w14:paraId="06DF912A"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97CBBD2" w14:textId="77777777">
            <w:pPr>
              <w:pStyle w:val="tablebody"/>
              <w:numPr>
                <w:ilvl w:val="0"/>
                <w:numId w:val="9"/>
              </w:numPr>
              <w:ind w:left="284" w:hanging="294"/>
            </w:pPr>
            <w:r w:rsidRPr="00532267">
              <w:t>Advance to Metropolitan Fire and Emergency Services Board</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13E49AD"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D9D11EB" w14:textId="77777777">
            <w:pPr>
              <w:pStyle w:val="tablebody"/>
              <w:jc w:val="right"/>
            </w:pPr>
            <w:r w:rsidRPr="00532267">
              <w:t xml:space="preserve">1,189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DC53453"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1750BD3"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25375EA" w14:textId="77777777">
            <w:pPr>
              <w:pStyle w:val="tablebody"/>
              <w:jc w:val="right"/>
            </w:pPr>
            <w:r w:rsidRPr="00532267">
              <w:t xml:space="preserve">1,189 </w:t>
            </w:r>
          </w:p>
        </w:tc>
      </w:tr>
      <w:tr w:rsidRPr="00532267" w:rsidR="00532267" w:rsidTr="006830D1" w14:paraId="662BF4D9"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9D0B52D" w14:textId="77777777">
            <w:pPr>
              <w:pStyle w:val="tablebody"/>
              <w:numPr>
                <w:ilvl w:val="0"/>
                <w:numId w:val="9"/>
              </w:numPr>
              <w:ind w:left="284" w:hanging="294"/>
            </w:pPr>
            <w:r w:rsidRPr="00532267">
              <w:t>Accrued interest income</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6C34CAC" w14:textId="77777777">
            <w:pPr>
              <w:pStyle w:val="tablebody"/>
              <w:jc w:val="right"/>
            </w:pPr>
            <w:r w:rsidRPr="00532267">
              <w:t>0.99%</w:t>
            </w: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D614DB4" w14:textId="77777777">
            <w:pPr>
              <w:pStyle w:val="tablebody"/>
              <w:jc w:val="right"/>
            </w:pPr>
            <w:r w:rsidRPr="00532267">
              <w:t xml:space="preserve">2,214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8EEEFD2" w14:textId="77777777">
            <w:pPr>
              <w:pStyle w:val="tablebody"/>
              <w:jc w:val="right"/>
            </w:pPr>
            <w:r w:rsidRPr="00532267">
              <w:t xml:space="preserve">2,214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17327D4"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9CBB002" w14:textId="77777777">
            <w:pPr>
              <w:pStyle w:val="tablebody"/>
              <w:jc w:val="right"/>
            </w:pPr>
            <w:r w:rsidRPr="00532267">
              <w:t xml:space="preserve">0 </w:t>
            </w:r>
          </w:p>
        </w:tc>
      </w:tr>
      <w:tr w:rsidRPr="00532267" w:rsidR="00532267" w:rsidTr="006830D1" w14:paraId="6D0F6F4F"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5D048B" w14:textId="77777777">
            <w:pPr>
              <w:pStyle w:val="tablebody"/>
              <w:numPr>
                <w:ilvl w:val="0"/>
                <w:numId w:val="9"/>
              </w:numPr>
              <w:ind w:left="284" w:hanging="294"/>
            </w:pPr>
            <w:r w:rsidRPr="00532267">
              <w:t>Other receivables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E842EEC"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008F930" w14:textId="77777777">
            <w:pPr>
              <w:pStyle w:val="tablebody"/>
              <w:jc w:val="right"/>
            </w:pPr>
            <w:r w:rsidRPr="00532267">
              <w:t xml:space="preserve">13,568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34C7E2D"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8917916"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FDF1AAF" w14:textId="77777777">
            <w:pPr>
              <w:pStyle w:val="tablebody"/>
              <w:jc w:val="right"/>
            </w:pPr>
            <w:r w:rsidRPr="00532267">
              <w:t xml:space="preserve">13,568 </w:t>
            </w:r>
          </w:p>
        </w:tc>
      </w:tr>
      <w:tr w:rsidRPr="00532267" w:rsidR="00532267" w:rsidTr="006830D1" w14:paraId="1550741A"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42E0B56" w14:textId="77777777">
            <w:pPr>
              <w:pStyle w:val="tablebody"/>
            </w:pPr>
            <w:r w:rsidRPr="00532267">
              <w:t>Investments and other contractual financial assets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575896D"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9261ABA"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5DC1C6D"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83B46AE"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5136D2F" w14:textId="77777777">
            <w:pPr>
              <w:pStyle w:val="tablebody"/>
              <w:jc w:val="right"/>
              <w:rPr>
                <w:lang w:val="en-US"/>
              </w:rPr>
            </w:pPr>
          </w:p>
        </w:tc>
      </w:tr>
      <w:tr w:rsidRPr="00532267" w:rsidR="00532267" w:rsidTr="006830D1" w14:paraId="76603AAC"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A82BC9F" w14:textId="77777777">
            <w:pPr>
              <w:pStyle w:val="tablebody"/>
              <w:numPr>
                <w:ilvl w:val="0"/>
                <w:numId w:val="9"/>
              </w:numPr>
              <w:ind w:left="284" w:hanging="294"/>
            </w:pPr>
            <w:r w:rsidRPr="00532267">
              <w:t>Term deposits &gt; 3 months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48AFBED" w14:textId="77777777">
            <w:pPr>
              <w:pStyle w:val="tablebody"/>
              <w:jc w:val="right"/>
            </w:pPr>
            <w:r w:rsidRPr="00532267">
              <w:t>2.04%</w:t>
            </w: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2EF769C" w14:textId="77777777">
            <w:pPr>
              <w:pStyle w:val="tablebody"/>
              <w:jc w:val="right"/>
            </w:pPr>
            <w:r w:rsidRPr="00532267">
              <w:t xml:space="preserve">24,654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7A60B66" w14:textId="77777777">
            <w:pPr>
              <w:pStyle w:val="tablebody"/>
              <w:jc w:val="right"/>
            </w:pPr>
            <w:r w:rsidRPr="00532267">
              <w:t xml:space="preserve">24,654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81021E5"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DF11FDE" w14:textId="77777777">
            <w:pPr>
              <w:pStyle w:val="tablebody"/>
              <w:jc w:val="right"/>
            </w:pPr>
            <w:r w:rsidRPr="00532267">
              <w:t xml:space="preserve">0 </w:t>
            </w:r>
          </w:p>
        </w:tc>
      </w:tr>
      <w:tr w:rsidRPr="00532267" w:rsidR="00532267" w:rsidTr="006830D1" w14:paraId="2494E3CA" w14:textId="77777777">
        <w:tc>
          <w:tcPr>
            <w:tcW w:w="498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64B7CD12" w14:textId="77777777">
            <w:pPr>
              <w:pStyle w:val="tablebody"/>
              <w:numPr>
                <w:ilvl w:val="0"/>
                <w:numId w:val="9"/>
              </w:numPr>
              <w:ind w:left="284" w:hanging="294"/>
            </w:pPr>
            <w:r w:rsidRPr="00532267">
              <w:t>Managed investment schemes</w:t>
            </w: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7A431DA7" w14:textId="77777777">
            <w:pPr>
              <w:pStyle w:val="tablebody"/>
              <w:jc w:val="right"/>
              <w:rPr>
                <w:lang w:val="en-US"/>
              </w:rPr>
            </w:pP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7BD58201" w14:textId="77777777">
            <w:pPr>
              <w:pStyle w:val="tablebody"/>
              <w:jc w:val="right"/>
            </w:pPr>
            <w:r w:rsidRPr="00532267">
              <w:t xml:space="preserve">222,049 </w:t>
            </w: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48E967C2" w14:textId="77777777">
            <w:pPr>
              <w:pStyle w:val="tablebody"/>
              <w:jc w:val="right"/>
            </w:pPr>
            <w:r w:rsidRPr="00532267">
              <w:t xml:space="preserve">0 </w:t>
            </w: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3D3E6002" w14:textId="77777777">
            <w:pPr>
              <w:pStyle w:val="tablebody"/>
              <w:jc w:val="right"/>
            </w:pPr>
            <w:r w:rsidRPr="00532267">
              <w:t xml:space="preserve">0 </w:t>
            </w: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1CF60119" w14:textId="77777777">
            <w:pPr>
              <w:pStyle w:val="tablebody"/>
              <w:jc w:val="right"/>
            </w:pPr>
            <w:r w:rsidRPr="00532267">
              <w:t xml:space="preserve">222,049 </w:t>
            </w:r>
          </w:p>
        </w:tc>
      </w:tr>
      <w:tr w:rsidRPr="00CB3B7F" w:rsidR="00532267" w:rsidTr="006830D1" w14:paraId="25DE6D9E" w14:textId="77777777">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EF38FB3" w14:textId="77777777">
            <w:pPr>
              <w:pStyle w:val="tablebody"/>
              <w:rPr>
                <w:b/>
              </w:rPr>
            </w:pPr>
            <w:r w:rsidRPr="00CB3B7F">
              <w:rPr>
                <w:b/>
              </w:rPr>
              <w:t>Total financial assets</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60DCC5A1" w14:textId="77777777">
            <w:pPr>
              <w:pStyle w:val="tablebody"/>
              <w:jc w:val="right"/>
              <w:rPr>
                <w:b/>
                <w:lang w:val="en-US"/>
              </w:rPr>
            </w:pP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10969838" w14:textId="77777777">
            <w:pPr>
              <w:pStyle w:val="tablebody"/>
              <w:jc w:val="right"/>
              <w:rPr>
                <w:b/>
              </w:rPr>
            </w:pPr>
            <w:r w:rsidRPr="00CB3B7F">
              <w:rPr>
                <w:b/>
              </w:rPr>
              <w:t xml:space="preserve">354,441 </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C5A50F1" w14:textId="77777777">
            <w:pPr>
              <w:pStyle w:val="tablebody"/>
              <w:jc w:val="right"/>
              <w:rPr>
                <w:b/>
              </w:rPr>
            </w:pPr>
            <w:r w:rsidRPr="00CB3B7F">
              <w:rPr>
                <w:b/>
              </w:rPr>
              <w:t xml:space="preserve">46,428 </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2FE01B06" w14:textId="77777777">
            <w:pPr>
              <w:pStyle w:val="tablebody"/>
              <w:jc w:val="right"/>
              <w:rPr>
                <w:b/>
              </w:rPr>
            </w:pPr>
            <w:r w:rsidRPr="00CB3B7F">
              <w:rPr>
                <w:b/>
              </w:rPr>
              <w:t xml:space="preserve">2,531 </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3797731" w14:textId="77777777">
            <w:pPr>
              <w:pStyle w:val="tablebody"/>
              <w:jc w:val="right"/>
              <w:rPr>
                <w:b/>
              </w:rPr>
            </w:pPr>
            <w:r w:rsidRPr="00CB3B7F">
              <w:rPr>
                <w:b/>
              </w:rPr>
              <w:t xml:space="preserve">305,482 </w:t>
            </w:r>
          </w:p>
        </w:tc>
      </w:tr>
      <w:tr w:rsidRPr="00CB3B7F" w:rsidR="00532267" w:rsidTr="006830D1" w14:paraId="7E817B01" w14:textId="77777777">
        <w:tc>
          <w:tcPr>
            <w:tcW w:w="4989"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11FFF91" w14:textId="77777777">
            <w:pPr>
              <w:pStyle w:val="tablebody"/>
              <w:rPr>
                <w:b/>
              </w:rPr>
            </w:pPr>
            <w:r w:rsidRPr="00CB3B7F">
              <w:rPr>
                <w:b/>
              </w:rPr>
              <w:t>Financial liabilities</w:t>
            </w:r>
          </w:p>
        </w:tc>
        <w:tc>
          <w:tcPr>
            <w:tcW w:w="119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39C4E38" w14:textId="77777777">
            <w:pPr>
              <w:pStyle w:val="tablebody"/>
              <w:jc w:val="right"/>
              <w:rPr>
                <w:b/>
                <w:lang w:val="en-US"/>
              </w:rPr>
            </w:pPr>
          </w:p>
        </w:tc>
        <w:tc>
          <w:tcPr>
            <w:tcW w:w="907"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3E718D71" w14:textId="77777777">
            <w:pPr>
              <w:pStyle w:val="tablebody"/>
              <w:jc w:val="right"/>
              <w:rPr>
                <w:b/>
                <w:lang w:val="en-US"/>
              </w:rPr>
            </w:pPr>
          </w:p>
        </w:tc>
        <w:tc>
          <w:tcPr>
            <w:tcW w:w="793"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254BEC63" w14:textId="77777777">
            <w:pPr>
              <w:pStyle w:val="tablebody"/>
              <w:jc w:val="right"/>
              <w:rPr>
                <w:b/>
                <w:lang w:val="en-US"/>
              </w:rPr>
            </w:pPr>
          </w:p>
        </w:tc>
        <w:tc>
          <w:tcPr>
            <w:tcW w:w="851"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6CB85E9D" w14:textId="77777777">
            <w:pPr>
              <w:pStyle w:val="tablebody"/>
              <w:jc w:val="right"/>
              <w:rPr>
                <w:b/>
                <w:lang w:val="en-US"/>
              </w:rPr>
            </w:pPr>
          </w:p>
        </w:tc>
        <w:tc>
          <w:tcPr>
            <w:tcW w:w="1190" w:type="dxa"/>
            <w:tcBorders>
              <w:top w:val="single" w:color="000000" w:sz="6" w:space="0"/>
              <w:left w:val="nil"/>
              <w:bottom w:val="nil"/>
              <w:right w:val="nil"/>
            </w:tcBorders>
            <w:tcMar>
              <w:top w:w="28" w:type="dxa"/>
              <w:left w:w="0" w:type="dxa"/>
              <w:bottom w:w="57" w:type="dxa"/>
              <w:right w:w="0" w:type="dxa"/>
            </w:tcMar>
            <w:vAlign w:val="bottom"/>
          </w:tcPr>
          <w:p w:rsidRPr="00CB3B7F" w:rsidR="00532267" w:rsidP="00CB3B7F" w:rsidRDefault="00532267" w14:paraId="7812A644" w14:textId="77777777">
            <w:pPr>
              <w:pStyle w:val="tablebody"/>
              <w:jc w:val="right"/>
              <w:rPr>
                <w:b/>
                <w:lang w:val="en-US"/>
              </w:rPr>
            </w:pPr>
          </w:p>
        </w:tc>
      </w:tr>
      <w:tr w:rsidRPr="00532267" w:rsidR="00532267" w:rsidTr="006830D1" w14:paraId="5105117F"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858E2C1" w14:textId="77777777">
            <w:pPr>
              <w:pStyle w:val="tablebody"/>
            </w:pPr>
            <w:r w:rsidRPr="00532267">
              <w:t>Payables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4FFD6AA"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5DAF55A"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C033D03"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348623A"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AECFF25" w14:textId="77777777">
            <w:pPr>
              <w:pStyle w:val="tablebody"/>
              <w:jc w:val="right"/>
              <w:rPr>
                <w:lang w:val="en-US"/>
              </w:rPr>
            </w:pPr>
          </w:p>
        </w:tc>
      </w:tr>
      <w:tr w:rsidRPr="00532267" w:rsidR="00532267" w:rsidTr="006830D1" w14:paraId="497028DB"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A7D13EC" w14:textId="77777777">
            <w:pPr>
              <w:pStyle w:val="tablebody"/>
              <w:numPr>
                <w:ilvl w:val="0"/>
                <w:numId w:val="9"/>
              </w:numPr>
              <w:ind w:left="284" w:hanging="294"/>
            </w:pPr>
            <w:r w:rsidRPr="00532267">
              <w:t>Trade creditors and other payables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B7215F5"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2C12DF3" w14:textId="77777777">
            <w:pPr>
              <w:pStyle w:val="tablebody"/>
              <w:jc w:val="right"/>
            </w:pPr>
            <w:r w:rsidRPr="00532267">
              <w:t xml:space="preserve">259,601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80C83DD"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32BA527"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C6BAA46" w14:textId="77777777">
            <w:pPr>
              <w:pStyle w:val="tablebody"/>
              <w:jc w:val="right"/>
            </w:pPr>
            <w:r w:rsidRPr="00532267">
              <w:t xml:space="preserve">259,601 </w:t>
            </w:r>
          </w:p>
        </w:tc>
      </w:tr>
      <w:tr w:rsidRPr="00532267" w:rsidR="00532267" w:rsidTr="006830D1" w14:paraId="2C8179F7"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EDC22E9" w14:textId="77777777">
            <w:pPr>
              <w:pStyle w:val="tablebody"/>
              <w:numPr>
                <w:ilvl w:val="0"/>
                <w:numId w:val="9"/>
              </w:numPr>
              <w:ind w:left="284" w:hanging="294"/>
            </w:pPr>
            <w:r w:rsidRPr="00532267">
              <w:t>Accrued capital works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E343E2E"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542362B" w14:textId="77777777">
            <w:pPr>
              <w:pStyle w:val="tablebody"/>
              <w:jc w:val="right"/>
            </w:pPr>
            <w:r w:rsidRPr="00532267">
              <w:t xml:space="preserve">56,991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824BFB9"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4DC0D94"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901936C" w14:textId="77777777">
            <w:pPr>
              <w:pStyle w:val="tablebody"/>
              <w:jc w:val="right"/>
            </w:pPr>
            <w:r w:rsidRPr="00532267">
              <w:t xml:space="preserve">56,991 </w:t>
            </w:r>
          </w:p>
        </w:tc>
      </w:tr>
      <w:tr w:rsidRPr="00532267" w:rsidR="00532267" w:rsidTr="006830D1" w14:paraId="415A3D2F"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7E30C980" w14:textId="77777777">
            <w:pPr>
              <w:pStyle w:val="tablebody"/>
              <w:numPr>
                <w:ilvl w:val="0"/>
                <w:numId w:val="9"/>
              </w:numPr>
              <w:ind w:left="284" w:hanging="294"/>
            </w:pPr>
            <w:r w:rsidRPr="00532267">
              <w:t>Salaries and wages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0AF2C5C"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B459ED0" w14:textId="77777777">
            <w:pPr>
              <w:pStyle w:val="tablebody"/>
              <w:jc w:val="right"/>
            </w:pPr>
            <w:r w:rsidRPr="00532267">
              <w:t xml:space="preserve">19,279 </w:t>
            </w: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48EA5FCA" w14:textId="77777777">
            <w:pPr>
              <w:pStyle w:val="tablebody"/>
              <w:jc w:val="right"/>
            </w:pPr>
            <w:r w:rsidRPr="00532267">
              <w:t xml:space="preserve">0 </w:t>
            </w: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2699422" w14:textId="77777777">
            <w:pPr>
              <w:pStyle w:val="tablebody"/>
              <w:jc w:val="right"/>
            </w:pPr>
            <w:r w:rsidRPr="00532267">
              <w:t xml:space="preserve">0 </w:t>
            </w: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0764CEB2" w14:textId="77777777">
            <w:pPr>
              <w:pStyle w:val="tablebody"/>
              <w:jc w:val="right"/>
            </w:pPr>
            <w:r w:rsidRPr="00532267">
              <w:t xml:space="preserve">19,279 </w:t>
            </w:r>
          </w:p>
        </w:tc>
      </w:tr>
      <w:tr w:rsidRPr="00532267" w:rsidR="00532267" w:rsidTr="006830D1" w14:paraId="72CD3921" w14:textId="77777777">
        <w:tc>
          <w:tcPr>
            <w:tcW w:w="4989"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3DEA0898" w14:textId="77777777">
            <w:pPr>
              <w:pStyle w:val="tablebody"/>
            </w:pPr>
            <w:r w:rsidRPr="00532267">
              <w:t>Borrowings</w:t>
            </w:r>
          </w:p>
        </w:tc>
        <w:tc>
          <w:tcPr>
            <w:tcW w:w="119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65884DC" w14:textId="77777777">
            <w:pPr>
              <w:pStyle w:val="tablebody"/>
              <w:jc w:val="right"/>
              <w:rPr>
                <w:lang w:val="en-US"/>
              </w:rPr>
            </w:pPr>
          </w:p>
        </w:tc>
        <w:tc>
          <w:tcPr>
            <w:tcW w:w="907"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1CEDDD5E" w14:textId="77777777">
            <w:pPr>
              <w:pStyle w:val="tablebody"/>
              <w:jc w:val="right"/>
              <w:rPr>
                <w:lang w:val="en-US"/>
              </w:rPr>
            </w:pPr>
          </w:p>
        </w:tc>
        <w:tc>
          <w:tcPr>
            <w:tcW w:w="793"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6C5212C6" w14:textId="77777777">
            <w:pPr>
              <w:pStyle w:val="tablebody"/>
              <w:jc w:val="right"/>
              <w:rPr>
                <w:lang w:val="en-US"/>
              </w:rPr>
            </w:pPr>
          </w:p>
        </w:tc>
        <w:tc>
          <w:tcPr>
            <w:tcW w:w="851"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23A7158A" w14:textId="77777777">
            <w:pPr>
              <w:pStyle w:val="tablebody"/>
              <w:jc w:val="right"/>
              <w:rPr>
                <w:lang w:val="en-US"/>
              </w:rPr>
            </w:pPr>
          </w:p>
        </w:tc>
        <w:tc>
          <w:tcPr>
            <w:tcW w:w="1190" w:type="dxa"/>
            <w:tcBorders>
              <w:top w:val="nil"/>
              <w:left w:val="nil"/>
              <w:bottom w:val="nil"/>
              <w:right w:val="nil"/>
            </w:tcBorders>
            <w:tcMar>
              <w:top w:w="28" w:type="dxa"/>
              <w:left w:w="0" w:type="dxa"/>
              <w:bottom w:w="57" w:type="dxa"/>
              <w:right w:w="0" w:type="dxa"/>
            </w:tcMar>
            <w:vAlign w:val="bottom"/>
          </w:tcPr>
          <w:p w:rsidRPr="00532267" w:rsidR="00532267" w:rsidP="00CB3B7F" w:rsidRDefault="00532267" w14:paraId="5BF22047" w14:textId="77777777">
            <w:pPr>
              <w:pStyle w:val="tablebody"/>
              <w:jc w:val="right"/>
              <w:rPr>
                <w:lang w:val="en-US"/>
              </w:rPr>
            </w:pPr>
          </w:p>
        </w:tc>
      </w:tr>
      <w:tr w:rsidRPr="00532267" w:rsidR="00532267" w:rsidTr="006830D1" w14:paraId="37C7C362" w14:textId="77777777">
        <w:tc>
          <w:tcPr>
            <w:tcW w:w="4989"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46159210" w14:textId="77777777">
            <w:pPr>
              <w:pStyle w:val="tablebody"/>
              <w:numPr>
                <w:ilvl w:val="0"/>
                <w:numId w:val="9"/>
              </w:numPr>
              <w:ind w:left="284" w:hanging="294"/>
            </w:pPr>
            <w:r w:rsidRPr="00532267">
              <w:t>Finance lease liabilities</w:t>
            </w:r>
          </w:p>
        </w:tc>
        <w:tc>
          <w:tcPr>
            <w:tcW w:w="119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44913904" w14:textId="77777777">
            <w:pPr>
              <w:pStyle w:val="tablebody"/>
              <w:jc w:val="right"/>
            </w:pPr>
            <w:r w:rsidRPr="00532267">
              <w:t>9.30%</w:t>
            </w:r>
          </w:p>
        </w:tc>
        <w:tc>
          <w:tcPr>
            <w:tcW w:w="907"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12453A0E" w14:textId="77777777">
            <w:pPr>
              <w:pStyle w:val="tablebody"/>
              <w:jc w:val="right"/>
            </w:pPr>
            <w:r w:rsidRPr="00532267">
              <w:t xml:space="preserve">651,888 </w:t>
            </w:r>
          </w:p>
        </w:tc>
        <w:tc>
          <w:tcPr>
            <w:tcW w:w="793"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04D0D846" w14:textId="77777777">
            <w:pPr>
              <w:pStyle w:val="tablebody"/>
              <w:jc w:val="right"/>
            </w:pPr>
            <w:r w:rsidRPr="00532267">
              <w:t xml:space="preserve">651,888 </w:t>
            </w:r>
          </w:p>
        </w:tc>
        <w:tc>
          <w:tcPr>
            <w:tcW w:w="851"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5B0596D9" w14:textId="77777777">
            <w:pPr>
              <w:pStyle w:val="tablebody"/>
              <w:jc w:val="right"/>
            </w:pPr>
            <w:r w:rsidRPr="00532267">
              <w:t xml:space="preserve">0 </w:t>
            </w:r>
          </w:p>
        </w:tc>
        <w:tc>
          <w:tcPr>
            <w:tcW w:w="1190" w:type="dxa"/>
            <w:tcBorders>
              <w:top w:val="nil"/>
              <w:left w:val="nil"/>
              <w:bottom w:val="single" w:color="000000" w:sz="6" w:space="0"/>
              <w:right w:val="nil"/>
            </w:tcBorders>
            <w:tcMar>
              <w:top w:w="28" w:type="dxa"/>
              <w:left w:w="0" w:type="dxa"/>
              <w:bottom w:w="57" w:type="dxa"/>
              <w:right w:w="0" w:type="dxa"/>
            </w:tcMar>
            <w:vAlign w:val="bottom"/>
          </w:tcPr>
          <w:p w:rsidRPr="00532267" w:rsidR="00532267" w:rsidP="00CB3B7F" w:rsidRDefault="00532267" w14:paraId="0078DD20" w14:textId="77777777">
            <w:pPr>
              <w:pStyle w:val="tablebody"/>
              <w:jc w:val="right"/>
            </w:pPr>
            <w:r w:rsidRPr="00532267">
              <w:t xml:space="preserve">0 </w:t>
            </w:r>
          </w:p>
        </w:tc>
      </w:tr>
      <w:tr w:rsidRPr="00CB3B7F" w:rsidR="00532267" w:rsidTr="006830D1" w14:paraId="17560C25" w14:textId="77777777">
        <w:tc>
          <w:tcPr>
            <w:tcW w:w="4989"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059F4745" w14:textId="77777777">
            <w:pPr>
              <w:pStyle w:val="tablebody"/>
              <w:rPr>
                <w:b/>
              </w:rPr>
            </w:pPr>
            <w:r w:rsidRPr="00CB3B7F">
              <w:rPr>
                <w:b/>
              </w:rPr>
              <w:t>Total financial liabilities</w:t>
            </w:r>
          </w:p>
        </w:tc>
        <w:tc>
          <w:tcPr>
            <w:tcW w:w="119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A7DD7A4" w14:textId="77777777">
            <w:pPr>
              <w:pStyle w:val="tablebody"/>
              <w:jc w:val="right"/>
              <w:rPr>
                <w:b/>
                <w:lang w:val="en-US"/>
              </w:rPr>
            </w:pPr>
          </w:p>
        </w:tc>
        <w:tc>
          <w:tcPr>
            <w:tcW w:w="90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58C6838C" w14:textId="77777777">
            <w:pPr>
              <w:pStyle w:val="tablebody"/>
              <w:jc w:val="right"/>
              <w:rPr>
                <w:b/>
              </w:rPr>
            </w:pPr>
            <w:r w:rsidRPr="00CB3B7F">
              <w:rPr>
                <w:b/>
              </w:rPr>
              <w:t xml:space="preserve">987,759 </w:t>
            </w:r>
          </w:p>
        </w:tc>
        <w:tc>
          <w:tcPr>
            <w:tcW w:w="79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52B16AF3" w14:textId="77777777">
            <w:pPr>
              <w:pStyle w:val="tablebody"/>
              <w:jc w:val="right"/>
              <w:rPr>
                <w:b/>
              </w:rPr>
            </w:pPr>
            <w:r w:rsidRPr="00CB3B7F">
              <w:rPr>
                <w:b/>
              </w:rPr>
              <w:t xml:space="preserve">651,888 </w:t>
            </w:r>
          </w:p>
        </w:tc>
        <w:tc>
          <w:tcPr>
            <w:tcW w:w="85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7B60C4FD" w14:textId="77777777">
            <w:pPr>
              <w:pStyle w:val="tablebody"/>
              <w:jc w:val="right"/>
              <w:rPr>
                <w:b/>
              </w:rPr>
            </w:pPr>
            <w:r w:rsidRPr="00CB3B7F">
              <w:rPr>
                <w:b/>
              </w:rPr>
              <w:t xml:space="preserve">0 </w:t>
            </w:r>
          </w:p>
        </w:tc>
        <w:tc>
          <w:tcPr>
            <w:tcW w:w="119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CB3B7F" w:rsidR="00532267" w:rsidP="00CB3B7F" w:rsidRDefault="00532267" w14:paraId="4A722083" w14:textId="77777777">
            <w:pPr>
              <w:pStyle w:val="tablebody"/>
              <w:jc w:val="right"/>
              <w:rPr>
                <w:b/>
              </w:rPr>
            </w:pPr>
            <w:r w:rsidRPr="00CB3B7F">
              <w:rPr>
                <w:b/>
              </w:rPr>
              <w:t xml:space="preserve">335,871 </w:t>
            </w:r>
          </w:p>
        </w:tc>
      </w:tr>
    </w:tbl>
    <w:p w:rsidRPr="00CB3B7F" w:rsidR="00532267" w:rsidP="00CB3B7F" w:rsidRDefault="00532267" w14:paraId="77A5EA8B" w14:textId="77777777">
      <w:pPr>
        <w:pStyle w:val="notes"/>
      </w:pPr>
      <w:r w:rsidRPr="00CB3B7F">
        <w:t>(i) Amounts disclosed in this table exclude statutory amounts (e.g. amounts owing from Victorian Government and GST input tax credit recoverable).</w:t>
      </w:r>
    </w:p>
    <w:p w:rsidRPr="00CB3B7F" w:rsidR="00532267" w:rsidP="00CB3B7F" w:rsidRDefault="00532267" w14:paraId="3323CB63" w14:textId="77777777">
      <w:pPr>
        <w:pStyle w:val="notes"/>
      </w:pPr>
    </w:p>
    <w:p w:rsidRPr="00532267" w:rsidR="00532267" w:rsidP="00532267" w:rsidRDefault="00532267" w14:paraId="7F3E5639" w14:textId="77777777">
      <w:pPr>
        <w:rPr>
          <w:b/>
          <w:bCs/>
        </w:rPr>
      </w:pPr>
      <w:r w:rsidRPr="00532267">
        <w:rPr>
          <w:b/>
          <w:bCs/>
        </w:rPr>
        <w:t>Equity price risk</w:t>
      </w:r>
    </w:p>
    <w:p w:rsidRPr="00532267" w:rsidR="00532267" w:rsidP="00532267" w:rsidRDefault="00532267" w14:paraId="157ED0EE" w14:textId="77777777">
      <w:r w:rsidRPr="00532267">
        <w:t>The department is exposed to equity price risk through its managed investment schemes.  The department appointed the Victorian Funds Management Corporation to manage its investment portfolio in accordance with the Investment Risk Management Plan approved by the Treasurer.</w:t>
      </w:r>
    </w:p>
    <w:p w:rsidRPr="00532267" w:rsidR="00532267" w:rsidP="00532267" w:rsidRDefault="00532267" w14:paraId="3D21F6A1" w14:textId="77777777">
      <w:pPr>
        <w:rPr>
          <w:b/>
          <w:bCs/>
        </w:rPr>
      </w:pPr>
      <w:r w:rsidRPr="00532267">
        <w:rPr>
          <w:b/>
          <w:bCs/>
        </w:rPr>
        <w:t>Foreign currency risk</w:t>
      </w:r>
    </w:p>
    <w:p w:rsidRPr="00532267" w:rsidR="00532267" w:rsidP="00532267" w:rsidRDefault="00532267" w14:paraId="5AFF52DB" w14:textId="77777777">
      <w:r w:rsidRPr="00532267">
        <w:t>The department is not exposed to significant foreign currency risk through its payables relating to purchases of supplies from overseas. This is because of a limited amount of purchases denominated in foreign currencies and a short timeframe between commitment and settlement.</w:t>
      </w:r>
    </w:p>
    <w:p w:rsidRPr="00532267" w:rsidR="00532267" w:rsidP="00532267" w:rsidRDefault="00532267" w14:paraId="101A89A2" w14:textId="77777777">
      <w:pPr>
        <w:rPr>
          <w:b/>
          <w:bCs/>
        </w:rPr>
      </w:pPr>
      <w:r w:rsidRPr="00532267">
        <w:rPr>
          <w:b/>
          <w:bCs/>
        </w:rPr>
        <w:t>Market risk sensitivity</w:t>
      </w:r>
    </w:p>
    <w:p w:rsidRPr="00532267" w:rsidR="00532267" w:rsidP="00532267" w:rsidRDefault="00532267" w14:paraId="66A4B670" w14:textId="6F794456">
      <w:r w:rsidRPr="00532267">
        <w:t>Taking into account past performance and future expectations, the department believes the following movements are reasonably possible over the next 12 months.</w:t>
      </w:r>
    </w:p>
    <w:tbl>
      <w:tblPr>
        <w:tblW w:w="0" w:type="auto"/>
        <w:tblLayout w:type="fixed"/>
        <w:tblCellMar>
          <w:left w:w="0" w:type="dxa"/>
          <w:right w:w="0" w:type="dxa"/>
        </w:tblCellMar>
        <w:tblLook w:firstRow="1" w:lastRow="0" w:firstColumn="0" w:lastColumn="0" w:noHBand="0" w:noVBand="0" w:val="0020"/>
      </w:tblPr>
      <w:tblGrid>
        <w:gridCol w:w="2608"/>
        <w:gridCol w:w="1463"/>
        <w:gridCol w:w="1462"/>
        <w:gridCol w:w="1463"/>
        <w:gridCol w:w="1463"/>
        <w:gridCol w:w="1462"/>
      </w:tblGrid>
      <w:tr w:rsidRPr="006830D1" w:rsidR="00532267" w:rsidTr="006830D1" w14:paraId="6071DFD7" w14:textId="77777777">
        <w:trPr>
          <w:tblHeader/>
        </w:trPr>
        <w:tc>
          <w:tcPr>
            <w:tcW w:w="2608" w:type="dxa"/>
            <w:tcBorders>
              <w:top w:val="nil"/>
              <w:left w:val="nil"/>
              <w:bottom w:val="single" w:color="000000" w:sz="6" w:space="0"/>
              <w:right w:val="nil"/>
            </w:tcBorders>
            <w:tcMar>
              <w:top w:w="28" w:type="dxa"/>
              <w:left w:w="0" w:type="dxa"/>
              <w:bottom w:w="57" w:type="dxa"/>
              <w:right w:w="0" w:type="dxa"/>
            </w:tcMar>
          </w:tcPr>
          <w:p w:rsidRPr="006830D1" w:rsidR="00532267" w:rsidP="00CB3B7F" w:rsidRDefault="00532267" w14:paraId="57F7CD57" w14:textId="77777777">
            <w:pPr>
              <w:pStyle w:val="tablebody"/>
              <w:rPr>
                <w:b/>
                <w:lang w:val="en-US"/>
              </w:rPr>
            </w:pPr>
          </w:p>
        </w:tc>
        <w:tc>
          <w:tcPr>
            <w:tcW w:w="1463" w:type="dxa"/>
            <w:tcBorders>
              <w:top w:val="nil"/>
              <w:left w:val="nil"/>
              <w:bottom w:val="single" w:color="000000" w:sz="6" w:space="0"/>
              <w:right w:val="nil"/>
            </w:tcBorders>
            <w:tcMar>
              <w:top w:w="28" w:type="dxa"/>
              <w:left w:w="0" w:type="dxa"/>
              <w:bottom w:w="57" w:type="dxa"/>
              <w:right w:w="0" w:type="dxa"/>
            </w:tcMar>
          </w:tcPr>
          <w:p w:rsidRPr="006830D1" w:rsidR="00532267" w:rsidP="006830D1" w:rsidRDefault="00532267" w14:paraId="588D5699" w14:textId="77777777">
            <w:pPr>
              <w:pStyle w:val="tablebody"/>
              <w:jc w:val="right"/>
              <w:rPr>
                <w:b/>
                <w:lang w:val="en-US"/>
              </w:rPr>
            </w:pPr>
          </w:p>
        </w:tc>
        <w:tc>
          <w:tcPr>
            <w:tcW w:w="1462" w:type="dxa"/>
            <w:tcBorders>
              <w:top w:val="nil"/>
              <w:left w:val="nil"/>
              <w:bottom w:val="single" w:color="000000" w:sz="6" w:space="0"/>
              <w:right w:val="nil"/>
            </w:tcBorders>
            <w:tcMar>
              <w:top w:w="28" w:type="dxa"/>
              <w:left w:w="0" w:type="dxa"/>
              <w:bottom w:w="57" w:type="dxa"/>
              <w:right w:w="0" w:type="dxa"/>
            </w:tcMar>
          </w:tcPr>
          <w:p w:rsidRPr="006830D1" w:rsidR="00532267" w:rsidP="006830D1" w:rsidRDefault="00532267" w14:paraId="41401D2C" w14:textId="77777777">
            <w:pPr>
              <w:pStyle w:val="tablebody"/>
              <w:jc w:val="right"/>
              <w:rPr>
                <w:b/>
                <w:lang w:val="en-US"/>
              </w:rPr>
            </w:pPr>
          </w:p>
        </w:tc>
        <w:tc>
          <w:tcPr>
            <w:tcW w:w="1463" w:type="dxa"/>
            <w:tcBorders>
              <w:top w:val="nil"/>
              <w:left w:val="nil"/>
              <w:bottom w:val="single" w:color="000000" w:sz="6" w:space="0"/>
              <w:right w:val="nil"/>
            </w:tcBorders>
            <w:tcMar>
              <w:top w:w="28" w:type="dxa"/>
              <w:left w:w="0" w:type="dxa"/>
              <w:bottom w:w="57" w:type="dxa"/>
              <w:right w:w="0" w:type="dxa"/>
            </w:tcMar>
          </w:tcPr>
          <w:p w:rsidRPr="006830D1" w:rsidR="00532267" w:rsidP="006830D1" w:rsidRDefault="00532267" w14:paraId="53AC08E9" w14:textId="77777777">
            <w:pPr>
              <w:pStyle w:val="tablebody"/>
              <w:jc w:val="right"/>
              <w:rPr>
                <w:b/>
                <w:lang w:val="en-US"/>
              </w:rPr>
            </w:pPr>
          </w:p>
        </w:tc>
        <w:tc>
          <w:tcPr>
            <w:tcW w:w="1463" w:type="dxa"/>
            <w:tcBorders>
              <w:top w:val="nil"/>
              <w:left w:val="nil"/>
              <w:bottom w:val="single" w:color="000000" w:sz="6" w:space="0"/>
              <w:right w:val="nil"/>
            </w:tcBorders>
            <w:tcMar>
              <w:top w:w="28" w:type="dxa"/>
              <w:left w:w="0" w:type="dxa"/>
              <w:bottom w:w="57" w:type="dxa"/>
              <w:right w:w="0" w:type="dxa"/>
            </w:tcMar>
          </w:tcPr>
          <w:p w:rsidRPr="006830D1" w:rsidR="00532267" w:rsidP="006830D1" w:rsidRDefault="00532267" w14:paraId="09DEAA04" w14:textId="77777777">
            <w:pPr>
              <w:pStyle w:val="tablebody"/>
              <w:jc w:val="right"/>
              <w:rPr>
                <w:b/>
                <w:lang w:val="en-US"/>
              </w:rPr>
            </w:pPr>
          </w:p>
        </w:tc>
        <w:tc>
          <w:tcPr>
            <w:tcW w:w="1462" w:type="dxa"/>
            <w:tcBorders>
              <w:top w:val="nil"/>
              <w:left w:val="nil"/>
              <w:bottom w:val="single" w:color="000000" w:sz="6" w:space="0"/>
              <w:right w:val="nil"/>
            </w:tcBorders>
            <w:tcMar>
              <w:top w:w="28" w:type="dxa"/>
              <w:left w:w="0" w:type="dxa"/>
              <w:bottom w:w="57" w:type="dxa"/>
              <w:right w:w="0" w:type="dxa"/>
            </w:tcMar>
          </w:tcPr>
          <w:p w:rsidRPr="006830D1" w:rsidR="00532267" w:rsidP="006830D1" w:rsidRDefault="00532267" w14:paraId="3E2D06FD" w14:textId="77777777">
            <w:pPr>
              <w:pStyle w:val="tablebody"/>
              <w:jc w:val="right"/>
              <w:rPr>
                <w:b/>
              </w:rPr>
            </w:pPr>
            <w:r w:rsidRPr="006830D1">
              <w:rPr>
                <w:b/>
              </w:rPr>
              <w:t>($ thousand)</w:t>
            </w:r>
          </w:p>
        </w:tc>
      </w:tr>
      <w:tr w:rsidRPr="006830D1" w:rsidR="00532267" w:rsidTr="006830D1" w14:paraId="4D694D1D" w14:textId="77777777">
        <w:trPr>
          <w:tblHeader/>
        </w:trPr>
        <w:tc>
          <w:tcPr>
            <w:tcW w:w="2608" w:type="dxa"/>
            <w:vMerge w:val="restart"/>
            <w:tcBorders>
              <w:top w:val="single" w:color="000000" w:sz="6" w:space="0"/>
              <w:left w:val="nil"/>
              <w:bottom w:val="single" w:color="000000" w:sz="8" w:space="0"/>
              <w:right w:val="nil"/>
            </w:tcBorders>
            <w:tcMar>
              <w:top w:w="28" w:type="dxa"/>
              <w:left w:w="0" w:type="dxa"/>
              <w:bottom w:w="57" w:type="dxa"/>
              <w:right w:w="0" w:type="dxa"/>
            </w:tcMar>
          </w:tcPr>
          <w:p w:rsidRPr="006830D1" w:rsidR="00532267" w:rsidP="00CB3B7F" w:rsidRDefault="00532267" w14:paraId="0BA52356" w14:textId="77777777">
            <w:pPr>
              <w:pStyle w:val="tablebody"/>
              <w:rPr>
                <w:b/>
                <w:lang w:val="en-US"/>
              </w:rPr>
            </w:pPr>
          </w:p>
        </w:tc>
        <w:tc>
          <w:tcPr>
            <w:tcW w:w="1463" w:type="dxa"/>
            <w:vMerge w:val="restart"/>
            <w:tcBorders>
              <w:top w:val="single" w:color="000000" w:sz="6" w:space="0"/>
              <w:left w:val="nil"/>
              <w:bottom w:val="single" w:color="000000" w:sz="8" w:space="0"/>
              <w:right w:val="nil"/>
            </w:tcBorders>
            <w:tcMar>
              <w:top w:w="28" w:type="dxa"/>
              <w:left w:w="0" w:type="dxa"/>
              <w:bottom w:w="57" w:type="dxa"/>
              <w:right w:w="0" w:type="dxa"/>
            </w:tcMar>
            <w:vAlign w:val="bottom"/>
          </w:tcPr>
          <w:p w:rsidRPr="006830D1" w:rsidR="00532267" w:rsidP="006830D1" w:rsidRDefault="00532267" w14:paraId="594940C1" w14:textId="77777777">
            <w:pPr>
              <w:pStyle w:val="tablebody"/>
              <w:jc w:val="right"/>
              <w:rPr>
                <w:b/>
              </w:rPr>
            </w:pPr>
            <w:r w:rsidRPr="006830D1">
              <w:rPr>
                <w:b/>
              </w:rPr>
              <w:t>Carrying</w:t>
            </w:r>
            <w:r w:rsidRPr="006830D1">
              <w:rPr>
                <w:b/>
              </w:rPr>
              <w:br/>
              <w:t>amount</w:t>
            </w:r>
          </w:p>
        </w:tc>
        <w:tc>
          <w:tcPr>
            <w:tcW w:w="2925" w:type="dxa"/>
            <w:gridSpan w:val="2"/>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6A4613E3" w14:textId="77777777">
            <w:pPr>
              <w:pStyle w:val="tablebody"/>
              <w:jc w:val="right"/>
              <w:rPr>
                <w:b/>
              </w:rPr>
            </w:pPr>
            <w:r w:rsidRPr="006830D1">
              <w:rPr>
                <w:b/>
              </w:rPr>
              <w:t>Interest rate risk</w:t>
            </w:r>
          </w:p>
        </w:tc>
        <w:tc>
          <w:tcPr>
            <w:tcW w:w="2925" w:type="dxa"/>
            <w:gridSpan w:val="2"/>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1D75DB43" w14:textId="77777777">
            <w:pPr>
              <w:pStyle w:val="tablebody"/>
              <w:jc w:val="right"/>
              <w:rPr>
                <w:b/>
              </w:rPr>
            </w:pPr>
            <w:r w:rsidRPr="006830D1">
              <w:rPr>
                <w:b/>
              </w:rPr>
              <w:t>Other price risk</w:t>
            </w:r>
          </w:p>
        </w:tc>
      </w:tr>
      <w:tr w:rsidRPr="006830D1" w:rsidR="00532267" w:rsidTr="006830D1" w14:paraId="4006AD3E" w14:textId="77777777">
        <w:trPr>
          <w:tblHeader/>
        </w:trPr>
        <w:tc>
          <w:tcPr>
            <w:tcW w:w="2608" w:type="dxa"/>
            <w:vMerge/>
            <w:tcBorders>
              <w:top w:val="single" w:color="000000" w:sz="8" w:space="0"/>
              <w:left w:val="nil"/>
              <w:bottom w:val="single" w:color="000000" w:sz="6" w:space="0"/>
              <w:right w:val="nil"/>
            </w:tcBorders>
            <w:tcMar>
              <w:top w:w="28" w:type="dxa"/>
              <w:bottom w:w="57" w:type="dxa"/>
            </w:tcMar>
          </w:tcPr>
          <w:p w:rsidRPr="006830D1" w:rsidR="00532267" w:rsidP="00CB3B7F" w:rsidRDefault="00532267" w14:paraId="5BC03F14" w14:textId="77777777">
            <w:pPr>
              <w:pStyle w:val="tablebody"/>
              <w:rPr>
                <w:b/>
                <w:lang w:val="en-US"/>
              </w:rPr>
            </w:pPr>
          </w:p>
        </w:tc>
        <w:tc>
          <w:tcPr>
            <w:tcW w:w="1463" w:type="dxa"/>
            <w:vMerge/>
            <w:tcBorders>
              <w:top w:val="single" w:color="000000" w:sz="8" w:space="0"/>
              <w:left w:val="nil"/>
              <w:bottom w:val="single" w:color="000000" w:sz="6" w:space="0"/>
              <w:right w:val="nil"/>
            </w:tcBorders>
            <w:tcMar>
              <w:top w:w="28" w:type="dxa"/>
              <w:bottom w:w="57" w:type="dxa"/>
            </w:tcMar>
            <w:vAlign w:val="bottom"/>
          </w:tcPr>
          <w:p w:rsidRPr="006830D1" w:rsidR="00532267" w:rsidP="006830D1" w:rsidRDefault="00532267" w14:paraId="7940D188" w14:textId="77777777">
            <w:pPr>
              <w:pStyle w:val="tablebody"/>
              <w:jc w:val="right"/>
              <w:rPr>
                <w:b/>
                <w:lang w:val="en-US"/>
              </w:rPr>
            </w:pPr>
          </w:p>
        </w:tc>
        <w:tc>
          <w:tcPr>
            <w:tcW w:w="146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46B3447E" w14:textId="77777777">
            <w:pPr>
              <w:pStyle w:val="tablebody"/>
              <w:jc w:val="right"/>
              <w:rPr>
                <w:b/>
              </w:rPr>
            </w:pPr>
            <w:r w:rsidRPr="006830D1">
              <w:rPr>
                <w:b/>
              </w:rPr>
              <w:t xml:space="preserve">Net result </w:t>
            </w:r>
            <w:r w:rsidRPr="006830D1">
              <w:rPr>
                <w:b/>
              </w:rPr>
              <w:br/>
              <w:t>+1%</w:t>
            </w:r>
          </w:p>
        </w:tc>
        <w:tc>
          <w:tcPr>
            <w:tcW w:w="146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665779CD" w14:textId="77777777">
            <w:pPr>
              <w:pStyle w:val="tablebody"/>
              <w:jc w:val="right"/>
              <w:rPr>
                <w:b/>
              </w:rPr>
            </w:pPr>
            <w:r w:rsidRPr="006830D1">
              <w:rPr>
                <w:b/>
              </w:rPr>
              <w:t xml:space="preserve">Net result </w:t>
            </w:r>
            <w:r w:rsidRPr="006830D1">
              <w:rPr>
                <w:b/>
              </w:rPr>
              <w:br/>
              <w:t>-1%</w:t>
            </w:r>
          </w:p>
        </w:tc>
        <w:tc>
          <w:tcPr>
            <w:tcW w:w="1463"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44E89A1E" w14:textId="77777777">
            <w:pPr>
              <w:pStyle w:val="tablebody"/>
              <w:jc w:val="right"/>
              <w:rPr>
                <w:b/>
              </w:rPr>
            </w:pPr>
            <w:r w:rsidRPr="006830D1">
              <w:rPr>
                <w:b/>
              </w:rPr>
              <w:t xml:space="preserve">Net result </w:t>
            </w:r>
            <w:r w:rsidRPr="006830D1">
              <w:rPr>
                <w:b/>
              </w:rPr>
              <w:br/>
              <w:t>+10%</w:t>
            </w:r>
          </w:p>
        </w:tc>
        <w:tc>
          <w:tcPr>
            <w:tcW w:w="1462"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6830D1" w:rsidR="00532267" w:rsidP="006830D1" w:rsidRDefault="00532267" w14:paraId="2A6D5946" w14:textId="77777777">
            <w:pPr>
              <w:pStyle w:val="tablebody"/>
              <w:jc w:val="right"/>
              <w:rPr>
                <w:b/>
              </w:rPr>
            </w:pPr>
            <w:r w:rsidRPr="006830D1">
              <w:rPr>
                <w:b/>
              </w:rPr>
              <w:t xml:space="preserve">Net result </w:t>
            </w:r>
            <w:r w:rsidRPr="006830D1">
              <w:rPr>
                <w:b/>
              </w:rPr>
              <w:br/>
              <w:t>-10%</w:t>
            </w:r>
          </w:p>
        </w:tc>
      </w:tr>
      <w:tr w:rsidRPr="006830D1" w:rsidR="00532267" w:rsidTr="006830D1" w14:paraId="67625E7F" w14:textId="77777777">
        <w:tc>
          <w:tcPr>
            <w:tcW w:w="2608" w:type="dxa"/>
            <w:tcBorders>
              <w:top w:val="single" w:color="000000" w:sz="6" w:space="0"/>
              <w:left w:val="nil"/>
              <w:bottom w:val="nil"/>
              <w:right w:val="nil"/>
            </w:tcBorders>
            <w:tcMar>
              <w:top w:w="28" w:type="dxa"/>
              <w:left w:w="0" w:type="dxa"/>
              <w:bottom w:w="57" w:type="dxa"/>
              <w:right w:w="0" w:type="dxa"/>
            </w:tcMar>
          </w:tcPr>
          <w:p w:rsidRPr="006830D1" w:rsidR="00532267" w:rsidP="00CB3B7F" w:rsidRDefault="00532267" w14:paraId="5B31030E" w14:textId="77777777">
            <w:pPr>
              <w:pStyle w:val="tablebody"/>
              <w:rPr>
                <w:b/>
              </w:rPr>
            </w:pPr>
            <w:r w:rsidRPr="006830D1">
              <w:rPr>
                <w:b/>
              </w:rPr>
              <w:t>2019</w:t>
            </w: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024F20A2" w14:textId="77777777">
            <w:pPr>
              <w:pStyle w:val="tablebody"/>
              <w:jc w:val="right"/>
              <w:rPr>
                <w:b/>
                <w:lang w:val="en-US"/>
              </w:rPr>
            </w:pPr>
          </w:p>
        </w:tc>
        <w:tc>
          <w:tcPr>
            <w:tcW w:w="1462"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30A39396" w14:textId="77777777">
            <w:pPr>
              <w:pStyle w:val="tablebody"/>
              <w:jc w:val="right"/>
              <w:rPr>
                <w:b/>
                <w:lang w:val="en-US"/>
              </w:rPr>
            </w:pP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0E61A5D5" w14:textId="77777777">
            <w:pPr>
              <w:pStyle w:val="tablebody"/>
              <w:jc w:val="right"/>
              <w:rPr>
                <w:b/>
                <w:lang w:val="en-US"/>
              </w:rPr>
            </w:pP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532399AB" w14:textId="77777777">
            <w:pPr>
              <w:pStyle w:val="tablebody"/>
              <w:jc w:val="right"/>
              <w:rPr>
                <w:b/>
                <w:lang w:val="en-US"/>
              </w:rPr>
            </w:pPr>
          </w:p>
        </w:tc>
        <w:tc>
          <w:tcPr>
            <w:tcW w:w="1462"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17CB254B" w14:textId="77777777">
            <w:pPr>
              <w:pStyle w:val="tablebody"/>
              <w:jc w:val="right"/>
              <w:rPr>
                <w:b/>
                <w:lang w:val="en-US"/>
              </w:rPr>
            </w:pPr>
          </w:p>
        </w:tc>
      </w:tr>
      <w:tr w:rsidRPr="00532267" w:rsidR="00532267" w:rsidTr="006830D1" w14:paraId="130B1CC3" w14:textId="77777777">
        <w:tc>
          <w:tcPr>
            <w:tcW w:w="2608" w:type="dxa"/>
            <w:tcBorders>
              <w:top w:val="nil"/>
              <w:left w:val="nil"/>
              <w:bottom w:val="nil"/>
              <w:right w:val="nil"/>
            </w:tcBorders>
            <w:tcMar>
              <w:top w:w="28" w:type="dxa"/>
              <w:left w:w="0" w:type="dxa"/>
              <w:bottom w:w="57" w:type="dxa"/>
              <w:right w:w="0" w:type="dxa"/>
            </w:tcMar>
          </w:tcPr>
          <w:p w:rsidRPr="00532267" w:rsidR="00532267" w:rsidP="00CB3B7F" w:rsidRDefault="00532267" w14:paraId="43D02D71" w14:textId="77777777">
            <w:pPr>
              <w:pStyle w:val="tablebody"/>
            </w:pPr>
            <w:r w:rsidRPr="00532267">
              <w:t>Cash and deposits</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246C12D5" w14:textId="77777777">
            <w:pPr>
              <w:pStyle w:val="tablebody"/>
              <w:jc w:val="right"/>
            </w:pPr>
            <w:r w:rsidRPr="00532267">
              <w:t xml:space="preserve">42,937 </w:t>
            </w:r>
          </w:p>
        </w:tc>
        <w:tc>
          <w:tcPr>
            <w:tcW w:w="1462" w:type="dxa"/>
            <w:tcBorders>
              <w:top w:val="nil"/>
              <w:left w:val="nil"/>
              <w:bottom w:val="nil"/>
              <w:right w:val="nil"/>
            </w:tcBorders>
            <w:tcMar>
              <w:top w:w="28" w:type="dxa"/>
              <w:left w:w="0" w:type="dxa"/>
              <w:bottom w:w="57" w:type="dxa"/>
              <w:right w:w="0" w:type="dxa"/>
            </w:tcMar>
          </w:tcPr>
          <w:p w:rsidRPr="00532267" w:rsidR="00532267" w:rsidP="006830D1" w:rsidRDefault="00532267" w14:paraId="611B337E" w14:textId="77777777">
            <w:pPr>
              <w:pStyle w:val="tablebody"/>
              <w:jc w:val="right"/>
            </w:pPr>
            <w:r w:rsidRPr="00532267">
              <w:t xml:space="preserve">429 </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6B9358DD" w14:textId="77777777">
            <w:pPr>
              <w:pStyle w:val="tablebody"/>
              <w:jc w:val="right"/>
            </w:pPr>
            <w:r w:rsidRPr="00532267">
              <w:t xml:space="preserve">(429) </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0EC50C4D" w14:textId="77777777">
            <w:pPr>
              <w:pStyle w:val="tablebody"/>
              <w:jc w:val="right"/>
            </w:pPr>
            <w:r w:rsidRPr="00532267">
              <w:t xml:space="preserve">0 </w:t>
            </w:r>
          </w:p>
        </w:tc>
        <w:tc>
          <w:tcPr>
            <w:tcW w:w="1462" w:type="dxa"/>
            <w:tcBorders>
              <w:top w:val="nil"/>
              <w:left w:val="nil"/>
              <w:bottom w:val="nil"/>
              <w:right w:val="nil"/>
            </w:tcBorders>
            <w:tcMar>
              <w:top w:w="28" w:type="dxa"/>
              <w:left w:w="0" w:type="dxa"/>
              <w:bottom w:w="57" w:type="dxa"/>
              <w:right w:w="0" w:type="dxa"/>
            </w:tcMar>
          </w:tcPr>
          <w:p w:rsidRPr="00532267" w:rsidR="00532267" w:rsidP="006830D1" w:rsidRDefault="00532267" w14:paraId="38759CBF" w14:textId="77777777">
            <w:pPr>
              <w:pStyle w:val="tablebody"/>
              <w:jc w:val="right"/>
            </w:pPr>
            <w:r w:rsidRPr="00532267">
              <w:t xml:space="preserve">0 </w:t>
            </w:r>
          </w:p>
        </w:tc>
      </w:tr>
      <w:tr w:rsidRPr="00532267" w:rsidR="00532267" w:rsidTr="006830D1" w14:paraId="1F6EACBA" w14:textId="77777777">
        <w:tc>
          <w:tcPr>
            <w:tcW w:w="2608" w:type="dxa"/>
            <w:tcBorders>
              <w:top w:val="nil"/>
              <w:left w:val="nil"/>
              <w:bottom w:val="single" w:color="000000" w:sz="6" w:space="0"/>
              <w:right w:val="nil"/>
            </w:tcBorders>
            <w:tcMar>
              <w:top w:w="28" w:type="dxa"/>
              <w:left w:w="0" w:type="dxa"/>
              <w:bottom w:w="57" w:type="dxa"/>
              <w:right w:w="0" w:type="dxa"/>
            </w:tcMar>
          </w:tcPr>
          <w:p w:rsidRPr="00532267" w:rsidR="00532267" w:rsidP="00CB3B7F" w:rsidRDefault="00532267" w14:paraId="2C5B225C" w14:textId="77777777">
            <w:pPr>
              <w:pStyle w:val="tablebody"/>
            </w:pPr>
            <w:r w:rsidRPr="00532267">
              <w:t>Managed investment schemes</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3F41DBC5" w14:textId="77777777">
            <w:pPr>
              <w:pStyle w:val="tablebody"/>
              <w:jc w:val="right"/>
            </w:pPr>
            <w:r w:rsidRPr="00532267">
              <w:t xml:space="preserve">205,629 </w:t>
            </w:r>
          </w:p>
        </w:tc>
        <w:tc>
          <w:tcPr>
            <w:tcW w:w="1462"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5C98DED2" w14:textId="77777777">
            <w:pPr>
              <w:pStyle w:val="tablebody"/>
              <w:jc w:val="right"/>
            </w:pPr>
            <w:r w:rsidRPr="00532267">
              <w:t xml:space="preserve">0 </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6FA8F85A" w14:textId="77777777">
            <w:pPr>
              <w:pStyle w:val="tablebody"/>
              <w:jc w:val="right"/>
            </w:pPr>
            <w:r w:rsidRPr="00532267">
              <w:t xml:space="preserve">0 </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404C7B46" w14:textId="77777777">
            <w:pPr>
              <w:pStyle w:val="tablebody"/>
              <w:jc w:val="right"/>
            </w:pPr>
            <w:r w:rsidRPr="00532267">
              <w:t xml:space="preserve">20,563 </w:t>
            </w:r>
          </w:p>
        </w:tc>
        <w:tc>
          <w:tcPr>
            <w:tcW w:w="1462"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5121F988" w14:textId="77777777">
            <w:pPr>
              <w:pStyle w:val="tablebody"/>
              <w:jc w:val="right"/>
            </w:pPr>
            <w:r w:rsidRPr="00532267">
              <w:t xml:space="preserve">(20,563) </w:t>
            </w:r>
          </w:p>
        </w:tc>
      </w:tr>
      <w:tr w:rsidRPr="006830D1" w:rsidR="00532267" w:rsidTr="006830D1" w14:paraId="124902EE" w14:textId="77777777">
        <w:tc>
          <w:tcPr>
            <w:tcW w:w="2608"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CB3B7F" w:rsidRDefault="00532267" w14:paraId="73E518A2" w14:textId="77777777">
            <w:pPr>
              <w:pStyle w:val="tablebody"/>
              <w:rPr>
                <w:b/>
              </w:rPr>
            </w:pPr>
            <w:r w:rsidRPr="006830D1">
              <w:rPr>
                <w:b/>
              </w:rPr>
              <w:t>Total</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36EF007A" w14:textId="77777777">
            <w:pPr>
              <w:pStyle w:val="tablebody"/>
              <w:jc w:val="right"/>
              <w:rPr>
                <w:b/>
              </w:rPr>
            </w:pPr>
            <w:r w:rsidRPr="006830D1">
              <w:rPr>
                <w:b/>
              </w:rPr>
              <w:t xml:space="preserve">248,566 </w:t>
            </w:r>
          </w:p>
        </w:tc>
        <w:tc>
          <w:tcPr>
            <w:tcW w:w="1462"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09F22B74" w14:textId="77777777">
            <w:pPr>
              <w:pStyle w:val="tablebody"/>
              <w:jc w:val="right"/>
              <w:rPr>
                <w:b/>
              </w:rPr>
            </w:pPr>
            <w:r w:rsidRPr="006830D1">
              <w:rPr>
                <w:b/>
              </w:rPr>
              <w:t xml:space="preserve">429 </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2A79C088" w14:textId="77777777">
            <w:pPr>
              <w:pStyle w:val="tablebody"/>
              <w:jc w:val="right"/>
              <w:rPr>
                <w:b/>
              </w:rPr>
            </w:pPr>
            <w:r w:rsidRPr="006830D1">
              <w:rPr>
                <w:b/>
              </w:rPr>
              <w:t xml:space="preserve">(429) </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1BDBEE83" w14:textId="77777777">
            <w:pPr>
              <w:pStyle w:val="tablebody"/>
              <w:jc w:val="right"/>
              <w:rPr>
                <w:b/>
              </w:rPr>
            </w:pPr>
            <w:r w:rsidRPr="006830D1">
              <w:rPr>
                <w:b/>
              </w:rPr>
              <w:t xml:space="preserve">20,563 </w:t>
            </w:r>
          </w:p>
        </w:tc>
        <w:tc>
          <w:tcPr>
            <w:tcW w:w="1462"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5F59C78B" w14:textId="77777777">
            <w:pPr>
              <w:pStyle w:val="tablebody"/>
              <w:jc w:val="right"/>
              <w:rPr>
                <w:b/>
              </w:rPr>
            </w:pPr>
            <w:r w:rsidRPr="006830D1">
              <w:rPr>
                <w:b/>
              </w:rPr>
              <w:t xml:space="preserve">(20,563) </w:t>
            </w:r>
          </w:p>
        </w:tc>
      </w:tr>
      <w:tr w:rsidRPr="006830D1" w:rsidR="00532267" w:rsidTr="006830D1" w14:paraId="57B4A19E" w14:textId="77777777">
        <w:tc>
          <w:tcPr>
            <w:tcW w:w="2608" w:type="dxa"/>
            <w:tcBorders>
              <w:top w:val="single" w:color="000000" w:sz="6" w:space="0"/>
              <w:left w:val="nil"/>
              <w:bottom w:val="nil"/>
              <w:right w:val="nil"/>
            </w:tcBorders>
            <w:tcMar>
              <w:top w:w="28" w:type="dxa"/>
              <w:left w:w="0" w:type="dxa"/>
              <w:bottom w:w="57" w:type="dxa"/>
              <w:right w:w="0" w:type="dxa"/>
            </w:tcMar>
          </w:tcPr>
          <w:p w:rsidRPr="006830D1" w:rsidR="00532267" w:rsidP="00CB3B7F" w:rsidRDefault="00532267" w14:paraId="1602195D" w14:textId="77777777">
            <w:pPr>
              <w:pStyle w:val="tablebody"/>
              <w:rPr>
                <w:b/>
              </w:rPr>
            </w:pPr>
            <w:r w:rsidRPr="006830D1">
              <w:rPr>
                <w:b/>
              </w:rPr>
              <w:t>2018</w:t>
            </w: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6993C166" w14:textId="77777777">
            <w:pPr>
              <w:pStyle w:val="tablebody"/>
              <w:jc w:val="right"/>
              <w:rPr>
                <w:b/>
                <w:lang w:val="en-US"/>
              </w:rPr>
            </w:pPr>
          </w:p>
        </w:tc>
        <w:tc>
          <w:tcPr>
            <w:tcW w:w="1462"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646F643B" w14:textId="77777777">
            <w:pPr>
              <w:pStyle w:val="tablebody"/>
              <w:jc w:val="right"/>
              <w:rPr>
                <w:b/>
                <w:lang w:val="en-US"/>
              </w:rPr>
            </w:pP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20652724" w14:textId="77777777">
            <w:pPr>
              <w:pStyle w:val="tablebody"/>
              <w:jc w:val="right"/>
              <w:rPr>
                <w:b/>
                <w:lang w:val="en-US"/>
              </w:rPr>
            </w:pPr>
          </w:p>
        </w:tc>
        <w:tc>
          <w:tcPr>
            <w:tcW w:w="1463"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639B65A5" w14:textId="77777777">
            <w:pPr>
              <w:pStyle w:val="tablebody"/>
              <w:jc w:val="right"/>
              <w:rPr>
                <w:b/>
                <w:lang w:val="en-US"/>
              </w:rPr>
            </w:pPr>
          </w:p>
        </w:tc>
        <w:tc>
          <w:tcPr>
            <w:tcW w:w="1462" w:type="dxa"/>
            <w:tcBorders>
              <w:top w:val="single" w:color="000000" w:sz="6" w:space="0"/>
              <w:left w:val="nil"/>
              <w:bottom w:val="nil"/>
              <w:right w:val="nil"/>
            </w:tcBorders>
            <w:tcMar>
              <w:top w:w="28" w:type="dxa"/>
              <w:left w:w="0" w:type="dxa"/>
              <w:bottom w:w="57" w:type="dxa"/>
              <w:right w:w="0" w:type="dxa"/>
            </w:tcMar>
          </w:tcPr>
          <w:p w:rsidRPr="006830D1" w:rsidR="00532267" w:rsidP="006830D1" w:rsidRDefault="00532267" w14:paraId="5B97556A" w14:textId="77777777">
            <w:pPr>
              <w:pStyle w:val="tablebody"/>
              <w:jc w:val="right"/>
              <w:rPr>
                <w:b/>
                <w:lang w:val="en-US"/>
              </w:rPr>
            </w:pPr>
          </w:p>
        </w:tc>
      </w:tr>
      <w:tr w:rsidRPr="00532267" w:rsidR="00532267" w:rsidTr="006830D1" w14:paraId="6C4D0D52" w14:textId="77777777">
        <w:tc>
          <w:tcPr>
            <w:tcW w:w="2608" w:type="dxa"/>
            <w:tcBorders>
              <w:top w:val="nil"/>
              <w:left w:val="nil"/>
              <w:bottom w:val="nil"/>
              <w:right w:val="nil"/>
            </w:tcBorders>
            <w:tcMar>
              <w:top w:w="28" w:type="dxa"/>
              <w:left w:w="0" w:type="dxa"/>
              <w:bottom w:w="57" w:type="dxa"/>
              <w:right w:w="0" w:type="dxa"/>
            </w:tcMar>
          </w:tcPr>
          <w:p w:rsidRPr="00532267" w:rsidR="00532267" w:rsidP="00CB3B7F" w:rsidRDefault="00532267" w14:paraId="47A909A2" w14:textId="77777777">
            <w:pPr>
              <w:pStyle w:val="tablebody"/>
            </w:pPr>
            <w:r w:rsidRPr="00532267">
              <w:t>Cash and deposits</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3AE36085" w14:textId="77777777">
            <w:pPr>
              <w:pStyle w:val="tablebody"/>
              <w:jc w:val="right"/>
            </w:pPr>
            <w:r w:rsidRPr="00532267">
              <w:t xml:space="preserve">2,531 </w:t>
            </w:r>
          </w:p>
        </w:tc>
        <w:tc>
          <w:tcPr>
            <w:tcW w:w="1462" w:type="dxa"/>
            <w:tcBorders>
              <w:top w:val="nil"/>
              <w:left w:val="nil"/>
              <w:bottom w:val="nil"/>
              <w:right w:val="nil"/>
            </w:tcBorders>
            <w:tcMar>
              <w:top w:w="28" w:type="dxa"/>
              <w:left w:w="0" w:type="dxa"/>
              <w:bottom w:w="57" w:type="dxa"/>
              <w:right w:w="0" w:type="dxa"/>
            </w:tcMar>
          </w:tcPr>
          <w:p w:rsidRPr="00532267" w:rsidR="00532267" w:rsidP="006830D1" w:rsidRDefault="00532267" w14:paraId="3FFAB1E5" w14:textId="77777777">
            <w:pPr>
              <w:pStyle w:val="tablebody"/>
              <w:jc w:val="right"/>
            </w:pPr>
            <w:r w:rsidRPr="00532267">
              <w:t xml:space="preserve">25 </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0F878765" w14:textId="77777777">
            <w:pPr>
              <w:pStyle w:val="tablebody"/>
              <w:jc w:val="right"/>
            </w:pPr>
            <w:r w:rsidRPr="00532267">
              <w:t xml:space="preserve">(25) </w:t>
            </w:r>
          </w:p>
        </w:tc>
        <w:tc>
          <w:tcPr>
            <w:tcW w:w="1463" w:type="dxa"/>
            <w:tcBorders>
              <w:top w:val="nil"/>
              <w:left w:val="nil"/>
              <w:bottom w:val="nil"/>
              <w:right w:val="nil"/>
            </w:tcBorders>
            <w:tcMar>
              <w:top w:w="28" w:type="dxa"/>
              <w:left w:w="0" w:type="dxa"/>
              <w:bottom w:w="57" w:type="dxa"/>
              <w:right w:w="0" w:type="dxa"/>
            </w:tcMar>
          </w:tcPr>
          <w:p w:rsidRPr="00532267" w:rsidR="00532267" w:rsidP="006830D1" w:rsidRDefault="00532267" w14:paraId="5D61E211" w14:textId="77777777">
            <w:pPr>
              <w:pStyle w:val="tablebody"/>
              <w:jc w:val="right"/>
            </w:pPr>
            <w:r w:rsidRPr="00532267">
              <w:t xml:space="preserve">0 </w:t>
            </w:r>
          </w:p>
        </w:tc>
        <w:tc>
          <w:tcPr>
            <w:tcW w:w="1462" w:type="dxa"/>
            <w:tcBorders>
              <w:top w:val="nil"/>
              <w:left w:val="nil"/>
              <w:bottom w:val="nil"/>
              <w:right w:val="nil"/>
            </w:tcBorders>
            <w:tcMar>
              <w:top w:w="28" w:type="dxa"/>
              <w:left w:w="0" w:type="dxa"/>
              <w:bottom w:w="57" w:type="dxa"/>
              <w:right w:w="0" w:type="dxa"/>
            </w:tcMar>
          </w:tcPr>
          <w:p w:rsidRPr="00532267" w:rsidR="00532267" w:rsidP="006830D1" w:rsidRDefault="00532267" w14:paraId="0F2A7EBF" w14:textId="77777777">
            <w:pPr>
              <w:pStyle w:val="tablebody"/>
              <w:jc w:val="right"/>
            </w:pPr>
            <w:r w:rsidRPr="00532267">
              <w:t xml:space="preserve">0 </w:t>
            </w:r>
          </w:p>
        </w:tc>
      </w:tr>
      <w:tr w:rsidRPr="00532267" w:rsidR="00532267" w:rsidTr="006830D1" w14:paraId="33016461" w14:textId="77777777">
        <w:tc>
          <w:tcPr>
            <w:tcW w:w="2608" w:type="dxa"/>
            <w:tcBorders>
              <w:top w:val="nil"/>
              <w:left w:val="nil"/>
              <w:bottom w:val="single" w:color="000000" w:sz="6" w:space="0"/>
              <w:right w:val="nil"/>
            </w:tcBorders>
            <w:tcMar>
              <w:top w:w="28" w:type="dxa"/>
              <w:left w:w="0" w:type="dxa"/>
              <w:bottom w:w="57" w:type="dxa"/>
              <w:right w:w="0" w:type="dxa"/>
            </w:tcMar>
          </w:tcPr>
          <w:p w:rsidRPr="00532267" w:rsidR="00532267" w:rsidP="00CB3B7F" w:rsidRDefault="00532267" w14:paraId="6304FBDF" w14:textId="77777777">
            <w:pPr>
              <w:pStyle w:val="tablebody"/>
            </w:pPr>
            <w:r w:rsidRPr="00532267">
              <w:t>Managed investment schemes</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513F883B" w14:textId="77777777">
            <w:pPr>
              <w:pStyle w:val="tablebody"/>
              <w:jc w:val="right"/>
            </w:pPr>
            <w:r w:rsidRPr="00532267">
              <w:t xml:space="preserve">222,049 </w:t>
            </w:r>
          </w:p>
        </w:tc>
        <w:tc>
          <w:tcPr>
            <w:tcW w:w="1462"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0D5A20B2" w14:textId="77777777">
            <w:pPr>
              <w:pStyle w:val="tablebody"/>
              <w:jc w:val="right"/>
            </w:pPr>
            <w:r w:rsidRPr="00532267">
              <w:t xml:space="preserve">0 </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55A4F74C" w14:textId="77777777">
            <w:pPr>
              <w:pStyle w:val="tablebody"/>
              <w:jc w:val="right"/>
            </w:pPr>
            <w:r w:rsidRPr="00532267">
              <w:t xml:space="preserve">0 </w:t>
            </w:r>
          </w:p>
        </w:tc>
        <w:tc>
          <w:tcPr>
            <w:tcW w:w="1463"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34B00603" w14:textId="77777777">
            <w:pPr>
              <w:pStyle w:val="tablebody"/>
              <w:jc w:val="right"/>
            </w:pPr>
            <w:r w:rsidRPr="00532267">
              <w:t xml:space="preserve">22,205 </w:t>
            </w:r>
          </w:p>
        </w:tc>
        <w:tc>
          <w:tcPr>
            <w:tcW w:w="1462" w:type="dxa"/>
            <w:tcBorders>
              <w:top w:val="nil"/>
              <w:left w:val="nil"/>
              <w:bottom w:val="single" w:color="000000" w:sz="6" w:space="0"/>
              <w:right w:val="nil"/>
            </w:tcBorders>
            <w:tcMar>
              <w:top w:w="28" w:type="dxa"/>
              <w:left w:w="0" w:type="dxa"/>
              <w:bottom w:w="57" w:type="dxa"/>
              <w:right w:w="0" w:type="dxa"/>
            </w:tcMar>
          </w:tcPr>
          <w:p w:rsidRPr="00532267" w:rsidR="00532267" w:rsidP="006830D1" w:rsidRDefault="00532267" w14:paraId="5FE36E0A" w14:textId="77777777">
            <w:pPr>
              <w:pStyle w:val="tablebody"/>
              <w:jc w:val="right"/>
            </w:pPr>
            <w:r w:rsidRPr="00532267">
              <w:t xml:space="preserve">(22,205) </w:t>
            </w:r>
          </w:p>
        </w:tc>
      </w:tr>
      <w:tr w:rsidRPr="006830D1" w:rsidR="00532267" w:rsidTr="006830D1" w14:paraId="5C277EE0" w14:textId="77777777">
        <w:tc>
          <w:tcPr>
            <w:tcW w:w="2608"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CB3B7F" w:rsidRDefault="00532267" w14:paraId="5774A28C" w14:textId="77777777">
            <w:pPr>
              <w:pStyle w:val="tablebody"/>
              <w:rPr>
                <w:b/>
              </w:rPr>
            </w:pPr>
            <w:r w:rsidRPr="006830D1">
              <w:rPr>
                <w:b/>
              </w:rPr>
              <w:t>Total</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308CAF60" w14:textId="77777777">
            <w:pPr>
              <w:pStyle w:val="tablebody"/>
              <w:jc w:val="right"/>
              <w:rPr>
                <w:b/>
              </w:rPr>
            </w:pPr>
            <w:r w:rsidRPr="006830D1">
              <w:rPr>
                <w:b/>
              </w:rPr>
              <w:t xml:space="preserve">224,580 </w:t>
            </w:r>
          </w:p>
        </w:tc>
        <w:tc>
          <w:tcPr>
            <w:tcW w:w="1462"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2030B98A" w14:textId="77777777">
            <w:pPr>
              <w:pStyle w:val="tablebody"/>
              <w:jc w:val="right"/>
              <w:rPr>
                <w:b/>
              </w:rPr>
            </w:pPr>
            <w:r w:rsidRPr="006830D1">
              <w:rPr>
                <w:b/>
              </w:rPr>
              <w:t xml:space="preserve">25 </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084A9770" w14:textId="77777777">
            <w:pPr>
              <w:pStyle w:val="tablebody"/>
              <w:jc w:val="right"/>
              <w:rPr>
                <w:b/>
              </w:rPr>
            </w:pPr>
            <w:r w:rsidRPr="006830D1">
              <w:rPr>
                <w:b/>
              </w:rPr>
              <w:t xml:space="preserve">(25) </w:t>
            </w:r>
          </w:p>
        </w:tc>
        <w:tc>
          <w:tcPr>
            <w:tcW w:w="1463"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30A04EEC" w14:textId="77777777">
            <w:pPr>
              <w:pStyle w:val="tablebody"/>
              <w:jc w:val="right"/>
              <w:rPr>
                <w:b/>
              </w:rPr>
            </w:pPr>
            <w:r w:rsidRPr="006830D1">
              <w:rPr>
                <w:b/>
              </w:rPr>
              <w:t xml:space="preserve">22,205 </w:t>
            </w:r>
          </w:p>
        </w:tc>
        <w:tc>
          <w:tcPr>
            <w:tcW w:w="1462" w:type="dxa"/>
            <w:tcBorders>
              <w:top w:val="single" w:color="000000" w:sz="6" w:space="0"/>
              <w:left w:val="nil"/>
              <w:bottom w:val="single" w:color="000000" w:sz="6" w:space="0"/>
              <w:right w:val="nil"/>
            </w:tcBorders>
            <w:tcMar>
              <w:top w:w="28" w:type="dxa"/>
              <w:left w:w="0" w:type="dxa"/>
              <w:bottom w:w="57" w:type="dxa"/>
              <w:right w:w="0" w:type="dxa"/>
            </w:tcMar>
          </w:tcPr>
          <w:p w:rsidRPr="006830D1" w:rsidR="00532267" w:rsidP="006830D1" w:rsidRDefault="00532267" w14:paraId="11008629" w14:textId="77777777">
            <w:pPr>
              <w:pStyle w:val="tablebody"/>
              <w:jc w:val="right"/>
              <w:rPr>
                <w:b/>
              </w:rPr>
            </w:pPr>
            <w:r w:rsidRPr="006830D1">
              <w:rPr>
                <w:b/>
              </w:rPr>
              <w:t xml:space="preserve">(22,205) </w:t>
            </w:r>
          </w:p>
        </w:tc>
      </w:tr>
    </w:tbl>
    <w:p w:rsidRPr="00532267" w:rsidR="00532267" w:rsidP="00532267" w:rsidRDefault="00532267" w14:paraId="723B491D" w14:textId="77777777"/>
    <w:p w:rsidR="006830D1" w:rsidRDefault="006830D1" w14:paraId="0A27A45A" w14:textId="10F87F8A">
      <w:pPr>
        <w:spacing w:after="0"/>
        <w:rPr>
          <w:lang w:val="en-AU"/>
        </w:rPr>
      </w:pPr>
      <w:r>
        <w:rPr>
          <w:lang w:val="en-AU"/>
        </w:rPr>
        <w:br w:type="page"/>
      </w:r>
    </w:p>
    <w:p w:rsidRPr="00FA1671" w:rsidR="00FA1671" w:rsidP="00FA1671" w:rsidRDefault="00FA1671" w14:paraId="1341C1D9" w14:textId="6D43A772">
      <w:pPr>
        <w:pStyle w:val="Heading3"/>
      </w:pPr>
      <w:r w:rsidRPr="00FA1671">
        <w:lastRenderedPageBreak/>
        <w:t>8.3 Contingent assets and contingent liabilities</w:t>
      </w:r>
    </w:p>
    <w:p w:rsidRPr="00FA1671" w:rsidR="00FA1671" w:rsidP="00FA1671" w:rsidRDefault="00FA1671" w14:paraId="5CB64D37" w14:textId="77777777">
      <w:r w:rsidRPr="00FA1671">
        <w:t>Contingent assets and contingent liabilities are not recognised in the balance sheet, but are disclosed in this note and, if quantifiable, are measured at nominal value.  Contingent assets and contingent liabilities are presented inclusive of GST.</w:t>
      </w:r>
    </w:p>
    <w:p w:rsidRPr="00FA1671" w:rsidR="00FA1671" w:rsidP="00FA1671" w:rsidRDefault="00FA1671" w14:paraId="58BD1756" w14:textId="77777777">
      <w:pPr>
        <w:pStyle w:val="Heading4"/>
      </w:pPr>
      <w:r w:rsidRPr="00FA1671">
        <w:t>Contingent assets</w:t>
      </w:r>
    </w:p>
    <w:p w:rsidRPr="00FA1671" w:rsidR="00FA1671" w:rsidP="00FA1671" w:rsidRDefault="00FA1671" w14:paraId="69352EB5" w14:textId="77777777">
      <w:r w:rsidRPr="00FA1671">
        <w:t>Contingent assets are possible assets that arise from past events, whose existence will be confirmed only by the occurrence or non-occurrence of one or more uncertain future events not wholly within the control of the entity.  Contingent assets are classified as either quantifiable, where the potential economic benefit is known, or non-quantifiable.</w:t>
      </w:r>
    </w:p>
    <w:p w:rsidRPr="00FA1671" w:rsidR="00FA1671" w:rsidP="00FA1671" w:rsidRDefault="00FA1671" w14:paraId="1B07E158" w14:textId="577BB0CE">
      <w:pPr>
        <w:pStyle w:val="Heading4"/>
      </w:pPr>
      <w:r w:rsidRPr="00FA1671">
        <w:t>Quantifiable contingent assets</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FA1671" w:rsidR="00FA1671" w:rsidTr="00FA1671" w14:paraId="06F720F2"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185CB940" w14:textId="77777777">
            <w:pPr>
              <w:pStyle w:val="tablebody"/>
              <w:rPr>
                <w:b/>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383B7C48" w14:textId="77777777">
            <w:pPr>
              <w:pStyle w:val="tablebody"/>
              <w:jc w:val="right"/>
              <w:rPr>
                <w:b/>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5D1B9A31" w14:textId="77777777">
            <w:pPr>
              <w:pStyle w:val="tablebody"/>
              <w:jc w:val="right"/>
              <w:rPr>
                <w:b/>
              </w:rPr>
            </w:pPr>
            <w:r w:rsidRPr="00FA1671">
              <w:rPr>
                <w:b/>
              </w:rPr>
              <w:t>($ thousand)</w:t>
            </w:r>
          </w:p>
        </w:tc>
      </w:tr>
      <w:tr w:rsidRPr="00FA1671" w:rsidR="00FA1671" w:rsidTr="00FA1671" w14:paraId="77511A4D"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51B7A0E8" w14:textId="77777777">
            <w:pPr>
              <w:pStyle w:val="tablebody"/>
              <w:rPr>
                <w:b/>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CA4B894" w14:textId="77777777">
            <w:pPr>
              <w:pStyle w:val="tablebody"/>
              <w:jc w:val="right"/>
              <w:rPr>
                <w:b/>
              </w:rPr>
            </w:pPr>
            <w:r w:rsidRPr="00FA1671">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2649C681" w14:textId="77777777">
            <w:pPr>
              <w:pStyle w:val="tablebody"/>
              <w:jc w:val="right"/>
              <w:rPr>
                <w:b/>
              </w:rPr>
            </w:pPr>
            <w:r w:rsidRPr="00FA1671">
              <w:rPr>
                <w:b/>
              </w:rPr>
              <w:t>2018</w:t>
            </w:r>
          </w:p>
        </w:tc>
      </w:tr>
      <w:tr w:rsidRPr="00FA1671" w:rsidR="00FA1671" w:rsidTr="00FA1671" w14:paraId="050DF180"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7D6AFB33" w14:textId="77777777">
            <w:pPr>
              <w:pStyle w:val="tablebody"/>
            </w:pPr>
            <w:r w:rsidRPr="00FA1671">
              <w:t>Legal proceedings and disputes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C33BDDB" w14:textId="77777777">
            <w:pPr>
              <w:pStyle w:val="tablebody"/>
              <w:jc w:val="right"/>
            </w:pPr>
            <w:r w:rsidRPr="00FA1671">
              <w:t xml:space="preserve">743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38072472" w14:textId="77777777">
            <w:pPr>
              <w:pStyle w:val="tablebody"/>
              <w:jc w:val="right"/>
            </w:pPr>
            <w:r w:rsidRPr="00FA1671">
              <w:t xml:space="preserve">59 </w:t>
            </w:r>
          </w:p>
        </w:tc>
      </w:tr>
      <w:tr w:rsidRPr="00FA1671" w:rsidR="00FA1671" w:rsidTr="00FA1671" w14:paraId="61CCD250"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2F664F0" w14:textId="77777777">
            <w:pPr>
              <w:pStyle w:val="tablebody"/>
              <w:rPr>
                <w:b/>
              </w:rPr>
            </w:pPr>
            <w:r w:rsidRPr="00FA1671">
              <w:rPr>
                <w:b/>
              </w:rPr>
              <w:t>Total</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418B0FD2" w14:textId="77777777">
            <w:pPr>
              <w:pStyle w:val="tablebody"/>
              <w:jc w:val="right"/>
              <w:rPr>
                <w:b/>
              </w:rPr>
            </w:pPr>
            <w:r w:rsidRPr="00FA1671">
              <w:rPr>
                <w:b/>
              </w:rPr>
              <w:t xml:space="preserve">743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EEAD3D2" w14:textId="77777777">
            <w:pPr>
              <w:pStyle w:val="tablebody"/>
              <w:jc w:val="right"/>
              <w:rPr>
                <w:b/>
              </w:rPr>
            </w:pPr>
            <w:r w:rsidRPr="00FA1671">
              <w:rPr>
                <w:b/>
              </w:rPr>
              <w:t xml:space="preserve">59 </w:t>
            </w:r>
          </w:p>
        </w:tc>
      </w:tr>
    </w:tbl>
    <w:p w:rsidRPr="00FA1671" w:rsidR="00FA1671" w:rsidP="00FA1671" w:rsidRDefault="00FA1671" w14:paraId="09AD3BA8" w14:textId="77777777"/>
    <w:p w:rsidRPr="00FA1671" w:rsidR="00FA1671" w:rsidP="00FA1671" w:rsidRDefault="00FA1671" w14:paraId="55D6416B" w14:textId="77777777">
      <w:pPr>
        <w:pStyle w:val="Heading4"/>
      </w:pPr>
      <w:r w:rsidRPr="00FA1671">
        <w:t>Contingent liabilities</w:t>
      </w:r>
    </w:p>
    <w:p w:rsidRPr="00FA1671" w:rsidR="00FA1671" w:rsidP="00FA1671" w:rsidRDefault="00FA1671" w14:paraId="17989837" w14:textId="77777777">
      <w:r w:rsidRPr="00FA1671">
        <w:t>Contingent liabilities are:</w:t>
      </w:r>
    </w:p>
    <w:p w:rsidRPr="00FA1671" w:rsidR="00FA1671" w:rsidP="00FA1671" w:rsidRDefault="00FA1671" w14:paraId="54143080" w14:textId="77777777">
      <w:pPr>
        <w:pStyle w:val="Bullet1"/>
      </w:pPr>
      <w:r w:rsidRPr="00FA1671">
        <w:t>possible obligations that arise from past events, whose existence will be confirmed only by the occurrence or non-occurrence of one or more uncertain future events not wholly within the control of the entity; or</w:t>
      </w:r>
    </w:p>
    <w:p w:rsidRPr="00FA1671" w:rsidR="00FA1671" w:rsidP="00FA1671" w:rsidRDefault="00FA1671" w14:paraId="25957305" w14:textId="77777777">
      <w:pPr>
        <w:pStyle w:val="Bullet1"/>
      </w:pPr>
      <w:r w:rsidRPr="00FA1671">
        <w:t>present obligations that arise from past events but are not recognised because: it is not probable that an outflow of resources embodying economic benefits will be required to settle the obligations; or the amount of the obligations cannot be measured with sufficient reliability.</w:t>
      </w:r>
    </w:p>
    <w:p w:rsidRPr="00FA1671" w:rsidR="00FA1671" w:rsidP="00FA1671" w:rsidRDefault="00FA1671" w14:paraId="716A5C75" w14:textId="77777777">
      <w:r w:rsidRPr="00FA1671">
        <w:t>Contingent liabilities are also classified as either quantifiable or non-quantifiable.</w:t>
      </w:r>
    </w:p>
    <w:p w:rsidRPr="00FA1671" w:rsidR="00FA1671" w:rsidP="00FA1671" w:rsidRDefault="00FA1671" w14:paraId="1869E5F3" w14:textId="77777777">
      <w:pPr>
        <w:rPr>
          <w:b/>
          <w:bCs/>
        </w:rPr>
      </w:pPr>
      <w:r w:rsidRPr="00FA1671">
        <w:rPr>
          <w:b/>
          <w:bCs/>
        </w:rPr>
        <w:t>Non-quantifiable contingent liabilities</w:t>
      </w:r>
    </w:p>
    <w:p w:rsidRPr="00FA1671" w:rsidR="00FA1671" w:rsidP="00FA1671" w:rsidRDefault="00FA1671" w14:paraId="31A74F0E" w14:textId="77777777">
      <w:pPr>
        <w:rPr>
          <w:b/>
          <w:bCs/>
        </w:rPr>
      </w:pPr>
      <w:r w:rsidRPr="00FA1671">
        <w:rPr>
          <w:b/>
          <w:bCs/>
        </w:rPr>
        <w:t>Native title</w:t>
      </w:r>
    </w:p>
    <w:p w:rsidRPr="00FA1671" w:rsidR="00FA1671" w:rsidP="00FA1671" w:rsidRDefault="00FA1671" w14:paraId="7A909344" w14:textId="77777777">
      <w:r w:rsidRPr="00FA1671">
        <w:t xml:space="preserve">A number of claims have been filed with the Federal Court under the Commonwealth </w:t>
      </w:r>
      <w:r w:rsidRPr="00FA1671">
        <w:rPr>
          <w:i/>
          <w:iCs/>
        </w:rPr>
        <w:t>Native Title Act 1993</w:t>
      </w:r>
      <w:r w:rsidRPr="00FA1671">
        <w:t xml:space="preserve"> that affect Victoria.  It is not feasible at this time to quantify any future liability.</w:t>
      </w:r>
    </w:p>
    <w:p w:rsidRPr="00FA1671" w:rsidR="00FA1671" w:rsidP="00FA1671" w:rsidRDefault="00FA1671" w14:paraId="176E86F9" w14:textId="77777777">
      <w:pPr>
        <w:rPr>
          <w:b/>
          <w:bCs/>
        </w:rPr>
      </w:pPr>
      <w:r w:rsidRPr="00FA1671">
        <w:rPr>
          <w:b/>
          <w:bCs/>
        </w:rPr>
        <w:t>National redress scheme - sexual abuse of children in institutions</w:t>
      </w:r>
    </w:p>
    <w:p w:rsidRPr="00FA1671" w:rsidR="00FA1671" w:rsidP="00FA1671" w:rsidRDefault="00FA1671" w14:paraId="063CCE42" w14:textId="77777777">
      <w:r w:rsidRPr="00FA1671">
        <w:t xml:space="preserve">On 13 June 2018, the </w:t>
      </w:r>
      <w:r w:rsidRPr="00FA1671">
        <w:rPr>
          <w:i/>
          <w:iCs/>
        </w:rPr>
        <w:t>National Redress Scheme for Institutional Child Sexual Abuse (Commonwealth Powers) Act 2018 (Vic)</w:t>
      </w:r>
      <w:r w:rsidRPr="00FA1671">
        <w:t xml:space="preserve"> commenced.  The Act refers power to the Commonwealth Parliament to ensure that Victorian institutions can participate in the National Redress Scheme.  The National Redress Scheme commenced on 1 July 2018 and will run for 10 years.  The Scheme will deliver a financial payment of up to $150,000,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w:t>
      </w:r>
    </w:p>
    <w:p w:rsidRPr="00FA1671" w:rsidR="00FA1671" w:rsidP="00FA1671" w:rsidRDefault="00FA1671" w14:paraId="65C17E9C" w14:textId="77777777">
      <w:r w:rsidRPr="00FA1671">
        <w:t>The Government has set aside funding over the next ten years for redress.  If a survivor is eligible for redress payments, funding will be made available.  Due to the historical nature of the abuse in question, the precise number of eligible survivors of abuse is difficult to estimate.  Consequently, the exact financial implications of Victoria’s participation remain uncertain.</w:t>
      </w:r>
    </w:p>
    <w:p w:rsidRPr="00FA1671" w:rsidR="00FA1671" w:rsidP="00FA1671" w:rsidRDefault="00FA1671" w14:paraId="1B0AD9EB" w14:textId="3F3ABA5C">
      <w:pPr>
        <w:rPr>
          <w:b/>
          <w:bCs/>
        </w:rPr>
      </w:pPr>
      <w:r w:rsidRPr="00FA1671">
        <w:rPr>
          <w:b/>
          <w:bCs/>
        </w:rPr>
        <w:t>Quantifiable contingent liabilities</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FA1671" w:rsidR="00FA1671" w:rsidTr="00FA1671" w14:paraId="2B78DBF2"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A56BD4E" w14:textId="77777777">
            <w:pPr>
              <w:pStyle w:val="tablebody"/>
              <w:rPr>
                <w:b/>
                <w:lang w:val="en-US"/>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3CA8FDE7" w14:textId="77777777">
            <w:pPr>
              <w:pStyle w:val="tablebody"/>
              <w:jc w:val="right"/>
              <w:rPr>
                <w:b/>
                <w:lang w:val="en-US"/>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3A2152F9" w14:textId="77777777">
            <w:pPr>
              <w:pStyle w:val="tablebody"/>
              <w:jc w:val="right"/>
              <w:rPr>
                <w:b/>
              </w:rPr>
            </w:pPr>
            <w:r w:rsidRPr="00FA1671">
              <w:rPr>
                <w:b/>
              </w:rPr>
              <w:t>($ thousand)</w:t>
            </w:r>
          </w:p>
        </w:tc>
      </w:tr>
      <w:tr w:rsidRPr="00FA1671" w:rsidR="00FA1671" w:rsidTr="00FA1671" w14:paraId="2DACE9D3"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569AA350" w14:textId="77777777">
            <w:pPr>
              <w:pStyle w:val="tablebody"/>
              <w:rPr>
                <w:b/>
                <w:lang w:val="en-US"/>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5780A16" w14:textId="77777777">
            <w:pPr>
              <w:pStyle w:val="tablebody"/>
              <w:jc w:val="right"/>
              <w:rPr>
                <w:b/>
              </w:rPr>
            </w:pPr>
            <w:r w:rsidRPr="00FA1671">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69278F2F" w14:textId="77777777">
            <w:pPr>
              <w:pStyle w:val="tablebody"/>
              <w:jc w:val="right"/>
              <w:rPr>
                <w:b/>
              </w:rPr>
            </w:pPr>
            <w:r w:rsidRPr="00FA1671">
              <w:rPr>
                <w:b/>
              </w:rPr>
              <w:t>2018</w:t>
            </w:r>
          </w:p>
        </w:tc>
      </w:tr>
      <w:tr w:rsidRPr="00FA1671" w:rsidR="00FA1671" w:rsidTr="00FA1671" w14:paraId="07B8CC01"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FA1671" w:rsidR="00FA1671" w:rsidP="00FA1671" w:rsidRDefault="00FA1671" w14:paraId="5D92FEC5" w14:textId="77777777">
            <w:pPr>
              <w:pStyle w:val="tablebody"/>
            </w:pPr>
            <w:r w:rsidRPr="00FA1671">
              <w:t xml:space="preserve">Legal proceedings and disputes </w:t>
            </w:r>
            <w:r w:rsidRPr="00FA1671">
              <w:rPr>
                <w:vertAlign w:val="superscript"/>
              </w:rPr>
              <w:t>(i)</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FA1671" w:rsidR="00FA1671" w:rsidP="00FA1671" w:rsidRDefault="00FA1671" w14:paraId="6B44B177" w14:textId="77777777">
            <w:pPr>
              <w:pStyle w:val="tablebody"/>
              <w:jc w:val="right"/>
            </w:pPr>
            <w:r w:rsidRPr="00FA1671">
              <w:t xml:space="preserve">92,669 </w:t>
            </w: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FA1671" w:rsidR="00FA1671" w:rsidP="00FA1671" w:rsidRDefault="00FA1671" w14:paraId="455923A2" w14:textId="77777777">
            <w:pPr>
              <w:pStyle w:val="tablebody"/>
              <w:jc w:val="right"/>
            </w:pPr>
            <w:r w:rsidRPr="00FA1671">
              <w:t xml:space="preserve">91,315 </w:t>
            </w:r>
          </w:p>
        </w:tc>
      </w:tr>
      <w:tr w:rsidRPr="00FA1671" w:rsidR="00FA1671" w:rsidTr="00FA1671" w14:paraId="29A15FA4" w14:textId="77777777">
        <w:tc>
          <w:tcPr>
            <w:tcW w:w="652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57770725" w14:textId="77777777">
            <w:pPr>
              <w:pStyle w:val="tablebody"/>
            </w:pPr>
            <w:r w:rsidRPr="00FA1671">
              <w:t>Make good leased premises</w:t>
            </w: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0C5A0CE8" w14:textId="77777777">
            <w:pPr>
              <w:pStyle w:val="tablebody"/>
              <w:jc w:val="right"/>
            </w:pPr>
            <w:r w:rsidRPr="00FA1671">
              <w:t xml:space="preserve">9,525 </w:t>
            </w: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75ADDA6C" w14:textId="77777777">
            <w:pPr>
              <w:pStyle w:val="tablebody"/>
              <w:jc w:val="right"/>
            </w:pPr>
            <w:r w:rsidRPr="00FA1671">
              <w:t xml:space="preserve">6,853 </w:t>
            </w:r>
          </w:p>
        </w:tc>
      </w:tr>
      <w:tr w:rsidRPr="00FA1671" w:rsidR="00FA1671" w:rsidTr="00FA1671" w14:paraId="55810A7B"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2EDEDA8A" w14:textId="77777777">
            <w:pPr>
              <w:pStyle w:val="tablebody"/>
              <w:rPr>
                <w:b/>
              </w:rPr>
            </w:pPr>
            <w:r w:rsidRPr="00FA1671">
              <w:rPr>
                <w:b/>
              </w:rPr>
              <w:t>Total</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3672B04F" w14:textId="77777777">
            <w:pPr>
              <w:pStyle w:val="tablebody"/>
              <w:jc w:val="right"/>
              <w:rPr>
                <w:b/>
              </w:rPr>
            </w:pPr>
            <w:r w:rsidRPr="00FA1671">
              <w:rPr>
                <w:b/>
              </w:rPr>
              <w:t xml:space="preserve">102,194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FA1671" w:rsidR="00FA1671" w:rsidP="00FA1671" w:rsidRDefault="00FA1671" w14:paraId="68E287CF" w14:textId="77777777">
            <w:pPr>
              <w:pStyle w:val="tablebody"/>
              <w:jc w:val="right"/>
              <w:rPr>
                <w:b/>
              </w:rPr>
            </w:pPr>
            <w:r w:rsidRPr="00FA1671">
              <w:rPr>
                <w:b/>
              </w:rPr>
              <w:t xml:space="preserve">98,168 </w:t>
            </w:r>
          </w:p>
        </w:tc>
      </w:tr>
    </w:tbl>
    <w:p w:rsidRPr="00FA1671" w:rsidR="00FA1671" w:rsidP="00FA1671" w:rsidRDefault="00FA1671" w14:paraId="7964CB61" w14:textId="77777777">
      <w:pPr>
        <w:pStyle w:val="notes"/>
      </w:pPr>
      <w:r w:rsidRPr="00FA1671">
        <w:t>(i) A previously unquantifiable contingent liability has become quantifiable.</w:t>
      </w:r>
    </w:p>
    <w:p w:rsidRPr="00FA1671" w:rsidR="00FA1671" w:rsidP="00FA1671" w:rsidRDefault="00FA1671" w14:paraId="2ADB4598" w14:textId="77777777"/>
    <w:p w:rsidRPr="00FA1671" w:rsidR="00FA1671" w:rsidP="00FA1671" w:rsidRDefault="00FA1671" w14:paraId="3909ADB6" w14:textId="77777777">
      <w:pPr>
        <w:pStyle w:val="Heading3"/>
      </w:pPr>
      <w:r w:rsidRPr="00FA1671">
        <w:t>8.4 Fair value determination</w:t>
      </w:r>
    </w:p>
    <w:p w:rsidRPr="00FA1671" w:rsidR="00FA1671" w:rsidP="00FA1671" w:rsidRDefault="00FA1671" w14:paraId="435A029F" w14:textId="77777777">
      <w:r w:rsidRPr="00FA1671">
        <w:t>This note sets out information on how the department determined fair value for financial reporting purposes.  Fair value is the price that would be received to sell an asset in an orderly transaction between market participants at the measurement date.</w:t>
      </w:r>
    </w:p>
    <w:p w:rsidRPr="00FA1671" w:rsidR="00FA1671" w:rsidP="00FA1671" w:rsidRDefault="00FA1671" w14:paraId="6F236FFD" w14:textId="77777777">
      <w:r w:rsidRPr="00FA1671">
        <w:t>The following assets are carried at fair value:</w:t>
      </w:r>
    </w:p>
    <w:p w:rsidRPr="00FA1671" w:rsidR="00FA1671" w:rsidP="00FA1671" w:rsidRDefault="00FA1671" w14:paraId="3D8C4222" w14:textId="77777777">
      <w:pPr>
        <w:pStyle w:val="Bullet1"/>
      </w:pPr>
      <w:r w:rsidRPr="00FA1671">
        <w:t>financial assets at fair value through net result</w:t>
      </w:r>
    </w:p>
    <w:p w:rsidRPr="00FA1671" w:rsidR="00FA1671" w:rsidP="00FA1671" w:rsidRDefault="00FA1671" w14:paraId="48D1EAB1" w14:textId="77777777">
      <w:pPr>
        <w:pStyle w:val="Bullet1"/>
      </w:pPr>
      <w:r w:rsidRPr="00FA1671">
        <w:t>property, plant and equipment</w:t>
      </w:r>
    </w:p>
    <w:p w:rsidRPr="00FA1671" w:rsidR="00FA1671" w:rsidP="00FA1671" w:rsidRDefault="00FA1671" w14:paraId="3825680F" w14:textId="77777777">
      <w:pPr>
        <w:pStyle w:val="Bullet1"/>
      </w:pPr>
      <w:r w:rsidRPr="00FA1671">
        <w:t>non-financial assets classified as held for sale</w:t>
      </w:r>
    </w:p>
    <w:p w:rsidR="00FA1671" w:rsidRDefault="00FA1671" w14:paraId="2C6753E7" w14:textId="77777777">
      <w:pPr>
        <w:spacing w:after="0"/>
        <w:rPr>
          <w:b/>
          <w:bCs/>
        </w:rPr>
      </w:pPr>
      <w:r>
        <w:rPr>
          <w:b/>
          <w:bCs/>
        </w:rPr>
        <w:br w:type="page"/>
      </w:r>
    </w:p>
    <w:p w:rsidRPr="00FA1671" w:rsidR="00FA1671" w:rsidP="00FA1671" w:rsidRDefault="00FA1671" w14:paraId="0E15E689" w14:textId="4B0C2800">
      <w:pPr>
        <w:rPr>
          <w:b/>
          <w:bCs/>
        </w:rPr>
      </w:pPr>
      <w:r w:rsidRPr="00FA1671">
        <w:rPr>
          <w:b/>
          <w:bCs/>
        </w:rPr>
        <w:lastRenderedPageBreak/>
        <w:t>Fair value hierarchy</w:t>
      </w:r>
    </w:p>
    <w:p w:rsidRPr="00FA1671" w:rsidR="00FA1671" w:rsidP="00FA1671" w:rsidRDefault="00FA1671" w14:paraId="7939DC80" w14:textId="77777777">
      <w:r w:rsidRPr="00FA1671">
        <w:t>All assets, except leased assets, that are measured at fair value are categorised within the following fair value hierarchy based on the lowest level input that is significant to their fair value measurement as a whole.</w:t>
      </w:r>
    </w:p>
    <w:p w:rsidRPr="00FA1671" w:rsidR="00FA1671" w:rsidP="00FA1671" w:rsidRDefault="00FA1671" w14:paraId="3BCD0653" w14:textId="77777777">
      <w:pPr>
        <w:pStyle w:val="Bullet1"/>
      </w:pPr>
      <w:r w:rsidRPr="00FA1671">
        <w:t>Level 1 - quoted (unadjusted) market prices in active markets for identical assets;</w:t>
      </w:r>
    </w:p>
    <w:p w:rsidRPr="00FA1671" w:rsidR="00FA1671" w:rsidP="00FA1671" w:rsidRDefault="00FA1671" w14:paraId="43786050" w14:textId="77777777">
      <w:pPr>
        <w:pStyle w:val="Bullet1"/>
      </w:pPr>
      <w:r w:rsidRPr="00FA1671">
        <w:t>Level 2 - valuation techniques for which the lowest level input that is significant to the fair value measurement is directly or indirectly observable; and</w:t>
      </w:r>
    </w:p>
    <w:p w:rsidRPr="00FA1671" w:rsidR="00FA1671" w:rsidP="00FA1671" w:rsidRDefault="00FA1671" w14:paraId="7C13C5CF" w14:textId="77777777">
      <w:pPr>
        <w:pStyle w:val="Bullet1"/>
      </w:pPr>
      <w:r w:rsidRPr="00FA1671">
        <w:t>Level 3 - valuation techniques for which the lowest level input that is significant to the fair value measurement is unobservable.  Changes in unobservable values will result in changes to the asset carrying values.</w:t>
      </w:r>
    </w:p>
    <w:p w:rsidRPr="00FA1671" w:rsidR="00FA1671" w:rsidP="00FA1671" w:rsidRDefault="00FA1671" w14:paraId="1D9893DB" w14:textId="77777777">
      <w:r w:rsidRPr="00FA1671">
        <w:t>The department determines whether transfers have occurred between levels in the hierarchy by reassessing categorisation (based on the lowest level input that is significant to the fair value measurement as a whole) at the end of each reporting period.</w:t>
      </w:r>
    </w:p>
    <w:p w:rsidRPr="00FA1671" w:rsidR="00FA1671" w:rsidP="00FA1671" w:rsidRDefault="00FA1671" w14:paraId="016D0391" w14:textId="77777777">
      <w:r w:rsidRPr="00FA1671">
        <w:t>The department monitors changes in the fair value of each asset through relevant data sources to determine whether revaluation is required.</w:t>
      </w:r>
    </w:p>
    <w:p w:rsidRPr="00FA1671" w:rsidR="00FA1671" w:rsidP="00FA1671" w:rsidRDefault="00FA1671" w14:paraId="4E2E7E55" w14:textId="77777777">
      <w:pPr>
        <w:pStyle w:val="Heading4"/>
      </w:pPr>
      <w:r w:rsidRPr="00FA1671">
        <w:t>8.4.1 Fair value determination for financial assets at fair value through net result</w:t>
      </w:r>
    </w:p>
    <w:p w:rsidRPr="00FA1671" w:rsidR="00FA1671" w:rsidP="00FA1671" w:rsidRDefault="00FA1671" w14:paraId="68B1669C" w14:textId="77777777">
      <w:r w:rsidRPr="00FA1671">
        <w:t>The department’s managed investment schemes are carried at their fair values and are categorised within level 2 of the fair value hierarchy.  These investments are revalued each month by the Victorian Funds Management Corporation.</w:t>
      </w:r>
    </w:p>
    <w:p w:rsidRPr="00FA1671" w:rsidR="00FA1671" w:rsidP="00FA1671" w:rsidRDefault="00FA1671" w14:paraId="78BA4AE8" w14:textId="77777777">
      <w:r w:rsidRPr="00FA1671">
        <w:t>There have been no transfers between levels during the period.</w:t>
      </w:r>
    </w:p>
    <w:p w:rsidRPr="00FA1671" w:rsidR="00FA1671" w:rsidP="00FA1671" w:rsidRDefault="00FA1671" w14:paraId="1DD89720" w14:textId="77777777">
      <w:pPr>
        <w:pStyle w:val="Heading4"/>
      </w:pPr>
      <w:r w:rsidRPr="00FA1671">
        <w:t>8.4.2 Fair value determination for property, plant and equipment</w:t>
      </w:r>
    </w:p>
    <w:p w:rsidRPr="00FA1671" w:rsidR="00FA1671" w:rsidP="00FA1671" w:rsidRDefault="00FA1671" w14:paraId="192A6F62" w14:textId="77777777">
      <w:r w:rsidRPr="00FA1671">
        <w:t>The department’s property, plant and equipment are carried at their fair values.</w:t>
      </w:r>
    </w:p>
    <w:p w:rsidRPr="00FA1671" w:rsidR="00FA1671" w:rsidP="00FA1671" w:rsidRDefault="00FA1671" w14:paraId="0BFFC464" w14:textId="77777777">
      <w:pPr>
        <w:rPr>
          <w:b/>
          <w:bCs/>
        </w:rPr>
      </w:pPr>
      <w:r w:rsidRPr="00FA1671">
        <w:rPr>
          <w:b/>
          <w:bCs/>
        </w:rPr>
        <w:t>Independent valuations in 2015-16</w:t>
      </w:r>
    </w:p>
    <w:p w:rsidRPr="00FA1671" w:rsidR="00FA1671" w:rsidP="00FA1671" w:rsidRDefault="00FA1671" w14:paraId="6E1DF63C" w14:textId="77777777">
      <w:r w:rsidRPr="00FA1671">
        <w:t xml:space="preserve">An independent valuation of the department’s land, buildings, leased buildings and artwork was performed by the Valuer-General in 2015-16.  The Valuer General used external independent valuers to perform the valuations of the department’s land which was performed by G. M. Brien &amp; Associates Pty Ltd, buildings which was performed by Napier &amp; Blakeley Pty Ltd, and artwork which was performed by the Dominion Group.   The effective date of the valuation is 30 June 2016. </w:t>
      </w:r>
    </w:p>
    <w:p w:rsidRPr="00FA1671" w:rsidR="00FA1671" w:rsidP="00FA1671" w:rsidRDefault="00FA1671" w14:paraId="0E7C47B2" w14:textId="77777777">
      <w:pPr>
        <w:rPr>
          <w:b/>
          <w:bCs/>
        </w:rPr>
      </w:pPr>
      <w:r w:rsidRPr="00FA1671">
        <w:rPr>
          <w:b/>
          <w:bCs/>
        </w:rPr>
        <w:t>Managerial revaluation of land in 2016-17</w:t>
      </w:r>
    </w:p>
    <w:p w:rsidRPr="00FA1671" w:rsidR="00FA1671" w:rsidP="00FA1671" w:rsidRDefault="00FA1671" w14:paraId="50D740B8" w14:textId="77777777">
      <w:r w:rsidRPr="00FA1671">
        <w:t>Each asset class must be valued with sufficient regularity to ensure that the carrying amount of an asset does not materially differ from its fair value at the reporting date.  The department uses annual indices supplied by the Valuer-General’s Office to determine the movements in its land and building values.  Indices are based on post code.  As a result of applying these indices it was determined that a material (greater than 10%) movement in the department’s land values had occurred in 2016-17.  To ensure that the land values reflected their fair values, a managerial revaluation was performed based on the Valuer-General’s indices.  The effective date of the land valuation is 30 June 2017.</w:t>
      </w:r>
    </w:p>
    <w:p w:rsidRPr="00FA1671" w:rsidR="00FA1671" w:rsidP="00FA1671" w:rsidRDefault="00FA1671" w14:paraId="6CDAB080" w14:textId="77777777">
      <w:pPr>
        <w:rPr>
          <w:b/>
          <w:bCs/>
        </w:rPr>
      </w:pPr>
      <w:r w:rsidRPr="00FA1671">
        <w:rPr>
          <w:b/>
          <w:bCs/>
        </w:rPr>
        <w:t>Heritage buildings</w:t>
      </w:r>
    </w:p>
    <w:p w:rsidRPr="00FA1671" w:rsidR="00FA1671" w:rsidP="00FA1671" w:rsidRDefault="00FA1671" w14:paraId="1CB220A7" w14:textId="77777777">
      <w:r w:rsidRPr="00FA1671">
        <w:t>The department holds heritage listed buildings which cannot be modified or disposed of without formal ministerial approval.  Heritage buildings are valued using the depreciated replacement cost method.  The replacement cost relates to the costs to replace the current service capacity of the asset.  This cost generally represents the replacement cost of the building after applying depreciation rates on a useful life basis.  However, for some heritage and iconic assets, the cost may be the reproduction cost rather than the replacement cost if those assets’ service potential could only be replaced by reproducing them with the same materials.  Economic obsolescence has also been factored into the depreciated replacement cost calculation.  As depreciation adjustments are considered as significant unobservable inputs in nature, heritage buildings are classified within level 3 of the fair value hierarchy.</w:t>
      </w:r>
    </w:p>
    <w:p w:rsidRPr="00FA1671" w:rsidR="00FA1671" w:rsidP="00FA1671" w:rsidRDefault="00FA1671" w14:paraId="789B6DC6" w14:textId="77777777">
      <w:r w:rsidRPr="00FA1671">
        <w:t>The department held $4.795 million (2018: $5.055 million) of heritage buildings as at 30 June 2019.</w:t>
      </w:r>
    </w:p>
    <w:p w:rsidRPr="00FA1671" w:rsidR="00FA1671" w:rsidP="00FA1671" w:rsidRDefault="00FA1671" w14:paraId="7DCF2D3A" w14:textId="77777777">
      <w:pPr>
        <w:rPr>
          <w:b/>
          <w:bCs/>
        </w:rPr>
      </w:pPr>
      <w:r w:rsidRPr="00FA1671">
        <w:rPr>
          <w:b/>
          <w:bCs/>
        </w:rPr>
        <w:t>Non-specialised land, non-specialised buildings and artworks</w:t>
      </w:r>
    </w:p>
    <w:p w:rsidRPr="00FA1671" w:rsidR="00FA1671" w:rsidP="00FA1671" w:rsidRDefault="00FA1671" w14:paraId="10070448" w14:textId="77777777">
      <w:r w:rsidRPr="00FA1671">
        <w:t>Non-specialised land, non-specialised buildings and artworks are valued using the market approach. Under this valuation method, the assets are compared to recent comparable sales or sales of comparable assets which are considered to have nominal or no added improvement value.</w:t>
      </w:r>
    </w:p>
    <w:p w:rsidRPr="00FA1671" w:rsidR="00FA1671" w:rsidP="00FA1671" w:rsidRDefault="00FA1671" w14:paraId="783BFB85" w14:textId="77777777">
      <w:r w:rsidRPr="00FA1671">
        <w:t>For non-specialised land and non-specialised buildings, independent valuations are performed to determine the fair value using the market approach. Valuation of the assets are determined by analysing comparable sales and allowing for share, size, topography, location and other relevant factors specific to the asset being valued. From the sales analysed, an appropriate rate per square metre is applied to the subject asset.</w:t>
      </w:r>
    </w:p>
    <w:p w:rsidRPr="00FA1671" w:rsidR="00FA1671" w:rsidP="00FA1671" w:rsidRDefault="00FA1671" w14:paraId="302D1474" w14:textId="77777777">
      <w:r w:rsidRPr="00FA1671">
        <w:t>For artwork, valuation of the assets is determined by a comparison to similar examples of the artist’s work in existence throughout Australia and overseas, and research on prices paid for similar examples offered at auction or through art galleries in recent years.</w:t>
      </w:r>
    </w:p>
    <w:p w:rsidRPr="00FA1671" w:rsidR="00FA1671" w:rsidP="00FA1671" w:rsidRDefault="00FA1671" w14:paraId="4C7678C9" w14:textId="77777777">
      <w:r w:rsidRPr="00FA1671">
        <w:t>To the extent that non-specialised land, non-specialised buildings and artworks do not contain significant unobservable adjustments, these assets are classified within level 2 of the fair value hierarchy.</w:t>
      </w:r>
    </w:p>
    <w:p w:rsidRPr="00FA1671" w:rsidR="00FA1671" w:rsidP="00FA1671" w:rsidRDefault="00FA1671" w14:paraId="78049E45" w14:textId="77777777">
      <w:r w:rsidRPr="00FA1671">
        <w:t>As a managerial revaluation of the department’s land occurred in 2016-17 based on the Valuer-General Victoria’s indices which are unobservable inputs, non-specialised land has been classified within level 3 of the fair value hierarchy.</w:t>
      </w:r>
    </w:p>
    <w:p w:rsidRPr="00FA1671" w:rsidR="00FA1671" w:rsidP="00FA1671" w:rsidRDefault="00FA1671" w14:paraId="6438A271" w14:textId="77777777">
      <w:r w:rsidRPr="00FA1671">
        <w:lastRenderedPageBreak/>
        <w:t>The department held $6.421 million (2018: $6.419 million) of non-specialised land, no non-specialised buildings, and $0.027 million (2018: $0.027 million) of artwork as at 30 June 2019.</w:t>
      </w:r>
    </w:p>
    <w:p w:rsidRPr="00FA1671" w:rsidR="00FA1671" w:rsidP="00FA1671" w:rsidRDefault="00FA1671" w14:paraId="6BBCC01C" w14:textId="77777777">
      <w:pPr>
        <w:rPr>
          <w:b/>
          <w:bCs/>
        </w:rPr>
      </w:pPr>
      <w:r w:rsidRPr="00FA1671">
        <w:rPr>
          <w:b/>
          <w:bCs/>
        </w:rPr>
        <w:t>Specialised land and specialised buildings</w:t>
      </w:r>
    </w:p>
    <w:p w:rsidRPr="00FA1671" w:rsidR="00FA1671" w:rsidP="00FA1671" w:rsidRDefault="00FA1671" w14:paraId="4322E410" w14:textId="77777777">
      <w:r w:rsidRPr="00FA1671">
        <w:t>Specialised land is valued using the market approach, adjusted for a community service obligation (CSO) that reflects the specialised nature of the land being valued.  The CSO adjustment is a reflection of the valuer’s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considered as significant unobservable inputs, specialised land would be classified within level 3 of the fair value hierarchy.</w:t>
      </w:r>
    </w:p>
    <w:p w:rsidRPr="00FA1671" w:rsidR="00FA1671" w:rsidP="00FA1671" w:rsidRDefault="00FA1671" w14:paraId="2C941740" w14:textId="77777777">
      <w:r w:rsidRPr="00FA1671">
        <w:t>Specialised buildings are valued using the depreciated replacement cost method. As depreciation adjustments are considered as significant unobservable inputs in nature, specialised buildings are classified within level 3 of the fair value hierarchy.</w:t>
      </w:r>
    </w:p>
    <w:p w:rsidRPr="00FA1671" w:rsidR="00FA1671" w:rsidP="00FA1671" w:rsidRDefault="00FA1671" w14:paraId="484CB922" w14:textId="77777777">
      <w:r w:rsidRPr="00FA1671">
        <w:t>The department held $280.673 million (2018: $275.457 million) of specialised land, $2,445.512 million (2018: $2,410.610 million) of specialised buildings as at 30 June 2019.</w:t>
      </w:r>
    </w:p>
    <w:p w:rsidRPr="00FA1671" w:rsidR="00FA1671" w:rsidP="00FA1671" w:rsidRDefault="00FA1671" w14:paraId="426720BF" w14:textId="77777777">
      <w:pPr>
        <w:rPr>
          <w:b/>
          <w:bCs/>
        </w:rPr>
      </w:pPr>
      <w:r w:rsidRPr="00FA1671">
        <w:rPr>
          <w:b/>
          <w:bCs/>
        </w:rPr>
        <w:t>Plant and equipment</w:t>
      </w:r>
    </w:p>
    <w:p w:rsidRPr="00FA1671" w:rsidR="00FA1671" w:rsidP="00FA1671" w:rsidRDefault="00FA1671" w14:paraId="09601F99" w14:textId="77777777">
      <w:r w:rsidRPr="00FA1671">
        <w:t>Plant and equipment is held at fair value. When plant and equipment is specialised in use, such that it is rarely sold other than as part of a going concern, fair value is determined using the depreciated replacement cost method.  As depreciation adjustments are considered as significant unobservable inputs in nature, plant and equipment are classified within level 3 of the fair value hierarchy.</w:t>
      </w:r>
    </w:p>
    <w:p w:rsidRPr="00FA1671" w:rsidR="00FA1671" w:rsidP="00FA1671" w:rsidRDefault="00FA1671" w14:paraId="47A8ECC0" w14:textId="77777777">
      <w:r w:rsidRPr="00FA1671">
        <w:t>There were no changes in valuation techniques throughout the period to 30 June 2019.</w:t>
      </w:r>
    </w:p>
    <w:p w:rsidRPr="00FA1671" w:rsidR="00FA1671" w:rsidP="00FA1671" w:rsidRDefault="00FA1671" w14:paraId="368F561F" w14:textId="77777777">
      <w:r w:rsidRPr="00FA1671">
        <w:t>For all assets measured at fair value, the current use is considered the highest and best use.</w:t>
      </w:r>
    </w:p>
    <w:p w:rsidRPr="00FA1671" w:rsidR="00FA1671" w:rsidP="00FA1671" w:rsidRDefault="00FA1671" w14:paraId="33E7AAF8" w14:textId="77777777">
      <w:pPr>
        <w:pStyle w:val="Heading4"/>
      </w:pPr>
      <w:r w:rsidRPr="00FA1671">
        <w:t>8.4.3 Fair value determination for non-financial assets classified as held for sale</w:t>
      </w:r>
    </w:p>
    <w:p w:rsidRPr="00FA1671" w:rsidR="00FA1671" w:rsidP="00FA1671" w:rsidRDefault="00FA1671" w14:paraId="5996BF6A" w14:textId="77777777">
      <w:r w:rsidRPr="00FA1671">
        <w:t>The department’s non-financial assets classified as held for sale are carried at their fair values.  Leased vehicles held for sale were valued using the techniques referred to in note 8.4.2 for plant and equipment.  The fair value hierarchy does not apply to leased assets.</w:t>
      </w:r>
    </w:p>
    <w:p w:rsidR="00FA1671" w:rsidRDefault="00FA1671" w14:paraId="28418163" w14:textId="130A9ED6">
      <w:pPr>
        <w:spacing w:after="0"/>
        <w:rPr>
          <w:lang w:val="en-AU"/>
        </w:rPr>
      </w:pPr>
      <w:r>
        <w:rPr>
          <w:lang w:val="en-AU"/>
        </w:rPr>
        <w:br w:type="page"/>
      </w:r>
    </w:p>
    <w:p w:rsidRPr="00D55DDB" w:rsidR="00D55DDB" w:rsidP="00D55DDB" w:rsidRDefault="00D55DDB" w14:paraId="7B11034C" w14:textId="39FA6BE6">
      <w:pPr>
        <w:pStyle w:val="Heading2"/>
      </w:pPr>
      <w:bookmarkStart w:id="23" w:name="_Toc21870911"/>
      <w:r w:rsidRPr="00D55DDB">
        <w:lastRenderedPageBreak/>
        <w:t>9. Other disclosures</w:t>
      </w:r>
      <w:bookmarkEnd w:id="23"/>
    </w:p>
    <w:p w:rsidRPr="00D55DDB" w:rsidR="00D55DDB" w:rsidP="00D55DDB" w:rsidRDefault="00D55DDB" w14:paraId="56B86E5F" w14:textId="77777777">
      <w:pPr>
        <w:pStyle w:val="Heading3"/>
      </w:pPr>
      <w:r w:rsidRPr="00D55DDB">
        <w:t>9.1 Introduction</w:t>
      </w:r>
    </w:p>
    <w:p w:rsidRPr="00D55DDB" w:rsidR="00D55DDB" w:rsidP="00D55DDB" w:rsidRDefault="00D55DDB" w14:paraId="7C6F24C6" w14:textId="77777777">
      <w:r w:rsidRPr="00D55DDB">
        <w:t>This note includes additional material disclosures required by accounting standards or otherwise for the understanding of this financial report.</w:t>
      </w:r>
    </w:p>
    <w:p w:rsidRPr="00D55DDB" w:rsidR="00D55DDB" w:rsidP="00D55DDB" w:rsidRDefault="00D55DDB" w14:paraId="4EE2C035" w14:textId="77777777">
      <w:pPr>
        <w:pStyle w:val="Heading3"/>
      </w:pPr>
      <w:r w:rsidRPr="00D55DDB">
        <w:t>9.2 Ex-gratia expenses</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D55DDB" w:rsidR="00D55DDB" w:rsidTr="00D55DDB" w14:paraId="486FE352"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1F5AEB76" w14:textId="77777777">
            <w:pPr>
              <w:pStyle w:val="tablebody"/>
              <w:rPr>
                <w:b/>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E07DC9D" w14:textId="77777777">
            <w:pPr>
              <w:pStyle w:val="tablebody"/>
              <w:jc w:val="right"/>
              <w:rPr>
                <w:b/>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EA76F92" w14:textId="77777777">
            <w:pPr>
              <w:pStyle w:val="tablebody"/>
              <w:jc w:val="right"/>
              <w:rPr>
                <w:b/>
              </w:rPr>
            </w:pPr>
            <w:r w:rsidRPr="00D55DDB">
              <w:rPr>
                <w:b/>
              </w:rPr>
              <w:t>($ thousand)</w:t>
            </w:r>
          </w:p>
        </w:tc>
      </w:tr>
      <w:tr w:rsidRPr="00D55DDB" w:rsidR="00D55DDB" w:rsidTr="00D55DDB" w14:paraId="692750CC"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7708BDF" w14:textId="77777777">
            <w:pPr>
              <w:pStyle w:val="tablebody"/>
              <w:rPr>
                <w:b/>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3B29DA4" w14:textId="77777777">
            <w:pPr>
              <w:pStyle w:val="tablebody"/>
              <w:jc w:val="right"/>
              <w:rPr>
                <w:b/>
              </w:rPr>
            </w:pPr>
            <w:r w:rsidRPr="00D55DDB">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65655D2" w14:textId="77777777">
            <w:pPr>
              <w:pStyle w:val="tablebody"/>
              <w:jc w:val="right"/>
              <w:rPr>
                <w:b/>
              </w:rPr>
            </w:pPr>
            <w:r w:rsidRPr="00D55DDB">
              <w:rPr>
                <w:b/>
              </w:rPr>
              <w:t>2018</w:t>
            </w:r>
          </w:p>
        </w:tc>
      </w:tr>
      <w:tr w:rsidRPr="00D55DDB" w:rsidR="00D55DDB" w:rsidTr="00D55DDB" w14:paraId="0FA0C9F8"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24539786" w14:textId="77777777">
            <w:pPr>
              <w:pStyle w:val="tablebody"/>
            </w:pPr>
            <w:r w:rsidRPr="00D55DDB">
              <w:t>Compensation for economic loss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35E8BB5C" w14:textId="77777777">
            <w:pPr>
              <w:pStyle w:val="tablebody"/>
              <w:jc w:val="right"/>
            </w:pPr>
            <w:r w:rsidRPr="00D55DDB">
              <w:t xml:space="preserve">34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3C687D6E" w14:textId="77777777">
            <w:pPr>
              <w:pStyle w:val="tablebody"/>
              <w:jc w:val="right"/>
            </w:pPr>
            <w:r w:rsidRPr="00D55DDB">
              <w:t xml:space="preserve">505 </w:t>
            </w:r>
          </w:p>
        </w:tc>
      </w:tr>
      <w:tr w:rsidRPr="00D55DDB" w:rsidR="00D55DDB" w:rsidTr="00D55DDB" w14:paraId="6311E90A"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2670DCE0" w14:textId="77777777">
            <w:pPr>
              <w:pStyle w:val="tablebody"/>
              <w:rPr>
                <w:b/>
              </w:rPr>
            </w:pPr>
            <w:r w:rsidRPr="00D55DDB">
              <w:rPr>
                <w:b/>
              </w:rPr>
              <w:t>Total ex-gratia expenses (i)</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2D6568A" w14:textId="77777777">
            <w:pPr>
              <w:pStyle w:val="tablebody"/>
              <w:jc w:val="right"/>
              <w:rPr>
                <w:b/>
              </w:rPr>
            </w:pPr>
            <w:r w:rsidRPr="00D55DDB">
              <w:rPr>
                <w:b/>
              </w:rPr>
              <w:t xml:space="preserve">34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3C2CBD2" w14:textId="77777777">
            <w:pPr>
              <w:pStyle w:val="tablebody"/>
              <w:jc w:val="right"/>
              <w:rPr>
                <w:b/>
              </w:rPr>
            </w:pPr>
            <w:r w:rsidRPr="00D55DDB">
              <w:rPr>
                <w:b/>
              </w:rPr>
              <w:t xml:space="preserve">505 </w:t>
            </w:r>
          </w:p>
        </w:tc>
      </w:tr>
    </w:tbl>
    <w:p w:rsidRPr="00D55DDB" w:rsidR="00D55DDB" w:rsidP="00D55DDB" w:rsidRDefault="00D55DDB" w14:paraId="6D211147" w14:textId="36A0264A">
      <w:pPr>
        <w:pStyle w:val="notes"/>
      </w:pPr>
      <w:r w:rsidRPr="00D55DDB">
        <w:t xml:space="preserve"> (i) </w:t>
      </w:r>
      <w:r>
        <w:t xml:space="preserve"> </w:t>
      </w:r>
      <w:r w:rsidRPr="00D55DDB">
        <w:t>Ex-gratia expenses fall under other supplies and services in note 3.5.</w:t>
      </w:r>
    </w:p>
    <w:p w:rsidRPr="00D55DDB" w:rsidR="00D55DDB" w:rsidP="00D55DDB" w:rsidRDefault="00D55DDB" w14:paraId="28A0BCC4" w14:textId="77777777"/>
    <w:p w:rsidRPr="00D55DDB" w:rsidR="00D55DDB" w:rsidP="00D55DDB" w:rsidRDefault="00D55DDB" w14:paraId="39767B4D" w14:textId="77777777">
      <w:pPr>
        <w:pStyle w:val="Heading3"/>
      </w:pPr>
      <w:r w:rsidRPr="00D55DDB">
        <w:t>9.3 Other economic flows included in net result</w:t>
      </w:r>
    </w:p>
    <w:p w:rsidRPr="00D55DDB" w:rsidR="00D55DDB" w:rsidP="00D55DDB" w:rsidRDefault="00D55DDB" w14:paraId="6E8F5BB9" w14:textId="38E9B38F">
      <w:r w:rsidRPr="00D55DDB">
        <w:t xml:space="preserve">Other economic flows are changes in the volume or value of an asset or liability that do not result from transactions. </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D55DDB" w:rsidR="00D55DDB" w:rsidTr="00D55DDB" w14:paraId="53393605"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CBEB275" w14:textId="77777777">
            <w:pPr>
              <w:pStyle w:val="tablebody"/>
              <w:rPr>
                <w:b/>
                <w:lang w:val="en-US"/>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AD0FBDD" w14:textId="77777777">
            <w:pPr>
              <w:pStyle w:val="tablebody"/>
              <w:jc w:val="right"/>
              <w:rPr>
                <w:b/>
                <w:lang w:val="en-US"/>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E5AFA18" w14:textId="77777777">
            <w:pPr>
              <w:pStyle w:val="tablebody"/>
              <w:jc w:val="right"/>
              <w:rPr>
                <w:b/>
              </w:rPr>
            </w:pPr>
            <w:r w:rsidRPr="00D55DDB">
              <w:rPr>
                <w:b/>
              </w:rPr>
              <w:t>($ thousand)</w:t>
            </w:r>
          </w:p>
        </w:tc>
      </w:tr>
      <w:tr w:rsidRPr="00D55DDB" w:rsidR="00D55DDB" w:rsidTr="00D55DDB" w14:paraId="58279ADC"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4DA4CB6" w14:textId="77777777">
            <w:pPr>
              <w:pStyle w:val="tablebody"/>
              <w:rPr>
                <w:b/>
                <w:lang w:val="en-US"/>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5BDB55D" w14:textId="77777777">
            <w:pPr>
              <w:pStyle w:val="tablebody"/>
              <w:jc w:val="right"/>
              <w:rPr>
                <w:b/>
              </w:rPr>
            </w:pPr>
            <w:r w:rsidRPr="00D55DDB">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69E3830E" w14:textId="77777777">
            <w:pPr>
              <w:pStyle w:val="tablebody"/>
              <w:jc w:val="right"/>
              <w:rPr>
                <w:b/>
              </w:rPr>
            </w:pPr>
            <w:r w:rsidRPr="00D55DDB">
              <w:rPr>
                <w:b/>
              </w:rPr>
              <w:t>2018</w:t>
            </w:r>
          </w:p>
        </w:tc>
      </w:tr>
      <w:tr w:rsidRPr="00D55DDB" w:rsidR="00D55DDB" w:rsidTr="00D55DDB" w14:paraId="47387C95"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026CBD8C" w14:textId="77777777">
            <w:pPr>
              <w:pStyle w:val="tablebody"/>
              <w:rPr>
                <w:b/>
              </w:rPr>
            </w:pPr>
            <w:r w:rsidRPr="00D55DDB">
              <w:rPr>
                <w:b/>
              </w:rPr>
              <w:t>Net gain/(loss) on non-financial assets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0B04C3F"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669E30F" w14:textId="77777777">
            <w:pPr>
              <w:pStyle w:val="tablebody"/>
              <w:jc w:val="right"/>
              <w:rPr>
                <w:b/>
                <w:lang w:val="en-US"/>
              </w:rPr>
            </w:pPr>
          </w:p>
        </w:tc>
      </w:tr>
      <w:tr w:rsidRPr="00D55DDB" w:rsidR="00D55DDB" w:rsidTr="00D55DDB" w14:paraId="56929F11" w14:textId="77777777">
        <w:tc>
          <w:tcPr>
            <w:tcW w:w="6520" w:type="dxa"/>
            <w:tcBorders>
              <w:top w:val="nil"/>
              <w:left w:val="nil"/>
              <w:bottom w:val="nil"/>
              <w:right w:val="nil"/>
            </w:tcBorders>
            <w:tcMar>
              <w:top w:w="28" w:type="dxa"/>
              <w:left w:w="0" w:type="dxa"/>
              <w:bottom w:w="57" w:type="dxa"/>
              <w:right w:w="0" w:type="dxa"/>
            </w:tcMar>
            <w:vAlign w:val="bottom"/>
          </w:tcPr>
          <w:p w:rsidRPr="00D55DDB" w:rsidR="00D55DDB" w:rsidP="00D55DDB" w:rsidRDefault="00D55DDB" w14:paraId="5D103A91" w14:textId="77777777">
            <w:pPr>
              <w:pStyle w:val="tablebody"/>
            </w:pPr>
            <w:r w:rsidRPr="00D55DDB">
              <w:t>Impairment of intangible asset</w:t>
            </w:r>
          </w:p>
        </w:tc>
        <w:tc>
          <w:tcPr>
            <w:tcW w:w="1700" w:type="dxa"/>
            <w:tcBorders>
              <w:top w:val="nil"/>
              <w:left w:val="nil"/>
              <w:bottom w:val="nil"/>
              <w:right w:val="nil"/>
            </w:tcBorders>
            <w:tcMar>
              <w:top w:w="28" w:type="dxa"/>
              <w:left w:w="0" w:type="dxa"/>
              <w:bottom w:w="57" w:type="dxa"/>
              <w:right w:w="0" w:type="dxa"/>
            </w:tcMar>
            <w:vAlign w:val="bottom"/>
          </w:tcPr>
          <w:p w:rsidRPr="00D55DDB" w:rsidR="00D55DDB" w:rsidP="00D55DDB" w:rsidRDefault="00D55DDB" w14:paraId="52A3AFBB" w14:textId="77777777">
            <w:pPr>
              <w:pStyle w:val="tablebody"/>
              <w:jc w:val="right"/>
            </w:pPr>
            <w:r w:rsidRPr="00D55DDB">
              <w:t xml:space="preserve">(20,873) </w:t>
            </w:r>
          </w:p>
        </w:tc>
        <w:tc>
          <w:tcPr>
            <w:tcW w:w="1701" w:type="dxa"/>
            <w:tcBorders>
              <w:top w:val="nil"/>
              <w:left w:val="nil"/>
              <w:bottom w:val="nil"/>
              <w:right w:val="nil"/>
            </w:tcBorders>
            <w:tcMar>
              <w:top w:w="28" w:type="dxa"/>
              <w:left w:w="0" w:type="dxa"/>
              <w:bottom w:w="57" w:type="dxa"/>
              <w:right w:w="0" w:type="dxa"/>
            </w:tcMar>
            <w:vAlign w:val="bottom"/>
          </w:tcPr>
          <w:p w:rsidRPr="00D55DDB" w:rsidR="00D55DDB" w:rsidP="00D55DDB" w:rsidRDefault="00D55DDB" w14:paraId="6C9977B7" w14:textId="77777777">
            <w:pPr>
              <w:pStyle w:val="tablebody"/>
              <w:jc w:val="right"/>
            </w:pPr>
            <w:r w:rsidRPr="00D55DDB">
              <w:t xml:space="preserve">0 </w:t>
            </w:r>
          </w:p>
        </w:tc>
      </w:tr>
      <w:tr w:rsidRPr="00D55DDB" w:rsidR="00D55DDB" w:rsidTr="00D55DDB" w14:paraId="0AA5DE23" w14:textId="77777777">
        <w:tc>
          <w:tcPr>
            <w:tcW w:w="652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1ED251E" w14:textId="77777777">
            <w:pPr>
              <w:pStyle w:val="tablebody"/>
            </w:pPr>
            <w:r w:rsidRPr="00D55DDB">
              <w:t>Net gain/(loss) on disposal of property, plant and equipment</w:t>
            </w: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11B5D6DA" w14:textId="77777777">
            <w:pPr>
              <w:pStyle w:val="tablebody"/>
              <w:jc w:val="right"/>
            </w:pPr>
            <w:r w:rsidRPr="00D55DDB">
              <w:t xml:space="preserve">1,582 </w:t>
            </w: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80032B4" w14:textId="77777777">
            <w:pPr>
              <w:pStyle w:val="tablebody"/>
              <w:jc w:val="right"/>
            </w:pPr>
            <w:r w:rsidRPr="00D55DDB">
              <w:t xml:space="preserve">1,956 </w:t>
            </w:r>
          </w:p>
        </w:tc>
      </w:tr>
      <w:tr w:rsidRPr="00D55DDB" w:rsidR="00D55DDB" w:rsidTr="00D55DDB" w14:paraId="28DDA6BC"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1847A7C7" w14:textId="77777777">
            <w:pPr>
              <w:pStyle w:val="tablebody"/>
              <w:rPr>
                <w:b/>
              </w:rPr>
            </w:pPr>
            <w:r w:rsidRPr="00D55DDB">
              <w:rPr>
                <w:b/>
              </w:rPr>
              <w:t>Total net gain/(loss) on non-financial assets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FFC4693" w14:textId="77777777">
            <w:pPr>
              <w:pStyle w:val="tablebody"/>
              <w:jc w:val="right"/>
              <w:rPr>
                <w:b/>
              </w:rPr>
            </w:pPr>
            <w:r w:rsidRPr="00D55DDB">
              <w:rPr>
                <w:b/>
              </w:rPr>
              <w:t xml:space="preserve">(19,291)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C2C419A" w14:textId="77777777">
            <w:pPr>
              <w:pStyle w:val="tablebody"/>
              <w:jc w:val="right"/>
              <w:rPr>
                <w:b/>
              </w:rPr>
            </w:pPr>
            <w:r w:rsidRPr="00D55DDB">
              <w:rPr>
                <w:b/>
              </w:rPr>
              <w:t xml:space="preserve">1,956 </w:t>
            </w:r>
          </w:p>
        </w:tc>
      </w:tr>
      <w:tr w:rsidRPr="00D55DDB" w:rsidR="00D55DDB" w:rsidTr="00D55DDB" w14:paraId="5E03486E"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5A524274" w14:textId="77777777">
            <w:pPr>
              <w:pStyle w:val="tablebody"/>
              <w:rPr>
                <w:b/>
              </w:rPr>
            </w:pPr>
            <w:r w:rsidRPr="00D55DDB">
              <w:rPr>
                <w:b/>
              </w:rPr>
              <w:t>Net gain/(loss) on financial instruments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0CC32E9"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54C9D528" w14:textId="77777777">
            <w:pPr>
              <w:pStyle w:val="tablebody"/>
              <w:jc w:val="right"/>
              <w:rPr>
                <w:b/>
                <w:lang w:val="en-US"/>
              </w:rPr>
            </w:pPr>
          </w:p>
        </w:tc>
      </w:tr>
      <w:tr w:rsidRPr="00D55DDB" w:rsidR="00D55DDB" w:rsidTr="00D55DDB" w14:paraId="24B4776D"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3EFE8930" w14:textId="77777777">
            <w:pPr>
              <w:pStyle w:val="tablebody"/>
            </w:pPr>
            <w:r w:rsidRPr="00D55DDB">
              <w:t>Impairment of contractual receivables</w:t>
            </w:r>
            <w:r w:rsidRPr="00D55DDB">
              <w:rPr>
                <w:vertAlign w:val="superscript"/>
              </w:rPr>
              <w:t xml:space="preserve"> (i)</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45E1DF7D" w14:textId="77777777">
            <w:pPr>
              <w:pStyle w:val="tablebody"/>
              <w:jc w:val="right"/>
            </w:pPr>
            <w:r w:rsidRPr="00D55DDB">
              <w:t xml:space="preserve">659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05478B37" w14:textId="77777777">
            <w:pPr>
              <w:pStyle w:val="tablebody"/>
              <w:jc w:val="right"/>
            </w:pPr>
            <w:r w:rsidRPr="00D55DDB">
              <w:t xml:space="preserve">507 </w:t>
            </w:r>
          </w:p>
        </w:tc>
      </w:tr>
      <w:tr w:rsidRPr="00D55DDB" w:rsidR="00D55DDB" w:rsidTr="00D55DDB" w14:paraId="5A716E88"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3A565E26" w14:textId="77777777">
            <w:pPr>
              <w:pStyle w:val="tablebody"/>
            </w:pPr>
            <w:r w:rsidRPr="00D55DDB">
              <w:t>Bad debts written off unilaterally</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1E66B192" w14:textId="77777777">
            <w:pPr>
              <w:pStyle w:val="tablebody"/>
              <w:jc w:val="right"/>
            </w:pPr>
            <w:r w:rsidRPr="00D55DDB">
              <w:t xml:space="preserve">(26)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64B6F8BE" w14:textId="77777777">
            <w:pPr>
              <w:pStyle w:val="tablebody"/>
              <w:jc w:val="right"/>
            </w:pPr>
            <w:r w:rsidRPr="00D55DDB">
              <w:t xml:space="preserve">(9) </w:t>
            </w:r>
          </w:p>
        </w:tc>
      </w:tr>
      <w:tr w:rsidRPr="00D55DDB" w:rsidR="00D55DDB" w:rsidTr="00D55DDB" w14:paraId="5FD4B134"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4CAA4B9F" w14:textId="77777777">
            <w:pPr>
              <w:pStyle w:val="tablebody"/>
            </w:pPr>
            <w:r w:rsidRPr="00D55DDB">
              <w:t>Net gain/(loss) on disposal and revaluation of managed investment schemes</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3C23E209" w14:textId="77777777">
            <w:pPr>
              <w:pStyle w:val="tablebody"/>
              <w:jc w:val="right"/>
            </w:pPr>
            <w:r w:rsidRPr="00D55DDB">
              <w:t xml:space="preserve">(2,481)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47A353DA" w14:textId="77777777">
            <w:pPr>
              <w:pStyle w:val="tablebody"/>
              <w:jc w:val="right"/>
            </w:pPr>
            <w:r w:rsidRPr="00D55DDB">
              <w:t xml:space="preserve">5,508 </w:t>
            </w:r>
          </w:p>
        </w:tc>
      </w:tr>
      <w:tr w:rsidRPr="00D55DDB" w:rsidR="00D55DDB" w:rsidTr="00D55DDB" w14:paraId="152C2D40" w14:textId="77777777">
        <w:tc>
          <w:tcPr>
            <w:tcW w:w="652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7D9EFE04" w14:textId="77777777">
            <w:pPr>
              <w:pStyle w:val="tablebody"/>
            </w:pPr>
            <w:r w:rsidRPr="00D55DDB">
              <w:t>Net gain/(loss) on derecognition and recognition of borrowings</w:t>
            </w:r>
          </w:p>
        </w:tc>
        <w:tc>
          <w:tcPr>
            <w:tcW w:w="170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5783CF65" w14:textId="77777777">
            <w:pPr>
              <w:pStyle w:val="tablebody"/>
              <w:jc w:val="right"/>
            </w:pPr>
            <w:r w:rsidRPr="00D55DDB">
              <w:t xml:space="preserve">(58,963) </w:t>
            </w:r>
          </w:p>
        </w:tc>
        <w:tc>
          <w:tcPr>
            <w:tcW w:w="1701"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76B83DEA" w14:textId="77777777">
            <w:pPr>
              <w:pStyle w:val="tablebody"/>
              <w:jc w:val="right"/>
            </w:pPr>
            <w:r w:rsidRPr="00D55DDB">
              <w:t xml:space="preserve">0 </w:t>
            </w:r>
          </w:p>
        </w:tc>
      </w:tr>
      <w:tr w:rsidRPr="00D55DDB" w:rsidR="00D55DDB" w:rsidTr="00D55DDB" w14:paraId="3282A45B"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AD0B1D0" w14:textId="77777777">
            <w:pPr>
              <w:pStyle w:val="tablebody"/>
              <w:rPr>
                <w:b/>
              </w:rPr>
            </w:pPr>
            <w:r w:rsidRPr="00D55DDB">
              <w:rPr>
                <w:b/>
              </w:rPr>
              <w:t>Total net gain/(loss) on financial instruments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13424FEF" w14:textId="77777777">
            <w:pPr>
              <w:pStyle w:val="tablebody"/>
              <w:jc w:val="right"/>
              <w:rPr>
                <w:b/>
              </w:rPr>
            </w:pPr>
            <w:r w:rsidRPr="00D55DDB">
              <w:rPr>
                <w:b/>
              </w:rPr>
              <w:t xml:space="preserve">(60,811)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2012F5B" w14:textId="77777777">
            <w:pPr>
              <w:pStyle w:val="tablebody"/>
              <w:jc w:val="right"/>
              <w:rPr>
                <w:b/>
              </w:rPr>
            </w:pPr>
            <w:r w:rsidRPr="00D55DDB">
              <w:rPr>
                <w:b/>
              </w:rPr>
              <w:t xml:space="preserve">6,006 </w:t>
            </w:r>
          </w:p>
        </w:tc>
      </w:tr>
      <w:tr w:rsidRPr="00D55DDB" w:rsidR="00D55DDB" w:rsidTr="00D55DDB" w14:paraId="7616FF34"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58E7F8EB" w14:textId="77777777">
            <w:pPr>
              <w:pStyle w:val="tablebody"/>
              <w:rPr>
                <w:b/>
              </w:rPr>
            </w:pPr>
            <w:r w:rsidRPr="00D55DDB">
              <w:rPr>
                <w:b/>
              </w:rPr>
              <w:t>Other gains/(losses) from other economic flows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5645429C"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3A194273" w14:textId="77777777">
            <w:pPr>
              <w:pStyle w:val="tablebody"/>
              <w:jc w:val="right"/>
              <w:rPr>
                <w:b/>
                <w:lang w:val="en-US"/>
              </w:rPr>
            </w:pPr>
          </w:p>
        </w:tc>
      </w:tr>
      <w:tr w:rsidRPr="00D55DDB" w:rsidR="00D55DDB" w:rsidTr="00D55DDB" w14:paraId="25E1ACB8"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6B496E64" w14:textId="77777777">
            <w:pPr>
              <w:pStyle w:val="tablebody"/>
            </w:pPr>
            <w:r w:rsidRPr="00D55DDB">
              <w:t>Net gain/(loss) from revaluation of long service leave liability</w:t>
            </w:r>
            <w:r w:rsidRPr="00D55DDB">
              <w:rPr>
                <w:vertAlign w:val="superscript"/>
              </w:rPr>
              <w:t xml:space="preserve"> (ii)</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7B1CDFF2" w14:textId="77777777">
            <w:pPr>
              <w:pStyle w:val="tablebody"/>
              <w:jc w:val="right"/>
            </w:pPr>
            <w:r w:rsidRPr="00D55DDB">
              <w:t xml:space="preserve">(11,615)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1DC83D3A" w14:textId="77777777">
            <w:pPr>
              <w:pStyle w:val="tablebody"/>
              <w:jc w:val="right"/>
            </w:pPr>
            <w:r w:rsidRPr="00D55DDB">
              <w:t xml:space="preserve">2,410 </w:t>
            </w:r>
          </w:p>
        </w:tc>
      </w:tr>
      <w:tr w:rsidRPr="00D55DDB" w:rsidR="00D55DDB" w:rsidTr="00D55DDB" w14:paraId="2A4A2B80" w14:textId="77777777">
        <w:tc>
          <w:tcPr>
            <w:tcW w:w="652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5DABCFBB" w14:textId="77777777">
            <w:pPr>
              <w:pStyle w:val="tablebody"/>
            </w:pPr>
            <w:r w:rsidRPr="00D55DDB">
              <w:t>Net gain/(loss) from revaluation of other provisions</w:t>
            </w:r>
            <w:r w:rsidRPr="00D55DDB">
              <w:rPr>
                <w:vertAlign w:val="superscript"/>
              </w:rPr>
              <w:t xml:space="preserve"> (iii)</w:t>
            </w:r>
          </w:p>
        </w:tc>
        <w:tc>
          <w:tcPr>
            <w:tcW w:w="170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234D1E50" w14:textId="77777777">
            <w:pPr>
              <w:pStyle w:val="tablebody"/>
              <w:jc w:val="right"/>
            </w:pPr>
            <w:r w:rsidRPr="00D55DDB">
              <w:t xml:space="preserve">(825) </w:t>
            </w:r>
          </w:p>
        </w:tc>
        <w:tc>
          <w:tcPr>
            <w:tcW w:w="1701"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6090B3AF" w14:textId="77777777">
            <w:pPr>
              <w:pStyle w:val="tablebody"/>
              <w:jc w:val="right"/>
            </w:pPr>
            <w:r w:rsidRPr="00D55DDB">
              <w:t xml:space="preserve">(11) </w:t>
            </w:r>
          </w:p>
        </w:tc>
      </w:tr>
      <w:tr w:rsidRPr="00D55DDB" w:rsidR="00D55DDB" w:rsidTr="00D55DDB" w14:paraId="50F7353D"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A7388B1" w14:textId="77777777">
            <w:pPr>
              <w:pStyle w:val="tablebody"/>
              <w:rPr>
                <w:b/>
              </w:rPr>
            </w:pPr>
            <w:r w:rsidRPr="00D55DDB">
              <w:rPr>
                <w:b/>
              </w:rPr>
              <w:t>Total other gains/(losses) from other economic flows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3D4FDB2C" w14:textId="77777777">
            <w:pPr>
              <w:pStyle w:val="tablebody"/>
              <w:jc w:val="right"/>
              <w:rPr>
                <w:b/>
              </w:rPr>
            </w:pPr>
            <w:r w:rsidRPr="00D55DDB">
              <w:rPr>
                <w:b/>
              </w:rPr>
              <w:t xml:space="preserve">(12,440)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3B97FDFA" w14:textId="77777777">
            <w:pPr>
              <w:pStyle w:val="tablebody"/>
              <w:jc w:val="right"/>
              <w:rPr>
                <w:b/>
              </w:rPr>
            </w:pPr>
            <w:r w:rsidRPr="00D55DDB">
              <w:rPr>
                <w:b/>
              </w:rPr>
              <w:t xml:space="preserve">2,399 </w:t>
            </w:r>
          </w:p>
        </w:tc>
      </w:tr>
    </w:tbl>
    <w:p w:rsidRPr="00D55DDB" w:rsidR="00D55DDB" w:rsidP="00D55DDB" w:rsidRDefault="00D55DDB" w14:paraId="555F3004" w14:textId="77777777">
      <w:pPr>
        <w:pStyle w:val="notes"/>
        <w:spacing w:after="0"/>
        <w:ind w:left="284" w:hanging="284"/>
      </w:pPr>
      <w:r w:rsidRPr="00D55DDB">
        <w:t>(i)</w:t>
      </w:r>
      <w:r w:rsidRPr="00D55DDB">
        <w:tab/>
        <w:t>Includes (increase)/decrease in allowance for impairment losses of contractual receivables.</w:t>
      </w:r>
    </w:p>
    <w:p w:rsidRPr="00D55DDB" w:rsidR="00D55DDB" w:rsidP="00D55DDB" w:rsidRDefault="00D55DDB" w14:paraId="3FC1E7F0" w14:textId="77777777">
      <w:pPr>
        <w:pStyle w:val="notes"/>
        <w:spacing w:after="0"/>
        <w:ind w:left="284" w:hanging="284"/>
      </w:pPr>
      <w:r w:rsidRPr="00D55DDB">
        <w:t>(ii)</w:t>
      </w:r>
      <w:r w:rsidRPr="00D55DDB">
        <w:tab/>
        <w:t>Revaluation gain/(loss) due to changes in bond rates.</w:t>
      </w:r>
    </w:p>
    <w:p w:rsidRPr="00D55DDB" w:rsidR="00D55DDB" w:rsidP="00D55DDB" w:rsidRDefault="00D55DDB" w14:paraId="0CEBBDE7" w14:textId="77777777">
      <w:pPr>
        <w:pStyle w:val="notes"/>
        <w:ind w:left="284" w:hanging="284"/>
      </w:pPr>
      <w:r w:rsidRPr="00D55DDB">
        <w:t>(iii)</w:t>
      </w:r>
      <w:r w:rsidRPr="00D55DDB">
        <w:tab/>
        <w:t>Revaluation gain/(loss) due to changes in bond rates and actuarial assumptions.</w:t>
      </w:r>
    </w:p>
    <w:p w:rsidRPr="00D55DDB" w:rsidR="00D55DDB" w:rsidP="00D55DDB" w:rsidRDefault="00D55DDB" w14:paraId="36E34E3B" w14:textId="3AAE9044">
      <w:pPr>
        <w:pStyle w:val="Heading3"/>
      </w:pPr>
      <w:r w:rsidRPr="00D55DDB">
        <w:t>9.4 Physical asset revaluation surplus (i)</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D55DDB" w:rsidR="00D55DDB" w:rsidTr="00D55DDB" w14:paraId="5BF14B0B"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493CF3B7" w14:textId="77777777">
            <w:pPr>
              <w:pStyle w:val="tablebody"/>
              <w:rPr>
                <w:b/>
                <w:lang w:val="en-US"/>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425E9BDB" w14:textId="77777777">
            <w:pPr>
              <w:pStyle w:val="tablebody"/>
              <w:jc w:val="right"/>
              <w:rPr>
                <w:b/>
                <w:lang w:val="en-US"/>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428DFB5F" w14:textId="77777777">
            <w:pPr>
              <w:pStyle w:val="tablebody"/>
              <w:jc w:val="right"/>
              <w:rPr>
                <w:b/>
              </w:rPr>
            </w:pPr>
            <w:r w:rsidRPr="00D55DDB">
              <w:rPr>
                <w:b/>
              </w:rPr>
              <w:t>($ thousand)</w:t>
            </w:r>
          </w:p>
        </w:tc>
      </w:tr>
      <w:tr w:rsidRPr="00D55DDB" w:rsidR="00D55DDB" w:rsidTr="00D55DDB" w14:paraId="03351339"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2D8D58A" w14:textId="77777777">
            <w:pPr>
              <w:pStyle w:val="tablebody"/>
              <w:rPr>
                <w:b/>
                <w:lang w:val="en-US"/>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6384E23A" w14:textId="77777777">
            <w:pPr>
              <w:pStyle w:val="tablebody"/>
              <w:jc w:val="right"/>
              <w:rPr>
                <w:b/>
              </w:rPr>
            </w:pPr>
            <w:r w:rsidRPr="00D55DDB">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BE7B5C4" w14:textId="77777777">
            <w:pPr>
              <w:pStyle w:val="tablebody"/>
              <w:jc w:val="right"/>
              <w:rPr>
                <w:b/>
              </w:rPr>
            </w:pPr>
            <w:r w:rsidRPr="00D55DDB">
              <w:rPr>
                <w:b/>
              </w:rPr>
              <w:t>2018</w:t>
            </w:r>
          </w:p>
        </w:tc>
      </w:tr>
      <w:tr w:rsidRPr="00D55DDB" w:rsidR="00D55DDB" w:rsidTr="00D55DDB" w14:paraId="17E8532A"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62F1E4B" w14:textId="77777777">
            <w:pPr>
              <w:pStyle w:val="tablebody"/>
              <w:rPr>
                <w:b/>
              </w:rPr>
            </w:pPr>
            <w:r w:rsidRPr="00D55DDB">
              <w:rPr>
                <w:b/>
              </w:rPr>
              <w:t>Land</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78A9D9A5"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70F7AD7" w14:textId="77777777">
            <w:pPr>
              <w:pStyle w:val="tablebody"/>
              <w:jc w:val="right"/>
              <w:rPr>
                <w:b/>
                <w:lang w:val="en-US"/>
              </w:rPr>
            </w:pPr>
          </w:p>
        </w:tc>
      </w:tr>
      <w:tr w:rsidRPr="00D55DDB" w:rsidR="00D55DDB" w:rsidTr="00D55DDB" w14:paraId="7FC7D29C"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46CB298E" w14:textId="77777777">
            <w:pPr>
              <w:pStyle w:val="tablebody"/>
            </w:pPr>
            <w:r w:rsidRPr="00D55DDB">
              <w:t>Balance at beginning of financial year</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7B06085F" w14:textId="77777777">
            <w:pPr>
              <w:pStyle w:val="tablebody"/>
              <w:jc w:val="right"/>
            </w:pPr>
            <w:r w:rsidRPr="00D55DDB">
              <w:t xml:space="preserve">138,977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317C11E9" w14:textId="77777777">
            <w:pPr>
              <w:pStyle w:val="tablebody"/>
              <w:jc w:val="right"/>
            </w:pPr>
            <w:r w:rsidRPr="00D55DDB">
              <w:t xml:space="preserve">138,636 </w:t>
            </w:r>
          </w:p>
        </w:tc>
      </w:tr>
      <w:tr w:rsidRPr="00D55DDB" w:rsidR="00D55DDB" w:rsidTr="00D55DDB" w14:paraId="23EB90B0" w14:textId="77777777">
        <w:tc>
          <w:tcPr>
            <w:tcW w:w="652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2FE7A901" w14:textId="77777777">
            <w:pPr>
              <w:pStyle w:val="tablebody"/>
            </w:pPr>
            <w:r w:rsidRPr="00D55DDB">
              <w:t>Revaluation increment/(decrement)</w:t>
            </w:r>
          </w:p>
        </w:tc>
        <w:tc>
          <w:tcPr>
            <w:tcW w:w="170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654B486E" w14:textId="77777777">
            <w:pPr>
              <w:pStyle w:val="tablebody"/>
              <w:jc w:val="right"/>
            </w:pPr>
            <w:r w:rsidRPr="00D55DDB">
              <w:t xml:space="preserve">0 </w:t>
            </w:r>
          </w:p>
        </w:tc>
        <w:tc>
          <w:tcPr>
            <w:tcW w:w="1701"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14267F3A" w14:textId="77777777">
            <w:pPr>
              <w:pStyle w:val="tablebody"/>
              <w:jc w:val="right"/>
            </w:pPr>
            <w:r w:rsidRPr="00D55DDB">
              <w:t xml:space="preserve">341 </w:t>
            </w:r>
          </w:p>
        </w:tc>
      </w:tr>
      <w:tr w:rsidRPr="00D55DDB" w:rsidR="00D55DDB" w:rsidTr="00D55DDB" w14:paraId="374DEF03"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1F1A87C1" w14:textId="77777777">
            <w:pPr>
              <w:pStyle w:val="tablebody"/>
              <w:rPr>
                <w:b/>
              </w:rPr>
            </w:pPr>
            <w:r w:rsidRPr="00D55DDB">
              <w:rPr>
                <w:b/>
              </w:rPr>
              <w:t>Balance at end of financial year</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7D6CC75" w14:textId="77777777">
            <w:pPr>
              <w:pStyle w:val="tablebody"/>
              <w:jc w:val="right"/>
              <w:rPr>
                <w:b/>
              </w:rPr>
            </w:pPr>
            <w:r w:rsidRPr="00D55DDB">
              <w:rPr>
                <w:b/>
              </w:rPr>
              <w:t xml:space="preserve">138,977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666E7A12" w14:textId="77777777">
            <w:pPr>
              <w:pStyle w:val="tablebody"/>
              <w:jc w:val="right"/>
              <w:rPr>
                <w:b/>
              </w:rPr>
            </w:pPr>
            <w:r w:rsidRPr="00D55DDB">
              <w:rPr>
                <w:b/>
              </w:rPr>
              <w:t xml:space="preserve">138,977 </w:t>
            </w:r>
          </w:p>
        </w:tc>
      </w:tr>
      <w:tr w:rsidRPr="00D55DDB" w:rsidR="00D55DDB" w:rsidTr="00D55DDB" w14:paraId="6F7AA6CE"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43D72433" w14:textId="77777777">
            <w:pPr>
              <w:pStyle w:val="tablebody"/>
              <w:rPr>
                <w:b/>
              </w:rPr>
            </w:pPr>
            <w:r w:rsidRPr="00D55DDB">
              <w:rPr>
                <w:b/>
              </w:rPr>
              <w:t>Buildings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2F9497C3"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728EE882" w14:textId="77777777">
            <w:pPr>
              <w:pStyle w:val="tablebody"/>
              <w:jc w:val="right"/>
              <w:rPr>
                <w:b/>
                <w:lang w:val="en-US"/>
              </w:rPr>
            </w:pPr>
          </w:p>
        </w:tc>
      </w:tr>
      <w:tr w:rsidRPr="00D55DDB" w:rsidR="00D55DDB" w:rsidTr="00D55DDB" w14:paraId="0A8078A5"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4F5E161C" w14:textId="77777777">
            <w:pPr>
              <w:pStyle w:val="tablebody"/>
            </w:pPr>
            <w:r w:rsidRPr="00D55DDB">
              <w:t>Balance at beginning of financial year</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678311F4" w14:textId="77777777">
            <w:pPr>
              <w:pStyle w:val="tablebody"/>
              <w:jc w:val="right"/>
            </w:pPr>
            <w:r w:rsidRPr="00D55DDB">
              <w:t xml:space="preserve">472,571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2A54990E" w14:textId="77777777">
            <w:pPr>
              <w:pStyle w:val="tablebody"/>
              <w:jc w:val="right"/>
            </w:pPr>
            <w:r w:rsidRPr="00D55DDB">
              <w:t xml:space="preserve">521,896 </w:t>
            </w:r>
          </w:p>
        </w:tc>
      </w:tr>
      <w:tr w:rsidRPr="00D55DDB" w:rsidR="00D55DDB" w:rsidTr="00D55DDB" w14:paraId="4DEAE2C8" w14:textId="77777777">
        <w:tc>
          <w:tcPr>
            <w:tcW w:w="652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7DA0FB26" w14:textId="77777777">
            <w:pPr>
              <w:pStyle w:val="tablebody"/>
            </w:pPr>
            <w:r w:rsidRPr="00D55DDB">
              <w:t xml:space="preserve">Revaluation increment/(decrement) </w:t>
            </w:r>
            <w:r w:rsidRPr="00D55DDB">
              <w:rPr>
                <w:vertAlign w:val="superscript"/>
              </w:rPr>
              <w:t>(ii)</w:t>
            </w:r>
          </w:p>
        </w:tc>
        <w:tc>
          <w:tcPr>
            <w:tcW w:w="170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23CFDD43" w14:textId="77777777">
            <w:pPr>
              <w:pStyle w:val="tablebody"/>
              <w:jc w:val="right"/>
            </w:pPr>
            <w:r w:rsidRPr="00D55DDB">
              <w:t xml:space="preserve">0 </w:t>
            </w:r>
          </w:p>
        </w:tc>
        <w:tc>
          <w:tcPr>
            <w:tcW w:w="1701"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786821F0" w14:textId="77777777">
            <w:pPr>
              <w:pStyle w:val="tablebody"/>
              <w:jc w:val="right"/>
            </w:pPr>
            <w:r w:rsidRPr="00D55DDB">
              <w:t xml:space="preserve">(49,325) </w:t>
            </w:r>
          </w:p>
        </w:tc>
      </w:tr>
      <w:tr w:rsidRPr="00D55DDB" w:rsidR="00D55DDB" w:rsidTr="00D55DDB" w14:paraId="4E545CA0"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470AF064" w14:textId="77777777">
            <w:pPr>
              <w:pStyle w:val="tablebody"/>
              <w:rPr>
                <w:b/>
              </w:rPr>
            </w:pPr>
            <w:r w:rsidRPr="00D55DDB">
              <w:rPr>
                <w:b/>
              </w:rPr>
              <w:t>Balance at end of financial year</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9B50F16" w14:textId="77777777">
            <w:pPr>
              <w:pStyle w:val="tablebody"/>
              <w:jc w:val="right"/>
              <w:rPr>
                <w:b/>
              </w:rPr>
            </w:pPr>
            <w:r w:rsidRPr="00D55DDB">
              <w:rPr>
                <w:b/>
              </w:rPr>
              <w:t xml:space="preserve">472,571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21081E8" w14:textId="77777777">
            <w:pPr>
              <w:pStyle w:val="tablebody"/>
              <w:jc w:val="right"/>
              <w:rPr>
                <w:b/>
              </w:rPr>
            </w:pPr>
            <w:r w:rsidRPr="00D55DDB">
              <w:rPr>
                <w:b/>
              </w:rPr>
              <w:t xml:space="preserve">472,571 </w:t>
            </w:r>
          </w:p>
        </w:tc>
      </w:tr>
      <w:tr w:rsidRPr="00D55DDB" w:rsidR="00D55DDB" w:rsidTr="00D55DDB" w14:paraId="20F0E143"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15723A93" w14:textId="77777777">
            <w:pPr>
              <w:pStyle w:val="tablebody"/>
              <w:rPr>
                <w:b/>
              </w:rPr>
            </w:pPr>
            <w:r w:rsidRPr="00D55DDB">
              <w:rPr>
                <w:b/>
              </w:rPr>
              <w:t>Artwork</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5A3DD8B7"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55DDB" w:rsidR="00D55DDB" w:rsidP="00D55DDB" w:rsidRDefault="00D55DDB" w14:paraId="11AFD0FB" w14:textId="77777777">
            <w:pPr>
              <w:pStyle w:val="tablebody"/>
              <w:jc w:val="right"/>
              <w:rPr>
                <w:b/>
                <w:lang w:val="en-US"/>
              </w:rPr>
            </w:pPr>
          </w:p>
        </w:tc>
      </w:tr>
      <w:tr w:rsidRPr="00D55DDB" w:rsidR="00D55DDB" w:rsidTr="00D55DDB" w14:paraId="6606729F" w14:textId="77777777">
        <w:tc>
          <w:tcPr>
            <w:tcW w:w="652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53FE8408" w14:textId="77777777">
            <w:pPr>
              <w:pStyle w:val="tablebody"/>
            </w:pPr>
            <w:r w:rsidRPr="00D55DDB">
              <w:t>Balance at beginning of financial year</w:t>
            </w:r>
          </w:p>
        </w:tc>
        <w:tc>
          <w:tcPr>
            <w:tcW w:w="1700"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661C05B0" w14:textId="77777777">
            <w:pPr>
              <w:pStyle w:val="tablebody"/>
              <w:jc w:val="right"/>
            </w:pPr>
            <w:r w:rsidRPr="00D55DDB">
              <w:t xml:space="preserve">2 </w:t>
            </w:r>
          </w:p>
        </w:tc>
        <w:tc>
          <w:tcPr>
            <w:tcW w:w="1701" w:type="dxa"/>
            <w:tcBorders>
              <w:top w:val="nil"/>
              <w:left w:val="nil"/>
              <w:bottom w:val="nil"/>
              <w:right w:val="nil"/>
            </w:tcBorders>
            <w:tcMar>
              <w:top w:w="0" w:type="dxa"/>
              <w:left w:w="0" w:type="dxa"/>
              <w:bottom w:w="57" w:type="dxa"/>
              <w:right w:w="0" w:type="dxa"/>
            </w:tcMar>
            <w:vAlign w:val="bottom"/>
          </w:tcPr>
          <w:p w:rsidRPr="00D55DDB" w:rsidR="00D55DDB" w:rsidP="00D55DDB" w:rsidRDefault="00D55DDB" w14:paraId="5C132886" w14:textId="77777777">
            <w:pPr>
              <w:pStyle w:val="tablebody"/>
              <w:jc w:val="right"/>
            </w:pPr>
            <w:r w:rsidRPr="00D55DDB">
              <w:t xml:space="preserve">2 </w:t>
            </w:r>
          </w:p>
        </w:tc>
      </w:tr>
      <w:tr w:rsidRPr="00D55DDB" w:rsidR="00D55DDB" w:rsidTr="00D55DDB" w14:paraId="37BED518" w14:textId="77777777">
        <w:tc>
          <w:tcPr>
            <w:tcW w:w="652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206824B7" w14:textId="77777777">
            <w:pPr>
              <w:pStyle w:val="tablebody"/>
            </w:pPr>
            <w:r w:rsidRPr="00D55DDB">
              <w:t>Revaluation increment/(decrement)</w:t>
            </w:r>
          </w:p>
        </w:tc>
        <w:tc>
          <w:tcPr>
            <w:tcW w:w="1700"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565549FC" w14:textId="77777777">
            <w:pPr>
              <w:pStyle w:val="tablebody"/>
              <w:jc w:val="right"/>
            </w:pPr>
            <w:r w:rsidRPr="00D55DDB">
              <w:t xml:space="preserve">0 </w:t>
            </w:r>
          </w:p>
        </w:tc>
        <w:tc>
          <w:tcPr>
            <w:tcW w:w="1701" w:type="dxa"/>
            <w:tcBorders>
              <w:top w:val="nil"/>
              <w:left w:val="nil"/>
              <w:bottom w:val="single" w:color="000000" w:sz="6" w:space="0"/>
              <w:right w:val="nil"/>
            </w:tcBorders>
            <w:tcMar>
              <w:top w:w="0" w:type="dxa"/>
              <w:left w:w="0" w:type="dxa"/>
              <w:bottom w:w="57" w:type="dxa"/>
              <w:right w:w="0" w:type="dxa"/>
            </w:tcMar>
            <w:vAlign w:val="bottom"/>
          </w:tcPr>
          <w:p w:rsidRPr="00D55DDB" w:rsidR="00D55DDB" w:rsidP="00D55DDB" w:rsidRDefault="00D55DDB" w14:paraId="210429A8" w14:textId="77777777">
            <w:pPr>
              <w:pStyle w:val="tablebody"/>
              <w:jc w:val="right"/>
            </w:pPr>
            <w:r w:rsidRPr="00D55DDB">
              <w:t xml:space="preserve">0 </w:t>
            </w:r>
          </w:p>
        </w:tc>
      </w:tr>
      <w:tr w:rsidRPr="00D55DDB" w:rsidR="00D55DDB" w:rsidTr="00D55DDB" w14:paraId="6879D894"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2F01C300" w14:textId="77777777">
            <w:pPr>
              <w:pStyle w:val="tablebody"/>
              <w:rPr>
                <w:b/>
              </w:rPr>
            </w:pPr>
            <w:r w:rsidRPr="00D55DDB">
              <w:rPr>
                <w:b/>
              </w:rPr>
              <w:t>Balance at end of financial year</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71A2A333" w14:textId="77777777">
            <w:pPr>
              <w:pStyle w:val="tablebody"/>
              <w:jc w:val="right"/>
              <w:rPr>
                <w:b/>
              </w:rPr>
            </w:pPr>
            <w:r w:rsidRPr="00D55DDB">
              <w:rPr>
                <w:b/>
              </w:rPr>
              <w:t xml:space="preserve">2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75BD152" w14:textId="77777777">
            <w:pPr>
              <w:pStyle w:val="tablebody"/>
              <w:jc w:val="right"/>
              <w:rPr>
                <w:b/>
              </w:rPr>
            </w:pPr>
            <w:r w:rsidRPr="00D55DDB">
              <w:rPr>
                <w:b/>
              </w:rPr>
              <w:t xml:space="preserve">2 </w:t>
            </w:r>
          </w:p>
        </w:tc>
      </w:tr>
      <w:tr w:rsidRPr="00D55DDB" w:rsidR="00D55DDB" w:rsidTr="00D55DDB" w14:paraId="27576122"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2576A2E6" w14:textId="77777777">
            <w:pPr>
              <w:pStyle w:val="tablebody"/>
              <w:rPr>
                <w:b/>
              </w:rPr>
            </w:pPr>
            <w:r w:rsidRPr="00D55DDB">
              <w:rPr>
                <w:b/>
              </w:rPr>
              <w:t>Total balance at beginning of financial year</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3541211" w14:textId="77777777">
            <w:pPr>
              <w:pStyle w:val="tablebody"/>
              <w:jc w:val="right"/>
              <w:rPr>
                <w:b/>
              </w:rPr>
            </w:pPr>
            <w:r w:rsidRPr="00D55DDB">
              <w:rPr>
                <w:b/>
              </w:rPr>
              <w:t xml:space="preserve">611,550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B45FF13" w14:textId="77777777">
            <w:pPr>
              <w:pStyle w:val="tablebody"/>
              <w:jc w:val="right"/>
              <w:rPr>
                <w:b/>
              </w:rPr>
            </w:pPr>
            <w:r w:rsidRPr="00D55DDB">
              <w:rPr>
                <w:b/>
              </w:rPr>
              <w:t xml:space="preserve">660,534 </w:t>
            </w:r>
          </w:p>
        </w:tc>
      </w:tr>
      <w:tr w:rsidRPr="00D55DDB" w:rsidR="00D55DDB" w:rsidTr="00D55DDB" w14:paraId="3860A0E7"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E361809" w14:textId="77777777">
            <w:pPr>
              <w:pStyle w:val="tablebody"/>
              <w:rPr>
                <w:b/>
              </w:rPr>
            </w:pPr>
            <w:r w:rsidRPr="00D55DDB">
              <w:rPr>
                <w:b/>
              </w:rPr>
              <w:t>Total balance at end of financial year</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C45046F" w14:textId="77777777">
            <w:pPr>
              <w:pStyle w:val="tablebody"/>
              <w:jc w:val="right"/>
              <w:rPr>
                <w:b/>
              </w:rPr>
            </w:pPr>
            <w:r w:rsidRPr="00D55DDB">
              <w:rPr>
                <w:b/>
              </w:rPr>
              <w:t xml:space="preserve">611,550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5EC7F721" w14:textId="77777777">
            <w:pPr>
              <w:pStyle w:val="tablebody"/>
              <w:jc w:val="right"/>
              <w:rPr>
                <w:b/>
              </w:rPr>
            </w:pPr>
            <w:r w:rsidRPr="00D55DDB">
              <w:rPr>
                <w:b/>
              </w:rPr>
              <w:t xml:space="preserve">611,550 </w:t>
            </w:r>
          </w:p>
        </w:tc>
      </w:tr>
      <w:tr w:rsidRPr="00D55DDB" w:rsidR="00D55DDB" w:rsidTr="00D55DDB" w14:paraId="2489520F"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6E0997AE" w14:textId="77777777">
            <w:pPr>
              <w:pStyle w:val="tablebody"/>
              <w:rPr>
                <w:b/>
              </w:rPr>
            </w:pPr>
            <w:r w:rsidRPr="00D55DDB">
              <w:rPr>
                <w:b/>
              </w:rPr>
              <w:t>Net change</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010CDF48" w14:textId="77777777">
            <w:pPr>
              <w:pStyle w:val="tablebody"/>
              <w:jc w:val="right"/>
              <w:rPr>
                <w:b/>
              </w:rPr>
            </w:pPr>
            <w:r w:rsidRPr="00D55DDB">
              <w:rPr>
                <w:b/>
              </w:rPr>
              <w:t xml:space="preserve">0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55DDB" w:rsidR="00D55DDB" w:rsidP="00D55DDB" w:rsidRDefault="00D55DDB" w14:paraId="65DE8460" w14:textId="77777777">
            <w:pPr>
              <w:pStyle w:val="tablebody"/>
              <w:jc w:val="right"/>
              <w:rPr>
                <w:b/>
              </w:rPr>
            </w:pPr>
            <w:r w:rsidRPr="00D55DDB">
              <w:rPr>
                <w:b/>
              </w:rPr>
              <w:t xml:space="preserve">(48,984) </w:t>
            </w:r>
          </w:p>
        </w:tc>
      </w:tr>
    </w:tbl>
    <w:p w:rsidRPr="00D55DDB" w:rsidR="00D55DDB" w:rsidP="00D55DDB" w:rsidRDefault="00D55DDB" w14:paraId="6C29C51D" w14:textId="77777777">
      <w:pPr>
        <w:pStyle w:val="notes"/>
        <w:spacing w:after="0"/>
        <w:ind w:left="284" w:hanging="284"/>
      </w:pPr>
      <w:r w:rsidRPr="00D55DDB">
        <w:t xml:space="preserve">(i) </w:t>
      </w:r>
      <w:r w:rsidRPr="00D55DDB">
        <w:tab/>
        <w:t>The physical asset revaluation surplus arises from the revaluation of land, buildings and artwork.</w:t>
      </w:r>
    </w:p>
    <w:p w:rsidRPr="00D55DDB" w:rsidR="00D55DDB" w:rsidP="00D55DDB" w:rsidRDefault="00D55DDB" w14:paraId="197BDAAE" w14:textId="77777777">
      <w:pPr>
        <w:pStyle w:val="notes"/>
        <w:ind w:left="284" w:hanging="284"/>
      </w:pPr>
      <w:r w:rsidRPr="00D55DDB">
        <w:t xml:space="preserve">(ii) </w:t>
      </w:r>
      <w:r w:rsidRPr="00D55DDB">
        <w:tab/>
        <w:t>This movement includes a realignment of prior year assets under construction and a building impairment.</w:t>
      </w:r>
    </w:p>
    <w:p w:rsidRPr="00D55DDB" w:rsidR="00D55DDB" w:rsidP="00D55DDB" w:rsidRDefault="00D55DDB" w14:paraId="536F36FC" w14:textId="77777777">
      <w:pPr>
        <w:pStyle w:val="Heading3"/>
      </w:pPr>
      <w:r w:rsidRPr="00D55DDB">
        <w:lastRenderedPageBreak/>
        <w:t>9.5 Change in accounting policies</w:t>
      </w:r>
    </w:p>
    <w:p w:rsidRPr="00D55DDB" w:rsidR="00D55DDB" w:rsidP="00D55DDB" w:rsidRDefault="00D55DDB" w14:paraId="6C9D4F50" w14:textId="77777777">
      <w:r w:rsidRPr="00D55DDB">
        <w:t xml:space="preserve">This note explains the impact of the adoption of AASB 9 </w:t>
      </w:r>
      <w:r w:rsidRPr="00D55DDB">
        <w:rPr>
          <w:i/>
          <w:iCs/>
        </w:rPr>
        <w:t>Financial Instruments</w:t>
      </w:r>
      <w:r w:rsidRPr="00D55DDB">
        <w:t xml:space="preserve"> on the department’s financial statements.</w:t>
      </w:r>
    </w:p>
    <w:p w:rsidRPr="00D55DDB" w:rsidR="00D55DDB" w:rsidP="00D55DDB" w:rsidRDefault="00D55DDB" w14:paraId="69F8B43C" w14:textId="77777777">
      <w:pPr>
        <w:pStyle w:val="Heading4"/>
      </w:pPr>
      <w:r w:rsidRPr="00D55DDB">
        <w:t>9.5.1 Application of limited exemption in AASB 9</w:t>
      </w:r>
    </w:p>
    <w:p w:rsidRPr="00D55DDB" w:rsidR="00D55DDB" w:rsidP="00D55DDB" w:rsidRDefault="00D55DDB" w14:paraId="05274B86" w14:textId="77777777">
      <w:r w:rsidRPr="00D55DDB">
        <w:t>The department has elected to apply the limited exemption in AASB 9 paragraph 7.2.15 relating to transition for classification, measurement and impairment, and accordingly has not restated the comparative periods in the year of initial application.  As a result:</w:t>
      </w:r>
    </w:p>
    <w:p w:rsidRPr="00D55DDB" w:rsidR="00D55DDB" w:rsidP="0009545B" w:rsidRDefault="00D55DDB" w14:paraId="4F891278" w14:textId="77777777">
      <w:pPr>
        <w:ind w:left="284" w:hanging="284"/>
      </w:pPr>
      <w:r w:rsidRPr="00D55DDB">
        <w:t>(a)</w:t>
      </w:r>
      <w:r w:rsidRPr="00D55DDB">
        <w:tab/>
        <w:t xml:space="preserve">any adjustments to carrying amounts of financial assets or liabilities are recognised at the beginning of the current reporting period with the difference recognised in opening retained earnings; and </w:t>
      </w:r>
    </w:p>
    <w:p w:rsidRPr="00D55DDB" w:rsidR="00D55DDB" w:rsidP="0009545B" w:rsidRDefault="00D55DDB" w14:paraId="589667AC" w14:textId="77777777">
      <w:pPr>
        <w:ind w:left="284" w:hanging="284"/>
      </w:pPr>
      <w:r w:rsidRPr="00D55DDB">
        <w:t>(b)</w:t>
      </w:r>
      <w:r w:rsidRPr="00D55DDB">
        <w:tab/>
        <w:t>financial assets and the provision for impairment have not been reclassified and/or restated in the comparative period.</w:t>
      </w:r>
    </w:p>
    <w:p w:rsidRPr="0009545B" w:rsidR="00D55DDB" w:rsidP="0009545B" w:rsidRDefault="00D55DDB" w14:paraId="1D1428C6" w14:textId="77777777">
      <w:pPr>
        <w:pStyle w:val="Heading4"/>
      </w:pPr>
      <w:r w:rsidRPr="0009545B">
        <w:t>9.5.2 Changes to classification and measurement</w:t>
      </w:r>
    </w:p>
    <w:p w:rsidRPr="00D55DDB" w:rsidR="00D55DDB" w:rsidP="00D55DDB" w:rsidRDefault="00D55DDB" w14:paraId="296CEE00" w14:textId="77777777">
      <w:r w:rsidRPr="00D55DDB">
        <w:t>On initial application of AASB 9 on 1 July 2018, the department’s management assessed its financial assets and financial liabilities, and determined that only contractual receivables would be affected by the new accounting standard.</w:t>
      </w:r>
    </w:p>
    <w:p w:rsidRPr="00D55DDB" w:rsidR="00D55DDB" w:rsidP="00D55DDB" w:rsidRDefault="00D55DDB" w14:paraId="52F34712" w14:textId="77777777">
      <w:r w:rsidRPr="00D55DDB">
        <w:t>Contractual receivables were previously classified as loans and receivables under AASB 139 and are now classified as financial assets at amortised cost under AASB 9. The change in classification has only affected the measurement of the allowance for impairment losses of contractual receivables, which was previously known as the provision for doubtful debts.  The allowance for impairment losses of contractual receivables increased by $1.111 million upon the application of AASB 9, which was recognised in the opening retained earnings for the period.</w:t>
      </w:r>
    </w:p>
    <w:p w:rsidRPr="0009545B" w:rsidR="0009545B" w:rsidP="0009545B" w:rsidRDefault="0009545B" w14:paraId="7FBD084B" w14:textId="6208C9C0">
      <w:r w:rsidRPr="0009545B">
        <w:t>The following table summarises the main effects from the reclassification upon adoption of AASB 9.</w:t>
      </w:r>
    </w:p>
    <w:tbl>
      <w:tblPr>
        <w:tblW w:w="0" w:type="auto"/>
        <w:tblLayout w:type="fixed"/>
        <w:tblCellMar>
          <w:left w:w="0" w:type="dxa"/>
          <w:right w:w="0" w:type="dxa"/>
        </w:tblCellMar>
        <w:tblLook w:firstRow="1" w:lastRow="0" w:firstColumn="0" w:lastColumn="0" w:noHBand="0" w:noVBand="0" w:val="0020"/>
      </w:tblPr>
      <w:tblGrid>
        <w:gridCol w:w="6096"/>
        <w:gridCol w:w="1984"/>
        <w:gridCol w:w="1841"/>
      </w:tblGrid>
      <w:tr w:rsidRPr="0009545B" w:rsidR="0009545B" w:rsidTr="0009545B" w14:paraId="12E948E3" w14:textId="77777777">
        <w:trPr>
          <w:tblHeader/>
        </w:trPr>
        <w:tc>
          <w:tcPr>
            <w:tcW w:w="6096"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11F413C5" w14:textId="77777777">
            <w:pPr>
              <w:pStyle w:val="tablebody"/>
              <w:rPr>
                <w:b/>
              </w:rPr>
            </w:pPr>
          </w:p>
        </w:tc>
        <w:tc>
          <w:tcPr>
            <w:tcW w:w="1984"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5BA71D0B" w14:textId="77777777">
            <w:pPr>
              <w:pStyle w:val="tablebody"/>
              <w:jc w:val="right"/>
              <w:rPr>
                <w:b/>
              </w:rPr>
            </w:pPr>
          </w:p>
        </w:tc>
        <w:tc>
          <w:tcPr>
            <w:tcW w:w="1841" w:type="dxa"/>
            <w:tcBorders>
              <w:top w:val="nil"/>
              <w:left w:val="nil"/>
              <w:bottom w:val="single" w:color="000000" w:sz="6" w:space="0"/>
              <w:right w:val="nil"/>
            </w:tcBorders>
            <w:tcMar>
              <w:top w:w="28" w:type="dxa"/>
              <w:left w:w="57" w:type="dxa"/>
              <w:bottom w:w="57" w:type="dxa"/>
              <w:right w:w="0" w:type="dxa"/>
            </w:tcMar>
            <w:vAlign w:val="bottom"/>
          </w:tcPr>
          <w:p w:rsidRPr="0009545B" w:rsidR="0009545B" w:rsidP="0009545B" w:rsidRDefault="0009545B" w14:paraId="35121CD8" w14:textId="77777777">
            <w:pPr>
              <w:pStyle w:val="tablebody"/>
              <w:jc w:val="right"/>
              <w:rPr>
                <w:b/>
              </w:rPr>
            </w:pPr>
            <w:r w:rsidRPr="0009545B">
              <w:rPr>
                <w:b/>
              </w:rPr>
              <w:t>($ thousand)</w:t>
            </w:r>
          </w:p>
        </w:tc>
      </w:tr>
      <w:tr w:rsidRPr="0009545B" w:rsidR="0009545B" w:rsidTr="0009545B" w14:paraId="17A71325" w14:textId="77777777">
        <w:trPr>
          <w:tblHeader/>
        </w:trPr>
        <w:tc>
          <w:tcPr>
            <w:tcW w:w="6096" w:type="dxa"/>
            <w:tcBorders>
              <w:top w:val="single" w:color="000000" w:sz="6" w:space="0"/>
              <w:left w:val="nil"/>
              <w:bottom w:val="single" w:color="000000" w:sz="8" w:space="0"/>
              <w:right w:val="nil"/>
            </w:tcBorders>
            <w:tcMar>
              <w:top w:w="28" w:type="dxa"/>
              <w:left w:w="0" w:type="dxa"/>
              <w:bottom w:w="57" w:type="dxa"/>
              <w:right w:w="0" w:type="dxa"/>
            </w:tcMar>
            <w:vAlign w:val="bottom"/>
          </w:tcPr>
          <w:p w:rsidRPr="0009545B" w:rsidR="0009545B" w:rsidP="0009545B" w:rsidRDefault="0009545B" w14:paraId="1A9DEBB5" w14:textId="77777777">
            <w:pPr>
              <w:pStyle w:val="tablebody"/>
              <w:rPr>
                <w:b/>
              </w:rPr>
            </w:pP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37683DEB" w14:textId="77777777">
            <w:pPr>
              <w:pStyle w:val="tablebody"/>
              <w:jc w:val="right"/>
              <w:rPr>
                <w:b/>
              </w:rPr>
            </w:pPr>
            <w:r w:rsidRPr="0009545B">
              <w:rPr>
                <w:b/>
              </w:rPr>
              <w:t>AASB 139 measurement category</w:t>
            </w:r>
          </w:p>
        </w:tc>
        <w:tc>
          <w:tcPr>
            <w:tcW w:w="1841" w:type="dxa"/>
            <w:tcBorders>
              <w:top w:val="single" w:color="000000" w:sz="6" w:space="0"/>
              <w:left w:val="nil"/>
              <w:bottom w:val="single" w:color="000000" w:sz="6" w:space="0"/>
              <w:right w:val="nil"/>
            </w:tcBorders>
            <w:tcMar>
              <w:top w:w="28" w:type="dxa"/>
              <w:left w:w="57" w:type="dxa"/>
              <w:bottom w:w="57" w:type="dxa"/>
              <w:right w:w="0" w:type="dxa"/>
            </w:tcMar>
            <w:vAlign w:val="bottom"/>
          </w:tcPr>
          <w:p w:rsidRPr="0009545B" w:rsidR="0009545B" w:rsidP="0009545B" w:rsidRDefault="0009545B" w14:paraId="351C3EEE" w14:textId="77777777">
            <w:pPr>
              <w:pStyle w:val="tablebody"/>
              <w:jc w:val="right"/>
              <w:rPr>
                <w:b/>
              </w:rPr>
            </w:pPr>
            <w:r w:rsidRPr="0009545B">
              <w:rPr>
                <w:b/>
              </w:rPr>
              <w:t>AASB 9 measurement category</w:t>
            </w:r>
          </w:p>
        </w:tc>
      </w:tr>
      <w:tr w:rsidRPr="0009545B" w:rsidR="0009545B" w:rsidTr="0009545B" w14:paraId="5B1ED7F9" w14:textId="77777777">
        <w:trPr>
          <w:tblHeader/>
        </w:trPr>
        <w:tc>
          <w:tcPr>
            <w:tcW w:w="6096" w:type="dxa"/>
            <w:tcBorders>
              <w:top w:val="single" w:color="000000" w:sz="8" w:space="0"/>
              <w:left w:val="nil"/>
              <w:bottom w:val="single" w:color="000000" w:sz="8" w:space="0"/>
              <w:right w:val="nil"/>
            </w:tcBorders>
            <w:tcMar>
              <w:top w:w="28" w:type="dxa"/>
              <w:left w:w="0" w:type="dxa"/>
              <w:bottom w:w="57" w:type="dxa"/>
              <w:right w:w="0" w:type="dxa"/>
            </w:tcMar>
            <w:vAlign w:val="bottom"/>
          </w:tcPr>
          <w:p w:rsidRPr="0009545B" w:rsidR="0009545B" w:rsidP="0009545B" w:rsidRDefault="0009545B" w14:paraId="7F962E61" w14:textId="77777777">
            <w:pPr>
              <w:pStyle w:val="tablebody"/>
              <w:rPr>
                <w:b/>
              </w:rPr>
            </w:pP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3F7E4B6E" w14:textId="77777777">
            <w:pPr>
              <w:pStyle w:val="tablebody"/>
              <w:jc w:val="right"/>
              <w:rPr>
                <w:b/>
              </w:rPr>
            </w:pPr>
            <w:r w:rsidRPr="0009545B">
              <w:rPr>
                <w:b/>
              </w:rPr>
              <w:t>Loans and receivables</w:t>
            </w:r>
          </w:p>
        </w:tc>
        <w:tc>
          <w:tcPr>
            <w:tcW w:w="1841" w:type="dxa"/>
            <w:tcBorders>
              <w:top w:val="single" w:color="000000" w:sz="6" w:space="0"/>
              <w:left w:val="nil"/>
              <w:bottom w:val="single" w:color="000000" w:sz="6" w:space="0"/>
              <w:right w:val="nil"/>
            </w:tcBorders>
            <w:tcMar>
              <w:top w:w="28" w:type="dxa"/>
              <w:left w:w="57" w:type="dxa"/>
              <w:bottom w:w="57" w:type="dxa"/>
              <w:right w:w="0" w:type="dxa"/>
            </w:tcMar>
            <w:vAlign w:val="bottom"/>
          </w:tcPr>
          <w:p w:rsidRPr="0009545B" w:rsidR="0009545B" w:rsidP="0009545B" w:rsidRDefault="0009545B" w14:paraId="6B208F1A" w14:textId="77777777">
            <w:pPr>
              <w:pStyle w:val="tablebody"/>
              <w:jc w:val="right"/>
              <w:rPr>
                <w:b/>
              </w:rPr>
            </w:pPr>
            <w:r w:rsidRPr="0009545B">
              <w:rPr>
                <w:b/>
              </w:rPr>
              <w:t>Financial assets at amortised cost</w:t>
            </w:r>
          </w:p>
        </w:tc>
      </w:tr>
      <w:tr w:rsidRPr="0009545B" w:rsidR="0009545B" w:rsidTr="0009545B" w14:paraId="305F064F" w14:textId="77777777">
        <w:trPr>
          <w:tblHeader/>
        </w:trPr>
        <w:tc>
          <w:tcPr>
            <w:tcW w:w="6096" w:type="dxa"/>
            <w:tcBorders>
              <w:top w:val="single" w:color="000000" w:sz="8"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49504B4A" w14:textId="77777777">
            <w:pPr>
              <w:pStyle w:val="tablebody"/>
              <w:rPr>
                <w:b/>
              </w:rPr>
            </w:pP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28653BF0" w14:textId="7C2120BF">
            <w:pPr>
              <w:pStyle w:val="tablebody"/>
              <w:jc w:val="right"/>
              <w:rPr>
                <w:b/>
              </w:rPr>
            </w:pPr>
            <w:r w:rsidRPr="0009545B">
              <w:rPr>
                <w:b/>
              </w:rPr>
              <w:t>As at 30 June 2018</w:t>
            </w:r>
          </w:p>
        </w:tc>
        <w:tc>
          <w:tcPr>
            <w:tcW w:w="1841" w:type="dxa"/>
            <w:tcBorders>
              <w:top w:val="single" w:color="000000" w:sz="6" w:space="0"/>
              <w:left w:val="nil"/>
              <w:bottom w:val="single" w:color="000000" w:sz="6" w:space="0"/>
              <w:right w:val="nil"/>
            </w:tcBorders>
            <w:tcMar>
              <w:top w:w="28" w:type="dxa"/>
              <w:left w:w="57" w:type="dxa"/>
              <w:bottom w:w="57" w:type="dxa"/>
              <w:right w:w="0" w:type="dxa"/>
            </w:tcMar>
            <w:vAlign w:val="bottom"/>
          </w:tcPr>
          <w:p w:rsidRPr="0009545B" w:rsidR="0009545B" w:rsidP="0009545B" w:rsidRDefault="0009545B" w14:paraId="4EB928CC" w14:textId="1DF2461C">
            <w:pPr>
              <w:pStyle w:val="tablebody"/>
              <w:jc w:val="right"/>
              <w:rPr>
                <w:b/>
              </w:rPr>
            </w:pPr>
            <w:r w:rsidRPr="0009545B">
              <w:rPr>
                <w:b/>
              </w:rPr>
              <w:t>As at 1 July 2018</w:t>
            </w:r>
          </w:p>
        </w:tc>
      </w:tr>
      <w:tr w:rsidRPr="0009545B" w:rsidR="0009545B" w:rsidTr="0009545B" w14:paraId="69CE5A7C" w14:textId="77777777">
        <w:tc>
          <w:tcPr>
            <w:tcW w:w="6096" w:type="dxa"/>
            <w:tcBorders>
              <w:top w:val="single" w:color="000000" w:sz="6" w:space="0"/>
              <w:left w:val="nil"/>
              <w:bottom w:val="nil"/>
              <w:right w:val="nil"/>
            </w:tcBorders>
            <w:tcMar>
              <w:top w:w="28" w:type="dxa"/>
              <w:left w:w="0" w:type="dxa"/>
              <w:bottom w:w="57" w:type="dxa"/>
              <w:right w:w="0" w:type="dxa"/>
            </w:tcMar>
            <w:vAlign w:val="bottom"/>
          </w:tcPr>
          <w:p w:rsidRPr="0009545B" w:rsidR="0009545B" w:rsidP="0009545B" w:rsidRDefault="0009545B" w14:paraId="4881C344" w14:textId="77777777">
            <w:pPr>
              <w:pStyle w:val="tablebody"/>
              <w:rPr>
                <w:b/>
              </w:rPr>
            </w:pPr>
            <w:r w:rsidRPr="0009545B">
              <w:rPr>
                <w:b/>
              </w:rPr>
              <w:t>Contractual receivables</w:t>
            </w:r>
          </w:p>
        </w:tc>
        <w:tc>
          <w:tcPr>
            <w:tcW w:w="1984" w:type="dxa"/>
            <w:tcBorders>
              <w:top w:val="single" w:color="000000" w:sz="6" w:space="0"/>
              <w:left w:val="nil"/>
              <w:bottom w:val="nil"/>
              <w:right w:val="nil"/>
            </w:tcBorders>
            <w:tcMar>
              <w:top w:w="28" w:type="dxa"/>
              <w:left w:w="0" w:type="dxa"/>
              <w:bottom w:w="57" w:type="dxa"/>
              <w:right w:w="0" w:type="dxa"/>
            </w:tcMar>
            <w:vAlign w:val="bottom"/>
          </w:tcPr>
          <w:p w:rsidRPr="0009545B" w:rsidR="0009545B" w:rsidP="0009545B" w:rsidRDefault="0009545B" w14:paraId="352CD4E1" w14:textId="77777777">
            <w:pPr>
              <w:pStyle w:val="tablebody"/>
              <w:jc w:val="right"/>
              <w:rPr>
                <w:b/>
              </w:rPr>
            </w:pPr>
          </w:p>
        </w:tc>
        <w:tc>
          <w:tcPr>
            <w:tcW w:w="1841" w:type="dxa"/>
            <w:tcBorders>
              <w:top w:val="single" w:color="000000" w:sz="6" w:space="0"/>
              <w:left w:val="nil"/>
              <w:bottom w:val="nil"/>
              <w:right w:val="nil"/>
            </w:tcBorders>
            <w:tcMar>
              <w:top w:w="28" w:type="dxa"/>
              <w:left w:w="57" w:type="dxa"/>
              <w:bottom w:w="57" w:type="dxa"/>
              <w:right w:w="0" w:type="dxa"/>
            </w:tcMar>
            <w:vAlign w:val="bottom"/>
          </w:tcPr>
          <w:p w:rsidRPr="0009545B" w:rsidR="0009545B" w:rsidP="0009545B" w:rsidRDefault="0009545B" w14:paraId="13EF9907" w14:textId="77777777">
            <w:pPr>
              <w:pStyle w:val="tablebody"/>
              <w:jc w:val="right"/>
              <w:rPr>
                <w:b/>
              </w:rPr>
            </w:pPr>
          </w:p>
        </w:tc>
      </w:tr>
      <w:tr w:rsidRPr="0009545B" w:rsidR="0009545B" w:rsidTr="0009545B" w14:paraId="04FA24B8" w14:textId="77777777">
        <w:tc>
          <w:tcPr>
            <w:tcW w:w="6096"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2C72490D" w14:textId="77777777">
            <w:pPr>
              <w:pStyle w:val="tablebody"/>
            </w:pPr>
            <w:r w:rsidRPr="0009545B">
              <w:t>Advance to Metropolitan Fire and Emergency Services Board</w:t>
            </w:r>
          </w:p>
        </w:tc>
        <w:tc>
          <w:tcPr>
            <w:tcW w:w="1984"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376930D2" w14:textId="77777777">
            <w:pPr>
              <w:pStyle w:val="tablebody"/>
              <w:jc w:val="right"/>
            </w:pPr>
            <w:r w:rsidRPr="0009545B">
              <w:t xml:space="preserve">1,189 </w:t>
            </w:r>
          </w:p>
        </w:tc>
        <w:tc>
          <w:tcPr>
            <w:tcW w:w="1841" w:type="dxa"/>
            <w:tcBorders>
              <w:top w:val="nil"/>
              <w:left w:val="nil"/>
              <w:bottom w:val="nil"/>
              <w:right w:val="nil"/>
            </w:tcBorders>
            <w:tcMar>
              <w:top w:w="28" w:type="dxa"/>
              <w:left w:w="57" w:type="dxa"/>
              <w:bottom w:w="57" w:type="dxa"/>
              <w:right w:w="0" w:type="dxa"/>
            </w:tcMar>
            <w:vAlign w:val="bottom"/>
          </w:tcPr>
          <w:p w:rsidRPr="0009545B" w:rsidR="0009545B" w:rsidP="0009545B" w:rsidRDefault="0009545B" w14:paraId="5982AB80" w14:textId="77777777">
            <w:pPr>
              <w:pStyle w:val="tablebody"/>
              <w:jc w:val="right"/>
            </w:pPr>
            <w:r w:rsidRPr="0009545B">
              <w:t xml:space="preserve">1,189 </w:t>
            </w:r>
          </w:p>
        </w:tc>
      </w:tr>
      <w:tr w:rsidRPr="0009545B" w:rsidR="0009545B" w:rsidTr="0009545B" w14:paraId="2CC4FBD0" w14:textId="77777777">
        <w:tc>
          <w:tcPr>
            <w:tcW w:w="6096"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0B5F6ACF" w14:textId="77777777">
            <w:pPr>
              <w:pStyle w:val="tablebody"/>
            </w:pPr>
            <w:r w:rsidRPr="0009545B">
              <w:t>Accrued interest income</w:t>
            </w:r>
          </w:p>
        </w:tc>
        <w:tc>
          <w:tcPr>
            <w:tcW w:w="1984"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66913102" w14:textId="77777777">
            <w:pPr>
              <w:pStyle w:val="tablebody"/>
              <w:jc w:val="right"/>
            </w:pPr>
            <w:r w:rsidRPr="0009545B">
              <w:t xml:space="preserve">2,214 </w:t>
            </w:r>
          </w:p>
        </w:tc>
        <w:tc>
          <w:tcPr>
            <w:tcW w:w="1841" w:type="dxa"/>
            <w:tcBorders>
              <w:top w:val="nil"/>
              <w:left w:val="nil"/>
              <w:bottom w:val="nil"/>
              <w:right w:val="nil"/>
            </w:tcBorders>
            <w:tcMar>
              <w:top w:w="28" w:type="dxa"/>
              <w:left w:w="57" w:type="dxa"/>
              <w:bottom w:w="57" w:type="dxa"/>
              <w:right w:w="0" w:type="dxa"/>
            </w:tcMar>
            <w:vAlign w:val="bottom"/>
          </w:tcPr>
          <w:p w:rsidRPr="0009545B" w:rsidR="0009545B" w:rsidP="0009545B" w:rsidRDefault="0009545B" w14:paraId="6B120133" w14:textId="77777777">
            <w:pPr>
              <w:pStyle w:val="tablebody"/>
              <w:jc w:val="right"/>
            </w:pPr>
            <w:r w:rsidRPr="0009545B">
              <w:t xml:space="preserve">2,214 </w:t>
            </w:r>
          </w:p>
        </w:tc>
      </w:tr>
      <w:tr w:rsidRPr="0009545B" w:rsidR="0009545B" w:rsidTr="0009545B" w14:paraId="021A7F38" w14:textId="77777777">
        <w:tc>
          <w:tcPr>
            <w:tcW w:w="6096"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1BFD1ED3" w14:textId="77777777">
            <w:pPr>
              <w:pStyle w:val="tablebody"/>
            </w:pPr>
            <w:r w:rsidRPr="0009545B">
              <w:t>Other receivables</w:t>
            </w:r>
          </w:p>
        </w:tc>
        <w:tc>
          <w:tcPr>
            <w:tcW w:w="1984" w:type="dxa"/>
            <w:tcBorders>
              <w:top w:val="nil"/>
              <w:left w:val="nil"/>
              <w:bottom w:val="nil"/>
              <w:right w:val="nil"/>
            </w:tcBorders>
            <w:tcMar>
              <w:top w:w="28" w:type="dxa"/>
              <w:left w:w="0" w:type="dxa"/>
              <w:bottom w:w="57" w:type="dxa"/>
              <w:right w:w="0" w:type="dxa"/>
            </w:tcMar>
            <w:vAlign w:val="bottom"/>
          </w:tcPr>
          <w:p w:rsidRPr="0009545B" w:rsidR="0009545B" w:rsidP="0009545B" w:rsidRDefault="0009545B" w14:paraId="58944A56" w14:textId="77777777">
            <w:pPr>
              <w:pStyle w:val="tablebody"/>
              <w:jc w:val="right"/>
            </w:pPr>
            <w:r w:rsidRPr="0009545B">
              <w:t xml:space="preserve">14,339 </w:t>
            </w:r>
          </w:p>
        </w:tc>
        <w:tc>
          <w:tcPr>
            <w:tcW w:w="1841" w:type="dxa"/>
            <w:tcBorders>
              <w:top w:val="nil"/>
              <w:left w:val="nil"/>
              <w:bottom w:val="nil"/>
              <w:right w:val="nil"/>
            </w:tcBorders>
            <w:tcMar>
              <w:top w:w="28" w:type="dxa"/>
              <w:left w:w="57" w:type="dxa"/>
              <w:bottom w:w="57" w:type="dxa"/>
              <w:right w:w="0" w:type="dxa"/>
            </w:tcMar>
            <w:vAlign w:val="bottom"/>
          </w:tcPr>
          <w:p w:rsidRPr="0009545B" w:rsidR="0009545B" w:rsidP="0009545B" w:rsidRDefault="0009545B" w14:paraId="4BF49C3C" w14:textId="77777777">
            <w:pPr>
              <w:pStyle w:val="tablebody"/>
              <w:jc w:val="right"/>
            </w:pPr>
            <w:r w:rsidRPr="0009545B">
              <w:t xml:space="preserve">14,339 </w:t>
            </w:r>
          </w:p>
        </w:tc>
      </w:tr>
      <w:tr w:rsidRPr="0009545B" w:rsidR="0009545B" w:rsidTr="0009545B" w14:paraId="0D31314D" w14:textId="77777777">
        <w:tc>
          <w:tcPr>
            <w:tcW w:w="6096"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4D8F3D84" w14:textId="77777777">
            <w:pPr>
              <w:pStyle w:val="tablebody"/>
            </w:pPr>
            <w:r w:rsidRPr="0009545B">
              <w:t>Allowance for impairment losses of contractual receivables</w:t>
            </w:r>
          </w:p>
        </w:tc>
        <w:tc>
          <w:tcPr>
            <w:tcW w:w="1984"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0B37D750" w14:textId="77777777">
            <w:pPr>
              <w:pStyle w:val="tablebody"/>
              <w:jc w:val="right"/>
            </w:pPr>
            <w:r w:rsidRPr="0009545B">
              <w:t xml:space="preserve">(771) </w:t>
            </w:r>
          </w:p>
        </w:tc>
        <w:tc>
          <w:tcPr>
            <w:tcW w:w="1841" w:type="dxa"/>
            <w:tcBorders>
              <w:top w:val="nil"/>
              <w:left w:val="nil"/>
              <w:bottom w:val="single" w:color="000000" w:sz="6" w:space="0"/>
              <w:right w:val="nil"/>
            </w:tcBorders>
            <w:tcMar>
              <w:top w:w="28" w:type="dxa"/>
              <w:left w:w="57" w:type="dxa"/>
              <w:bottom w:w="57" w:type="dxa"/>
              <w:right w:w="0" w:type="dxa"/>
            </w:tcMar>
            <w:vAlign w:val="bottom"/>
          </w:tcPr>
          <w:p w:rsidRPr="0009545B" w:rsidR="0009545B" w:rsidP="0009545B" w:rsidRDefault="0009545B" w14:paraId="784BC0D2" w14:textId="77777777">
            <w:pPr>
              <w:pStyle w:val="tablebody"/>
              <w:jc w:val="right"/>
            </w:pPr>
            <w:r w:rsidRPr="0009545B">
              <w:t xml:space="preserve">(1,882) </w:t>
            </w:r>
          </w:p>
        </w:tc>
      </w:tr>
    </w:tbl>
    <w:p w:rsidRPr="0009545B" w:rsidR="0009545B" w:rsidP="0009545B" w:rsidRDefault="0009545B" w14:paraId="333D17F0" w14:textId="77777777"/>
    <w:p w:rsidRPr="0009545B" w:rsidR="0009545B" w:rsidP="0009545B" w:rsidRDefault="0009545B" w14:paraId="49CC182C" w14:textId="77777777">
      <w:pPr>
        <w:pStyle w:val="Heading4"/>
      </w:pPr>
      <w:r w:rsidRPr="0009545B">
        <w:t>9.5.3 Changes to the impairment of financial assets</w:t>
      </w:r>
    </w:p>
    <w:p w:rsidRPr="0009545B" w:rsidR="0009545B" w:rsidP="0009545B" w:rsidRDefault="0009545B" w14:paraId="35C81C7D" w14:textId="77777777">
      <w:r w:rsidRPr="0009545B">
        <w:t>Contractual receivables are subject to AASB 9’s new expected credit loss impairment model, which replaces AASB 139’s incurred loss approach.</w:t>
      </w:r>
    </w:p>
    <w:p w:rsidRPr="0009545B" w:rsidR="0009545B" w:rsidP="0009545B" w:rsidRDefault="0009545B" w14:paraId="58F9AC58" w14:textId="77777777">
      <w:r w:rsidRPr="0009545B">
        <w:t>The department applied AASB 9’s simplified approach to measure the expected credit losses of its contractual receivables based on the change in their expected credit losses over the lives of the assets.  Application of the lifetime expected credit loss allowance method resulted in an increase in the allowance for impairment losses of contractual receivables of $1.111 million as at 1 July 2018.  Refer to note 8.2.3 for details about the calculation of the allowance.  The allowance decreased by $0.659 million upon the reassessment of the lifetime expected credit losses of the contractual receivables as at 30 June 2019.</w:t>
      </w:r>
    </w:p>
    <w:p w:rsidRPr="0009545B" w:rsidR="0009545B" w:rsidP="0009545B" w:rsidRDefault="0009545B" w14:paraId="7D558A00" w14:textId="77777777">
      <w:pPr>
        <w:pStyle w:val="Heading4"/>
      </w:pPr>
      <w:r w:rsidRPr="0009545B">
        <w:t>9.5.4 Transition impact</w:t>
      </w:r>
    </w:p>
    <w:p w:rsidRPr="0009545B" w:rsidR="0009545B" w:rsidP="0009545B" w:rsidRDefault="0009545B" w14:paraId="559C20A1" w14:textId="77777777">
      <w:r w:rsidRPr="0009545B">
        <w:t>The transition impact of first-time adoption of AASB 9 on the Comprehensive Operating Statement and Balance Sheet has been summarised in the following tables.</w:t>
      </w:r>
    </w:p>
    <w:p w:rsidRPr="0009545B" w:rsidR="0009545B" w:rsidP="0009545B" w:rsidRDefault="0009545B" w14:paraId="4FB6DBBD" w14:textId="72786A6C">
      <w:r w:rsidRPr="0009545B">
        <w:t>The impacts on the Comprehensive Operating Statement as at 1 July 2018 are as follows.</w:t>
      </w:r>
    </w:p>
    <w:tbl>
      <w:tblPr>
        <w:tblW w:w="0" w:type="auto"/>
        <w:tblLayout w:type="fixed"/>
        <w:tblCellMar>
          <w:left w:w="0" w:type="dxa"/>
          <w:right w:w="0" w:type="dxa"/>
        </w:tblCellMar>
        <w:tblLook w:firstRow="1" w:lastRow="0" w:firstColumn="0" w:lastColumn="0" w:noHBand="0" w:noVBand="0" w:val="0020"/>
      </w:tblPr>
      <w:tblGrid>
        <w:gridCol w:w="7937"/>
        <w:gridCol w:w="1984"/>
      </w:tblGrid>
      <w:tr w:rsidRPr="0009545B" w:rsidR="0009545B" w:rsidTr="0009545B" w14:paraId="583C00D9" w14:textId="77777777">
        <w:trPr>
          <w:tblHeader/>
        </w:trPr>
        <w:tc>
          <w:tcPr>
            <w:tcW w:w="7937"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3518C624" w14:textId="77777777">
            <w:pPr>
              <w:pStyle w:val="tablebody"/>
              <w:rPr>
                <w:b/>
              </w:rPr>
            </w:pPr>
          </w:p>
        </w:tc>
        <w:tc>
          <w:tcPr>
            <w:tcW w:w="1984"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12761CD0" w14:textId="77777777">
            <w:pPr>
              <w:pStyle w:val="tablebody"/>
              <w:jc w:val="right"/>
              <w:rPr>
                <w:b/>
              </w:rPr>
            </w:pPr>
            <w:r w:rsidRPr="0009545B">
              <w:rPr>
                <w:b/>
              </w:rPr>
              <w:t>($ thousand)</w:t>
            </w:r>
          </w:p>
        </w:tc>
      </w:tr>
      <w:tr w:rsidRPr="0009545B" w:rsidR="0009545B" w:rsidTr="0009545B" w14:paraId="48ACA738" w14:textId="77777777">
        <w:trPr>
          <w:tblHeader/>
        </w:trPr>
        <w:tc>
          <w:tcPr>
            <w:tcW w:w="793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10F961E5" w14:textId="77777777">
            <w:pPr>
              <w:pStyle w:val="tablebody"/>
              <w:rPr>
                <w:b/>
              </w:rPr>
            </w:pPr>
            <w:r w:rsidRPr="0009545B">
              <w:rPr>
                <w:b/>
              </w:rPr>
              <w:t>Comprehensive Operating Statement</w:t>
            </w: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4A2D5898" w14:textId="77777777">
            <w:pPr>
              <w:pStyle w:val="tablebody"/>
              <w:jc w:val="right"/>
              <w:rPr>
                <w:b/>
              </w:rPr>
            </w:pPr>
            <w:r w:rsidRPr="0009545B">
              <w:rPr>
                <w:b/>
              </w:rPr>
              <w:t xml:space="preserve">Impact to balance as at </w:t>
            </w:r>
            <w:r w:rsidRPr="0009545B">
              <w:rPr>
                <w:b/>
              </w:rPr>
              <w:br/>
              <w:t>30 June 2018</w:t>
            </w:r>
          </w:p>
        </w:tc>
      </w:tr>
      <w:tr w:rsidRPr="0009545B" w:rsidR="0009545B" w:rsidTr="0009545B" w14:paraId="63D42737" w14:textId="77777777">
        <w:tc>
          <w:tcPr>
            <w:tcW w:w="7937" w:type="dxa"/>
            <w:tcBorders>
              <w:top w:val="single" w:color="000000" w:sz="6" w:space="0"/>
              <w:left w:val="nil"/>
              <w:bottom w:val="nil"/>
              <w:right w:val="nil"/>
            </w:tcBorders>
            <w:tcMar>
              <w:top w:w="28" w:type="dxa"/>
              <w:left w:w="0" w:type="dxa"/>
              <w:bottom w:w="57" w:type="dxa"/>
              <w:right w:w="0" w:type="dxa"/>
            </w:tcMar>
            <w:vAlign w:val="bottom"/>
          </w:tcPr>
          <w:p w:rsidRPr="0009545B" w:rsidR="0009545B" w:rsidP="0009545B" w:rsidRDefault="0009545B" w14:paraId="2297EDAE" w14:textId="77777777">
            <w:pPr>
              <w:pStyle w:val="tablebody"/>
              <w:rPr>
                <w:b/>
              </w:rPr>
            </w:pPr>
            <w:r w:rsidRPr="0009545B">
              <w:rPr>
                <w:b/>
              </w:rPr>
              <w:t>Other economic flows included in net result</w:t>
            </w:r>
          </w:p>
        </w:tc>
        <w:tc>
          <w:tcPr>
            <w:tcW w:w="1984" w:type="dxa"/>
            <w:tcBorders>
              <w:top w:val="single" w:color="000000" w:sz="6" w:space="0"/>
              <w:left w:val="nil"/>
              <w:bottom w:val="nil"/>
              <w:right w:val="nil"/>
            </w:tcBorders>
            <w:tcMar>
              <w:top w:w="28" w:type="dxa"/>
              <w:left w:w="0" w:type="dxa"/>
              <w:bottom w:w="57" w:type="dxa"/>
              <w:right w:w="0" w:type="dxa"/>
            </w:tcMar>
            <w:vAlign w:val="bottom"/>
          </w:tcPr>
          <w:p w:rsidRPr="0009545B" w:rsidR="0009545B" w:rsidP="0009545B" w:rsidRDefault="0009545B" w14:paraId="3985F9FD" w14:textId="77777777">
            <w:pPr>
              <w:pStyle w:val="tablebody"/>
              <w:jc w:val="right"/>
              <w:rPr>
                <w:b/>
              </w:rPr>
            </w:pPr>
          </w:p>
        </w:tc>
      </w:tr>
      <w:tr w:rsidRPr="0009545B" w:rsidR="0009545B" w:rsidTr="0009545B" w14:paraId="582707E7" w14:textId="77777777">
        <w:tc>
          <w:tcPr>
            <w:tcW w:w="7937" w:type="dxa"/>
            <w:tcBorders>
              <w:top w:val="nil"/>
              <w:left w:val="nil"/>
              <w:bottom w:val="single" w:color="000000" w:sz="6" w:space="0"/>
              <w:right w:val="nil"/>
            </w:tcBorders>
            <w:tcMar>
              <w:top w:w="28" w:type="dxa"/>
              <w:left w:w="283" w:type="dxa"/>
              <w:bottom w:w="57" w:type="dxa"/>
              <w:right w:w="0" w:type="dxa"/>
            </w:tcMar>
            <w:vAlign w:val="bottom"/>
          </w:tcPr>
          <w:p w:rsidRPr="0009545B" w:rsidR="0009545B" w:rsidP="0009545B" w:rsidRDefault="0009545B" w14:paraId="5CF14DAF" w14:textId="77777777">
            <w:pPr>
              <w:pStyle w:val="tablebody"/>
            </w:pPr>
            <w:r w:rsidRPr="0009545B">
              <w:t>Net gain/(loss) on financial instruments</w:t>
            </w:r>
          </w:p>
        </w:tc>
        <w:tc>
          <w:tcPr>
            <w:tcW w:w="1984" w:type="dxa"/>
            <w:tcBorders>
              <w:top w:val="nil"/>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303E1136" w14:textId="77777777">
            <w:pPr>
              <w:pStyle w:val="tablebody"/>
              <w:jc w:val="right"/>
            </w:pPr>
            <w:r w:rsidRPr="0009545B">
              <w:t xml:space="preserve">(1,111) </w:t>
            </w:r>
          </w:p>
        </w:tc>
      </w:tr>
      <w:tr w:rsidRPr="0009545B" w:rsidR="0009545B" w:rsidTr="0009545B" w14:paraId="5470EEDA" w14:textId="77777777">
        <w:tc>
          <w:tcPr>
            <w:tcW w:w="793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6C67071A" w14:textId="77777777">
            <w:pPr>
              <w:pStyle w:val="tablebody"/>
              <w:rPr>
                <w:b/>
              </w:rPr>
            </w:pPr>
            <w:r w:rsidRPr="0009545B">
              <w:rPr>
                <w:b/>
              </w:rPr>
              <w:t>Total other economic flows included in net result</w:t>
            </w: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478856A6" w14:textId="77777777">
            <w:pPr>
              <w:pStyle w:val="tablebody"/>
              <w:jc w:val="right"/>
              <w:rPr>
                <w:b/>
              </w:rPr>
            </w:pPr>
            <w:r w:rsidRPr="0009545B">
              <w:rPr>
                <w:b/>
              </w:rPr>
              <w:t xml:space="preserve">(1,111) </w:t>
            </w:r>
          </w:p>
        </w:tc>
      </w:tr>
      <w:tr w:rsidRPr="0009545B" w:rsidR="0009545B" w:rsidTr="0009545B" w14:paraId="67C7232D" w14:textId="77777777">
        <w:tc>
          <w:tcPr>
            <w:tcW w:w="793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0B880527" w14:textId="77777777">
            <w:pPr>
              <w:pStyle w:val="tablebody"/>
              <w:rPr>
                <w:b/>
              </w:rPr>
            </w:pPr>
            <w:r w:rsidRPr="0009545B">
              <w:rPr>
                <w:b/>
              </w:rPr>
              <w:t>Net result</w:t>
            </w: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7C3A687B" w14:textId="77777777">
            <w:pPr>
              <w:pStyle w:val="tablebody"/>
              <w:jc w:val="right"/>
              <w:rPr>
                <w:b/>
              </w:rPr>
            </w:pPr>
            <w:r w:rsidRPr="0009545B">
              <w:rPr>
                <w:b/>
              </w:rPr>
              <w:t xml:space="preserve">(1,111) </w:t>
            </w:r>
          </w:p>
        </w:tc>
      </w:tr>
      <w:tr w:rsidRPr="0009545B" w:rsidR="0009545B" w:rsidTr="0009545B" w14:paraId="7DA540B4" w14:textId="77777777">
        <w:tc>
          <w:tcPr>
            <w:tcW w:w="7937"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5D9D7626" w14:textId="77777777">
            <w:pPr>
              <w:pStyle w:val="tablebody"/>
              <w:rPr>
                <w:b/>
              </w:rPr>
            </w:pPr>
            <w:r w:rsidRPr="0009545B">
              <w:rPr>
                <w:b/>
              </w:rPr>
              <w:t>Comprehensive result</w:t>
            </w:r>
          </w:p>
        </w:tc>
        <w:tc>
          <w:tcPr>
            <w:tcW w:w="1984"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09545B" w:rsidR="0009545B" w:rsidP="0009545B" w:rsidRDefault="0009545B" w14:paraId="7CCA72DB" w14:textId="77777777">
            <w:pPr>
              <w:pStyle w:val="tablebody"/>
              <w:jc w:val="right"/>
              <w:rPr>
                <w:b/>
              </w:rPr>
            </w:pPr>
            <w:r w:rsidRPr="0009545B">
              <w:rPr>
                <w:b/>
              </w:rPr>
              <w:t xml:space="preserve">(1,111) </w:t>
            </w:r>
          </w:p>
        </w:tc>
      </w:tr>
    </w:tbl>
    <w:p w:rsidRPr="0009545B" w:rsidR="0009545B" w:rsidP="0009545B" w:rsidRDefault="0009545B" w14:paraId="47B0310D" w14:textId="77777777"/>
    <w:p w:rsidR="00264095" w:rsidRDefault="00264095" w14:paraId="66411E8A" w14:textId="77777777">
      <w:pPr>
        <w:spacing w:after="0"/>
      </w:pPr>
      <w:r>
        <w:br w:type="page"/>
      </w:r>
    </w:p>
    <w:p w:rsidRPr="0009545B" w:rsidR="0009545B" w:rsidP="0009545B" w:rsidRDefault="0009545B" w14:paraId="0EC6B58E" w14:textId="6B3D746A">
      <w:r w:rsidRPr="0009545B">
        <w:lastRenderedPageBreak/>
        <w:t>The impacts on the Balance Sheet are illustrated with the following reconciliation between the carrying amounts under AASB 139 as at 30 June 2018 and the balances reported under AASB 9 as at 1 July 2018.</w:t>
      </w:r>
    </w:p>
    <w:tbl>
      <w:tblPr>
        <w:tblW w:w="0" w:type="auto"/>
        <w:tblLayout w:type="fixed"/>
        <w:tblCellMar>
          <w:left w:w="0" w:type="dxa"/>
          <w:right w:w="0" w:type="dxa"/>
        </w:tblCellMar>
        <w:tblLook w:firstRow="1" w:lastRow="0" w:firstColumn="0" w:lastColumn="0" w:noHBand="0" w:noVBand="0" w:val="0020"/>
      </w:tblPr>
      <w:tblGrid>
        <w:gridCol w:w="4820"/>
        <w:gridCol w:w="1134"/>
        <w:gridCol w:w="1417"/>
        <w:gridCol w:w="1418"/>
        <w:gridCol w:w="1132"/>
      </w:tblGrid>
      <w:tr w:rsidRPr="00264095" w:rsidR="0009545B" w:rsidTr="00A95E9D" w14:paraId="1A993566" w14:textId="77777777">
        <w:trPr>
          <w:tblHeader/>
        </w:trPr>
        <w:tc>
          <w:tcPr>
            <w:tcW w:w="4820" w:type="dxa"/>
            <w:tcBorders>
              <w:top w:val="nil"/>
              <w:left w:val="nil"/>
              <w:bottom w:val="single" w:color="000000" w:sz="6" w:space="0"/>
              <w:right w:val="nil"/>
            </w:tcBorders>
            <w:tcMar>
              <w:top w:w="0" w:type="dxa"/>
              <w:left w:w="0" w:type="dxa"/>
              <w:bottom w:w="28" w:type="dxa"/>
              <w:right w:w="0" w:type="dxa"/>
            </w:tcMar>
            <w:vAlign w:val="bottom"/>
          </w:tcPr>
          <w:p w:rsidRPr="00264095" w:rsidR="0009545B" w:rsidP="00264095" w:rsidRDefault="0009545B" w14:paraId="782FCE57" w14:textId="77777777">
            <w:pPr>
              <w:pStyle w:val="tablebody"/>
              <w:rPr>
                <w:b/>
                <w:lang w:val="en-US"/>
              </w:rPr>
            </w:pPr>
          </w:p>
        </w:tc>
        <w:tc>
          <w:tcPr>
            <w:tcW w:w="1134" w:type="dxa"/>
            <w:tcBorders>
              <w:top w:val="nil"/>
              <w:left w:val="nil"/>
              <w:bottom w:val="single" w:color="000000" w:sz="6" w:space="0"/>
              <w:right w:val="nil"/>
            </w:tcBorders>
            <w:tcMar>
              <w:top w:w="0" w:type="dxa"/>
              <w:left w:w="0" w:type="dxa"/>
              <w:bottom w:w="28" w:type="dxa"/>
              <w:right w:w="0" w:type="dxa"/>
            </w:tcMar>
            <w:vAlign w:val="bottom"/>
          </w:tcPr>
          <w:p w:rsidRPr="00264095" w:rsidR="0009545B" w:rsidP="00264095" w:rsidRDefault="0009545B" w14:paraId="5D0BE3ED" w14:textId="77777777">
            <w:pPr>
              <w:pStyle w:val="tablebody"/>
              <w:jc w:val="right"/>
              <w:rPr>
                <w:b/>
                <w:lang w:val="en-US"/>
              </w:rPr>
            </w:pPr>
          </w:p>
        </w:tc>
        <w:tc>
          <w:tcPr>
            <w:tcW w:w="1417" w:type="dxa"/>
            <w:tcBorders>
              <w:top w:val="nil"/>
              <w:left w:val="nil"/>
              <w:bottom w:val="single" w:color="000000" w:sz="6" w:space="0"/>
              <w:right w:val="nil"/>
            </w:tcBorders>
            <w:tcMar>
              <w:top w:w="0" w:type="dxa"/>
              <w:left w:w="0" w:type="dxa"/>
              <w:bottom w:w="28" w:type="dxa"/>
              <w:right w:w="0" w:type="dxa"/>
            </w:tcMar>
            <w:vAlign w:val="bottom"/>
          </w:tcPr>
          <w:p w:rsidRPr="00264095" w:rsidR="0009545B" w:rsidP="00264095" w:rsidRDefault="0009545B" w14:paraId="2C33F2E9" w14:textId="77777777">
            <w:pPr>
              <w:pStyle w:val="tablebody"/>
              <w:jc w:val="right"/>
              <w:rPr>
                <w:b/>
                <w:lang w:val="en-US"/>
              </w:rPr>
            </w:pPr>
          </w:p>
        </w:tc>
        <w:tc>
          <w:tcPr>
            <w:tcW w:w="1418" w:type="dxa"/>
            <w:tcBorders>
              <w:top w:val="nil"/>
              <w:left w:val="nil"/>
              <w:bottom w:val="single" w:color="000000" w:sz="6" w:space="0"/>
              <w:right w:val="nil"/>
            </w:tcBorders>
            <w:tcMar>
              <w:top w:w="0" w:type="dxa"/>
              <w:left w:w="0" w:type="dxa"/>
              <w:bottom w:w="28" w:type="dxa"/>
              <w:right w:w="0" w:type="dxa"/>
            </w:tcMar>
            <w:vAlign w:val="bottom"/>
          </w:tcPr>
          <w:p w:rsidRPr="00264095" w:rsidR="0009545B" w:rsidP="00264095" w:rsidRDefault="0009545B" w14:paraId="5FFA9921" w14:textId="77777777">
            <w:pPr>
              <w:pStyle w:val="tablebody"/>
              <w:jc w:val="right"/>
              <w:rPr>
                <w:b/>
                <w:lang w:val="en-US"/>
              </w:rPr>
            </w:pPr>
          </w:p>
        </w:tc>
        <w:tc>
          <w:tcPr>
            <w:tcW w:w="1132" w:type="dxa"/>
            <w:tcBorders>
              <w:top w:val="nil"/>
              <w:left w:val="nil"/>
              <w:bottom w:val="single" w:color="000000" w:sz="6" w:space="0"/>
              <w:right w:val="nil"/>
            </w:tcBorders>
            <w:tcMar>
              <w:top w:w="0" w:type="dxa"/>
              <w:left w:w="0" w:type="dxa"/>
              <w:bottom w:w="28" w:type="dxa"/>
              <w:right w:w="0" w:type="dxa"/>
            </w:tcMar>
            <w:vAlign w:val="bottom"/>
          </w:tcPr>
          <w:p w:rsidRPr="00264095" w:rsidR="0009545B" w:rsidP="00264095" w:rsidRDefault="0009545B" w14:paraId="2BD16194" w14:textId="77777777">
            <w:pPr>
              <w:pStyle w:val="tablebody"/>
              <w:jc w:val="right"/>
              <w:rPr>
                <w:b/>
              </w:rPr>
            </w:pPr>
            <w:r w:rsidRPr="00264095">
              <w:rPr>
                <w:b/>
              </w:rPr>
              <w:t>($ thousand)</w:t>
            </w:r>
          </w:p>
        </w:tc>
      </w:tr>
      <w:tr w:rsidRPr="00264095" w:rsidR="0009545B" w:rsidTr="00A95E9D" w14:paraId="1A0C4877" w14:textId="77777777">
        <w:trPr>
          <w:tblHeader/>
        </w:trPr>
        <w:tc>
          <w:tcPr>
            <w:tcW w:w="482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02A23A3D" w14:textId="77777777">
            <w:pPr>
              <w:pStyle w:val="tablebody"/>
              <w:rPr>
                <w:b/>
              </w:rPr>
            </w:pPr>
            <w:r w:rsidRPr="00264095">
              <w:rPr>
                <w:b/>
              </w:rPr>
              <w:t>Balance Sheet</w:t>
            </w:r>
          </w:p>
        </w:tc>
        <w:tc>
          <w:tcPr>
            <w:tcW w:w="1134"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24A0E1C5" w14:textId="77777777">
            <w:pPr>
              <w:pStyle w:val="tablebody"/>
              <w:jc w:val="right"/>
              <w:rPr>
                <w:b/>
              </w:rPr>
            </w:pPr>
            <w:r w:rsidRPr="00264095">
              <w:rPr>
                <w:b/>
              </w:rPr>
              <w:t xml:space="preserve">Amount as at </w:t>
            </w:r>
            <w:r w:rsidRPr="00264095">
              <w:rPr>
                <w:b/>
              </w:rPr>
              <w:br/>
              <w:t>30 June 2018</w:t>
            </w:r>
          </w:p>
        </w:tc>
        <w:tc>
          <w:tcPr>
            <w:tcW w:w="141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4B021178" w14:textId="77777777">
            <w:pPr>
              <w:pStyle w:val="tablebody"/>
              <w:jc w:val="right"/>
              <w:rPr>
                <w:b/>
              </w:rPr>
            </w:pPr>
            <w:r w:rsidRPr="00264095">
              <w:rPr>
                <w:b/>
              </w:rPr>
              <w:t>Reclassification</w:t>
            </w:r>
          </w:p>
        </w:tc>
        <w:tc>
          <w:tcPr>
            <w:tcW w:w="1418"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2964FD57" w14:textId="77777777">
            <w:pPr>
              <w:pStyle w:val="tablebody"/>
              <w:jc w:val="right"/>
              <w:rPr>
                <w:b/>
              </w:rPr>
            </w:pPr>
            <w:r w:rsidRPr="00264095">
              <w:rPr>
                <w:b/>
              </w:rPr>
              <w:t>Remeasurement</w:t>
            </w:r>
          </w:p>
        </w:tc>
        <w:tc>
          <w:tcPr>
            <w:tcW w:w="1132"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2257B6CB" w14:textId="198373DD">
            <w:pPr>
              <w:pStyle w:val="tablebody"/>
              <w:jc w:val="right"/>
              <w:rPr>
                <w:b/>
              </w:rPr>
            </w:pPr>
            <w:r w:rsidRPr="00264095">
              <w:rPr>
                <w:b/>
              </w:rPr>
              <w:t>Restated</w:t>
            </w:r>
            <w:r w:rsidR="00B63EC3">
              <w:rPr>
                <w:b/>
              </w:rPr>
              <w:br/>
            </w:r>
            <w:r w:rsidRPr="00264095">
              <w:rPr>
                <w:b/>
              </w:rPr>
              <w:t>amount as at</w:t>
            </w:r>
            <w:r w:rsidRPr="00264095">
              <w:rPr>
                <w:b/>
              </w:rPr>
              <w:br/>
              <w:t>1 July 2018</w:t>
            </w:r>
          </w:p>
        </w:tc>
      </w:tr>
      <w:tr w:rsidRPr="0009545B" w:rsidR="0009545B" w:rsidTr="00A95E9D" w14:paraId="018BC9DB" w14:textId="77777777">
        <w:tc>
          <w:tcPr>
            <w:tcW w:w="4820"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6444B1FA" w14:textId="77777777">
            <w:pPr>
              <w:pStyle w:val="tablebody"/>
            </w:pPr>
            <w:r w:rsidRPr="0009545B">
              <w:t>Loans and receivables (excluding allowance for impairment losses)</w:t>
            </w:r>
          </w:p>
        </w:tc>
        <w:tc>
          <w:tcPr>
            <w:tcW w:w="1134"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3A6CBF3A" w14:textId="77777777">
            <w:pPr>
              <w:pStyle w:val="tablebody"/>
              <w:jc w:val="right"/>
            </w:pPr>
            <w:r w:rsidRPr="0009545B">
              <w:t xml:space="preserve">133,163 </w:t>
            </w:r>
          </w:p>
        </w:tc>
        <w:tc>
          <w:tcPr>
            <w:tcW w:w="1417"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78F0F420" w14:textId="77777777">
            <w:pPr>
              <w:pStyle w:val="tablebody"/>
              <w:jc w:val="right"/>
            </w:pPr>
            <w:r w:rsidRPr="0009545B">
              <w:t xml:space="preserve">(133,163) </w:t>
            </w:r>
          </w:p>
        </w:tc>
        <w:tc>
          <w:tcPr>
            <w:tcW w:w="1418"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4ED26A95" w14:textId="77777777">
            <w:pPr>
              <w:pStyle w:val="tablebody"/>
              <w:jc w:val="right"/>
            </w:pPr>
            <w:r w:rsidRPr="0009545B">
              <w:t xml:space="preserve">0 </w:t>
            </w:r>
          </w:p>
        </w:tc>
        <w:tc>
          <w:tcPr>
            <w:tcW w:w="1132"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794FB2D0" w14:textId="77777777">
            <w:pPr>
              <w:pStyle w:val="tablebody"/>
              <w:jc w:val="right"/>
            </w:pPr>
            <w:r w:rsidRPr="0009545B">
              <w:t xml:space="preserve">0 </w:t>
            </w:r>
          </w:p>
        </w:tc>
      </w:tr>
      <w:tr w:rsidRPr="0009545B" w:rsidR="0009545B" w:rsidTr="00A95E9D" w14:paraId="3908CECC" w14:textId="77777777">
        <w:tc>
          <w:tcPr>
            <w:tcW w:w="4820"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6ACB866F" w14:textId="77777777">
            <w:pPr>
              <w:pStyle w:val="tablebody"/>
            </w:pPr>
            <w:r w:rsidRPr="0009545B">
              <w:t>Financial assets at fair value through net result</w:t>
            </w:r>
          </w:p>
        </w:tc>
        <w:tc>
          <w:tcPr>
            <w:tcW w:w="1134"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1CF15327" w14:textId="77777777">
            <w:pPr>
              <w:pStyle w:val="tablebody"/>
              <w:jc w:val="right"/>
            </w:pPr>
            <w:r w:rsidRPr="0009545B">
              <w:t xml:space="preserve">222,049 </w:t>
            </w:r>
          </w:p>
        </w:tc>
        <w:tc>
          <w:tcPr>
            <w:tcW w:w="1417"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710FC3BA" w14:textId="77777777">
            <w:pPr>
              <w:pStyle w:val="tablebody"/>
              <w:jc w:val="right"/>
            </w:pPr>
            <w:r w:rsidRPr="0009545B">
              <w:t xml:space="preserve">0 </w:t>
            </w:r>
          </w:p>
        </w:tc>
        <w:tc>
          <w:tcPr>
            <w:tcW w:w="1418"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04D49822" w14:textId="77777777">
            <w:pPr>
              <w:pStyle w:val="tablebody"/>
              <w:jc w:val="right"/>
            </w:pPr>
            <w:r w:rsidRPr="0009545B">
              <w:t xml:space="preserve">0 </w:t>
            </w:r>
          </w:p>
        </w:tc>
        <w:tc>
          <w:tcPr>
            <w:tcW w:w="1132"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6ADCF0A5" w14:textId="77777777">
            <w:pPr>
              <w:pStyle w:val="tablebody"/>
              <w:jc w:val="right"/>
            </w:pPr>
            <w:r w:rsidRPr="0009545B">
              <w:t xml:space="preserve">222,049 </w:t>
            </w:r>
          </w:p>
        </w:tc>
      </w:tr>
      <w:tr w:rsidRPr="0009545B" w:rsidR="0009545B" w:rsidTr="00A95E9D" w14:paraId="315F834C" w14:textId="77777777">
        <w:tc>
          <w:tcPr>
            <w:tcW w:w="4820"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21F22E78" w14:textId="77777777">
            <w:pPr>
              <w:pStyle w:val="tablebody"/>
            </w:pPr>
            <w:r w:rsidRPr="0009545B">
              <w:t>Financial assets at amortised cost</w:t>
            </w:r>
          </w:p>
        </w:tc>
        <w:tc>
          <w:tcPr>
            <w:tcW w:w="1134"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62ED7A92" w14:textId="77777777">
            <w:pPr>
              <w:pStyle w:val="tablebody"/>
              <w:jc w:val="right"/>
            </w:pPr>
            <w:r w:rsidRPr="0009545B">
              <w:t xml:space="preserve">0 </w:t>
            </w:r>
          </w:p>
        </w:tc>
        <w:tc>
          <w:tcPr>
            <w:tcW w:w="1417"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4B843018" w14:textId="77777777">
            <w:pPr>
              <w:pStyle w:val="tablebody"/>
              <w:jc w:val="right"/>
            </w:pPr>
            <w:r w:rsidRPr="0009545B">
              <w:t xml:space="preserve">133,163 </w:t>
            </w:r>
          </w:p>
        </w:tc>
        <w:tc>
          <w:tcPr>
            <w:tcW w:w="1418"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2935E8A1" w14:textId="77777777">
            <w:pPr>
              <w:pStyle w:val="tablebody"/>
              <w:jc w:val="right"/>
            </w:pPr>
            <w:r w:rsidRPr="0009545B">
              <w:t xml:space="preserve">0 </w:t>
            </w:r>
          </w:p>
        </w:tc>
        <w:tc>
          <w:tcPr>
            <w:tcW w:w="1132" w:type="dxa"/>
            <w:tcBorders>
              <w:top w:val="nil"/>
              <w:left w:val="nil"/>
              <w:bottom w:val="nil"/>
              <w:right w:val="nil"/>
            </w:tcBorders>
            <w:tcMar>
              <w:top w:w="0" w:type="dxa"/>
              <w:left w:w="0" w:type="dxa"/>
              <w:bottom w:w="28" w:type="dxa"/>
              <w:right w:w="0" w:type="dxa"/>
            </w:tcMar>
            <w:vAlign w:val="bottom"/>
          </w:tcPr>
          <w:p w:rsidRPr="0009545B" w:rsidR="0009545B" w:rsidP="00264095" w:rsidRDefault="0009545B" w14:paraId="142A2F26" w14:textId="77777777">
            <w:pPr>
              <w:pStyle w:val="tablebody"/>
              <w:jc w:val="right"/>
            </w:pPr>
            <w:r w:rsidRPr="0009545B">
              <w:t xml:space="preserve">133,163 </w:t>
            </w:r>
          </w:p>
        </w:tc>
      </w:tr>
      <w:tr w:rsidRPr="0009545B" w:rsidR="0009545B" w:rsidTr="00A95E9D" w14:paraId="1A329DFC" w14:textId="77777777">
        <w:tc>
          <w:tcPr>
            <w:tcW w:w="4820"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383CC0D1" w14:textId="77777777">
            <w:pPr>
              <w:pStyle w:val="tablebody"/>
            </w:pPr>
            <w:r w:rsidRPr="0009545B">
              <w:t>Allowance for impairment losses</w:t>
            </w:r>
          </w:p>
        </w:tc>
        <w:tc>
          <w:tcPr>
            <w:tcW w:w="1134"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0DBDF356" w14:textId="77777777">
            <w:pPr>
              <w:pStyle w:val="tablebody"/>
              <w:jc w:val="right"/>
            </w:pPr>
            <w:r w:rsidRPr="0009545B">
              <w:t xml:space="preserve">(771) </w:t>
            </w:r>
          </w:p>
        </w:tc>
        <w:tc>
          <w:tcPr>
            <w:tcW w:w="1417"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4B2CE2D0" w14:textId="77777777">
            <w:pPr>
              <w:pStyle w:val="tablebody"/>
              <w:jc w:val="right"/>
            </w:pPr>
            <w:r w:rsidRPr="0009545B">
              <w:t xml:space="preserve">0 </w:t>
            </w:r>
          </w:p>
        </w:tc>
        <w:tc>
          <w:tcPr>
            <w:tcW w:w="1418"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140624B9" w14:textId="77777777">
            <w:pPr>
              <w:pStyle w:val="tablebody"/>
              <w:jc w:val="right"/>
            </w:pPr>
            <w:r w:rsidRPr="0009545B">
              <w:t xml:space="preserve">(1,111) </w:t>
            </w:r>
          </w:p>
        </w:tc>
        <w:tc>
          <w:tcPr>
            <w:tcW w:w="1132"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4ABB9AE8" w14:textId="77777777">
            <w:pPr>
              <w:pStyle w:val="tablebody"/>
              <w:jc w:val="right"/>
            </w:pPr>
            <w:r w:rsidRPr="0009545B">
              <w:t xml:space="preserve">(1,882) </w:t>
            </w:r>
          </w:p>
        </w:tc>
      </w:tr>
      <w:tr w:rsidRPr="00B63EC3" w:rsidR="0009545B" w:rsidTr="00A95E9D" w14:paraId="55F627D9" w14:textId="77777777">
        <w:tc>
          <w:tcPr>
            <w:tcW w:w="482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22E38F03" w14:textId="77777777">
            <w:pPr>
              <w:pStyle w:val="tablebody"/>
              <w:rPr>
                <w:b/>
              </w:rPr>
            </w:pPr>
            <w:r w:rsidRPr="00B63EC3">
              <w:rPr>
                <w:b/>
              </w:rPr>
              <w:t>Total financial assets</w:t>
            </w:r>
            <w:r w:rsidRPr="00B63EC3">
              <w:rPr>
                <w:b/>
                <w:vertAlign w:val="superscript"/>
              </w:rPr>
              <w:t xml:space="preserve"> (i)</w:t>
            </w:r>
          </w:p>
        </w:tc>
        <w:tc>
          <w:tcPr>
            <w:tcW w:w="1134"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0EF21DFD" w14:textId="77777777">
            <w:pPr>
              <w:pStyle w:val="tablebody"/>
              <w:jc w:val="right"/>
              <w:rPr>
                <w:b/>
              </w:rPr>
            </w:pPr>
            <w:r w:rsidRPr="00B63EC3">
              <w:rPr>
                <w:b/>
              </w:rPr>
              <w:t xml:space="preserve">354,441 </w:t>
            </w:r>
          </w:p>
        </w:tc>
        <w:tc>
          <w:tcPr>
            <w:tcW w:w="141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797539B7" w14:textId="77777777">
            <w:pPr>
              <w:pStyle w:val="tablebody"/>
              <w:jc w:val="right"/>
              <w:rPr>
                <w:b/>
              </w:rPr>
            </w:pPr>
            <w:r w:rsidRPr="00B63EC3">
              <w:rPr>
                <w:b/>
              </w:rPr>
              <w:t xml:space="preserve">0 </w:t>
            </w:r>
          </w:p>
        </w:tc>
        <w:tc>
          <w:tcPr>
            <w:tcW w:w="1418"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21341446" w14:textId="77777777">
            <w:pPr>
              <w:pStyle w:val="tablebody"/>
              <w:jc w:val="right"/>
              <w:rPr>
                <w:b/>
              </w:rPr>
            </w:pPr>
            <w:r w:rsidRPr="00B63EC3">
              <w:rPr>
                <w:b/>
              </w:rPr>
              <w:t xml:space="preserve">(1,111) </w:t>
            </w:r>
          </w:p>
        </w:tc>
        <w:tc>
          <w:tcPr>
            <w:tcW w:w="1132"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65FA7F65" w14:textId="77777777">
            <w:pPr>
              <w:pStyle w:val="tablebody"/>
              <w:jc w:val="right"/>
              <w:rPr>
                <w:b/>
              </w:rPr>
            </w:pPr>
            <w:r w:rsidRPr="00B63EC3">
              <w:rPr>
                <w:b/>
              </w:rPr>
              <w:t xml:space="preserve">353,330 </w:t>
            </w:r>
          </w:p>
        </w:tc>
      </w:tr>
      <w:tr w:rsidRPr="00B63EC3" w:rsidR="0009545B" w:rsidTr="00A95E9D" w14:paraId="2A21EDAC" w14:textId="77777777">
        <w:tc>
          <w:tcPr>
            <w:tcW w:w="482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5F6387B9" w14:textId="77777777">
            <w:pPr>
              <w:pStyle w:val="tablebody"/>
              <w:rPr>
                <w:b/>
              </w:rPr>
            </w:pPr>
            <w:r w:rsidRPr="00B63EC3">
              <w:rPr>
                <w:b/>
              </w:rPr>
              <w:t xml:space="preserve">Total financial liabilities </w:t>
            </w:r>
            <w:r w:rsidRPr="00B63EC3">
              <w:rPr>
                <w:b/>
                <w:vertAlign w:val="superscript"/>
              </w:rPr>
              <w:t>(i)</w:t>
            </w:r>
          </w:p>
        </w:tc>
        <w:tc>
          <w:tcPr>
            <w:tcW w:w="1134"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085AA086" w14:textId="77777777">
            <w:pPr>
              <w:pStyle w:val="tablebody"/>
              <w:jc w:val="right"/>
              <w:rPr>
                <w:b/>
              </w:rPr>
            </w:pPr>
            <w:r w:rsidRPr="00B63EC3">
              <w:rPr>
                <w:b/>
              </w:rPr>
              <w:t xml:space="preserve">987,759 </w:t>
            </w:r>
          </w:p>
        </w:tc>
        <w:tc>
          <w:tcPr>
            <w:tcW w:w="141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17CCDFC4" w14:textId="77777777">
            <w:pPr>
              <w:pStyle w:val="tablebody"/>
              <w:jc w:val="right"/>
              <w:rPr>
                <w:b/>
              </w:rPr>
            </w:pPr>
            <w:r w:rsidRPr="00B63EC3">
              <w:rPr>
                <w:b/>
              </w:rPr>
              <w:t xml:space="preserve">0 </w:t>
            </w:r>
          </w:p>
        </w:tc>
        <w:tc>
          <w:tcPr>
            <w:tcW w:w="1418"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29B126B0" w14:textId="77777777">
            <w:pPr>
              <w:pStyle w:val="tablebody"/>
              <w:jc w:val="right"/>
              <w:rPr>
                <w:b/>
              </w:rPr>
            </w:pPr>
            <w:r w:rsidRPr="00B63EC3">
              <w:rPr>
                <w:b/>
              </w:rPr>
              <w:t xml:space="preserve">0 </w:t>
            </w:r>
          </w:p>
        </w:tc>
        <w:tc>
          <w:tcPr>
            <w:tcW w:w="1132"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B63EC3" w:rsidR="0009545B" w:rsidP="00264095" w:rsidRDefault="0009545B" w14:paraId="0C260887" w14:textId="77777777">
            <w:pPr>
              <w:pStyle w:val="tablebody"/>
              <w:jc w:val="right"/>
              <w:rPr>
                <w:b/>
              </w:rPr>
            </w:pPr>
            <w:r w:rsidRPr="00B63EC3">
              <w:rPr>
                <w:b/>
              </w:rPr>
              <w:t xml:space="preserve">987,759 </w:t>
            </w:r>
          </w:p>
        </w:tc>
      </w:tr>
      <w:tr w:rsidRPr="0009545B" w:rsidR="0009545B" w:rsidTr="00A95E9D" w14:paraId="4D2A9B5E" w14:textId="77777777">
        <w:tc>
          <w:tcPr>
            <w:tcW w:w="4820"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72A7B606" w14:textId="77777777">
            <w:pPr>
              <w:pStyle w:val="tablebody"/>
            </w:pPr>
            <w:r w:rsidRPr="0009545B">
              <w:t>Accumulated surplus/(deficit)</w:t>
            </w:r>
          </w:p>
        </w:tc>
        <w:tc>
          <w:tcPr>
            <w:tcW w:w="1134"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26FEFC84" w14:textId="77777777">
            <w:pPr>
              <w:pStyle w:val="tablebody"/>
              <w:jc w:val="right"/>
            </w:pPr>
            <w:r w:rsidRPr="0009545B">
              <w:t xml:space="preserve">1,114,608 </w:t>
            </w:r>
          </w:p>
        </w:tc>
        <w:tc>
          <w:tcPr>
            <w:tcW w:w="1417"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1F2A2301" w14:textId="77777777">
            <w:pPr>
              <w:pStyle w:val="tablebody"/>
              <w:jc w:val="right"/>
            </w:pPr>
            <w:r w:rsidRPr="0009545B">
              <w:t xml:space="preserve">0 </w:t>
            </w:r>
          </w:p>
        </w:tc>
        <w:tc>
          <w:tcPr>
            <w:tcW w:w="1418"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2E8DA90B" w14:textId="77777777">
            <w:pPr>
              <w:pStyle w:val="tablebody"/>
              <w:jc w:val="right"/>
            </w:pPr>
            <w:r w:rsidRPr="0009545B">
              <w:t xml:space="preserve">(1,111) </w:t>
            </w:r>
          </w:p>
        </w:tc>
        <w:tc>
          <w:tcPr>
            <w:tcW w:w="1132" w:type="dxa"/>
            <w:tcBorders>
              <w:top w:val="single" w:color="000000" w:sz="6" w:space="0"/>
              <w:left w:val="nil"/>
              <w:bottom w:val="nil"/>
              <w:right w:val="nil"/>
            </w:tcBorders>
            <w:tcMar>
              <w:top w:w="28" w:type="dxa"/>
              <w:left w:w="0" w:type="dxa"/>
              <w:bottom w:w="28" w:type="dxa"/>
              <w:right w:w="0" w:type="dxa"/>
            </w:tcMar>
            <w:vAlign w:val="bottom"/>
          </w:tcPr>
          <w:p w:rsidRPr="0009545B" w:rsidR="0009545B" w:rsidP="00264095" w:rsidRDefault="0009545B" w14:paraId="0B9AD002" w14:textId="77777777">
            <w:pPr>
              <w:pStyle w:val="tablebody"/>
              <w:jc w:val="right"/>
            </w:pPr>
            <w:r w:rsidRPr="0009545B">
              <w:t xml:space="preserve">1,113,497 </w:t>
            </w:r>
          </w:p>
        </w:tc>
      </w:tr>
      <w:tr w:rsidRPr="0009545B" w:rsidR="0009545B" w:rsidTr="00A95E9D" w14:paraId="4ED5D4BE" w14:textId="77777777">
        <w:tc>
          <w:tcPr>
            <w:tcW w:w="4820"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7697394A" w14:textId="77777777">
            <w:pPr>
              <w:pStyle w:val="tablebody"/>
            </w:pPr>
            <w:r w:rsidRPr="0009545B">
              <w:t>Other items in equity</w:t>
            </w:r>
          </w:p>
        </w:tc>
        <w:tc>
          <w:tcPr>
            <w:tcW w:w="1134"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227DCB6A" w14:textId="77777777">
            <w:pPr>
              <w:pStyle w:val="tablebody"/>
              <w:jc w:val="right"/>
            </w:pPr>
            <w:r w:rsidRPr="0009545B">
              <w:t xml:space="preserve">1,940,892 </w:t>
            </w:r>
          </w:p>
        </w:tc>
        <w:tc>
          <w:tcPr>
            <w:tcW w:w="1417"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4EF15AFA" w14:textId="77777777">
            <w:pPr>
              <w:pStyle w:val="tablebody"/>
              <w:jc w:val="right"/>
            </w:pPr>
            <w:r w:rsidRPr="0009545B">
              <w:t xml:space="preserve">0 </w:t>
            </w:r>
          </w:p>
        </w:tc>
        <w:tc>
          <w:tcPr>
            <w:tcW w:w="1418"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1C3C0EE0" w14:textId="77777777">
            <w:pPr>
              <w:pStyle w:val="tablebody"/>
              <w:jc w:val="right"/>
            </w:pPr>
            <w:r w:rsidRPr="0009545B">
              <w:t xml:space="preserve">0 </w:t>
            </w:r>
          </w:p>
        </w:tc>
        <w:tc>
          <w:tcPr>
            <w:tcW w:w="1132" w:type="dxa"/>
            <w:tcBorders>
              <w:top w:val="nil"/>
              <w:left w:val="nil"/>
              <w:bottom w:val="single" w:color="000000" w:sz="6" w:space="0"/>
              <w:right w:val="nil"/>
            </w:tcBorders>
            <w:tcMar>
              <w:top w:w="0" w:type="dxa"/>
              <w:left w:w="0" w:type="dxa"/>
              <w:bottom w:w="28" w:type="dxa"/>
              <w:right w:w="0" w:type="dxa"/>
            </w:tcMar>
            <w:vAlign w:val="bottom"/>
          </w:tcPr>
          <w:p w:rsidRPr="0009545B" w:rsidR="0009545B" w:rsidP="00264095" w:rsidRDefault="0009545B" w14:paraId="471369FC" w14:textId="77777777">
            <w:pPr>
              <w:pStyle w:val="tablebody"/>
              <w:jc w:val="right"/>
            </w:pPr>
            <w:r w:rsidRPr="0009545B">
              <w:t xml:space="preserve">1,940,892 </w:t>
            </w:r>
          </w:p>
        </w:tc>
      </w:tr>
      <w:tr w:rsidRPr="00264095" w:rsidR="0009545B" w:rsidTr="00A95E9D" w14:paraId="3F86FA29" w14:textId="77777777">
        <w:tc>
          <w:tcPr>
            <w:tcW w:w="4820"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7C4F61F3" w14:textId="77777777">
            <w:pPr>
              <w:pStyle w:val="tablebody"/>
              <w:rPr>
                <w:b/>
              </w:rPr>
            </w:pPr>
            <w:r w:rsidRPr="00264095">
              <w:rPr>
                <w:b/>
              </w:rPr>
              <w:t>Total equity</w:t>
            </w:r>
          </w:p>
        </w:tc>
        <w:tc>
          <w:tcPr>
            <w:tcW w:w="1134"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0C6D9AD2" w14:textId="77777777">
            <w:pPr>
              <w:pStyle w:val="tablebody"/>
              <w:jc w:val="right"/>
              <w:rPr>
                <w:b/>
              </w:rPr>
            </w:pPr>
            <w:r w:rsidRPr="00264095">
              <w:rPr>
                <w:b/>
              </w:rPr>
              <w:t xml:space="preserve">3,055,500 </w:t>
            </w:r>
          </w:p>
        </w:tc>
        <w:tc>
          <w:tcPr>
            <w:tcW w:w="1417"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63D9215C" w14:textId="77777777">
            <w:pPr>
              <w:pStyle w:val="tablebody"/>
              <w:jc w:val="right"/>
              <w:rPr>
                <w:b/>
              </w:rPr>
            </w:pPr>
            <w:r w:rsidRPr="00264095">
              <w:rPr>
                <w:b/>
              </w:rPr>
              <w:t xml:space="preserve">0 </w:t>
            </w:r>
          </w:p>
        </w:tc>
        <w:tc>
          <w:tcPr>
            <w:tcW w:w="1418"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1BE1B3AB" w14:textId="77777777">
            <w:pPr>
              <w:pStyle w:val="tablebody"/>
              <w:jc w:val="right"/>
              <w:rPr>
                <w:b/>
              </w:rPr>
            </w:pPr>
            <w:r w:rsidRPr="00264095">
              <w:rPr>
                <w:b/>
              </w:rPr>
              <w:t xml:space="preserve">(1,111) </w:t>
            </w:r>
          </w:p>
        </w:tc>
        <w:tc>
          <w:tcPr>
            <w:tcW w:w="1132" w:type="dxa"/>
            <w:tcBorders>
              <w:top w:val="single" w:color="000000" w:sz="6" w:space="0"/>
              <w:left w:val="nil"/>
              <w:bottom w:val="single" w:color="000000" w:sz="6" w:space="0"/>
              <w:right w:val="nil"/>
            </w:tcBorders>
            <w:tcMar>
              <w:top w:w="28" w:type="dxa"/>
              <w:left w:w="0" w:type="dxa"/>
              <w:bottom w:w="28" w:type="dxa"/>
              <w:right w:w="0" w:type="dxa"/>
            </w:tcMar>
            <w:vAlign w:val="bottom"/>
          </w:tcPr>
          <w:p w:rsidRPr="00264095" w:rsidR="0009545B" w:rsidP="00264095" w:rsidRDefault="0009545B" w14:paraId="3CB67A84" w14:textId="77777777">
            <w:pPr>
              <w:pStyle w:val="tablebody"/>
              <w:jc w:val="right"/>
              <w:rPr>
                <w:b/>
              </w:rPr>
            </w:pPr>
            <w:r w:rsidRPr="00264095">
              <w:rPr>
                <w:b/>
              </w:rPr>
              <w:t xml:space="preserve">3,054,389 </w:t>
            </w:r>
          </w:p>
        </w:tc>
      </w:tr>
    </w:tbl>
    <w:p w:rsidRPr="00264095" w:rsidR="0009545B" w:rsidP="00264095" w:rsidRDefault="0009545B" w14:paraId="519CFEF7" w14:textId="77777777">
      <w:pPr>
        <w:pStyle w:val="notes"/>
        <w:ind w:left="284" w:hanging="284"/>
      </w:pPr>
      <w:r w:rsidRPr="00264095">
        <w:t xml:space="preserve">(i) </w:t>
      </w:r>
      <w:r w:rsidRPr="00264095">
        <w:tab/>
        <w:t>Amounts disclosed exclude statutory amounts (e.g. amounts owing from Victorian Government and GST input tax credit recoverable).</w:t>
      </w:r>
    </w:p>
    <w:p w:rsidRPr="00B63EC3" w:rsidR="00B63EC3" w:rsidP="00B63EC3" w:rsidRDefault="00B63EC3" w14:paraId="5B5D107C" w14:textId="77777777">
      <w:pPr>
        <w:pStyle w:val="Heading3"/>
      </w:pPr>
      <w:r w:rsidRPr="00B63EC3">
        <w:t>9.6 Responsible persons</w:t>
      </w:r>
    </w:p>
    <w:p w:rsidRPr="00B63EC3" w:rsidR="00B63EC3" w:rsidP="00B63EC3" w:rsidRDefault="00B63EC3" w14:paraId="1C4E4376" w14:textId="77777777">
      <w:r w:rsidRPr="00B63EC3">
        <w:t xml:space="preserve">In accordance with the Ministerial Directions issued by the Assistant Treasurer under the </w:t>
      </w:r>
      <w:r w:rsidRPr="00B63EC3">
        <w:rPr>
          <w:i/>
          <w:iCs/>
        </w:rPr>
        <w:t>Financial Management Act 1994</w:t>
      </w:r>
      <w:r w:rsidRPr="00B63EC3">
        <w:t>, the following disclosures are made regarding responsible persons for the reporting period.</w:t>
      </w:r>
    </w:p>
    <w:p w:rsidRPr="00B63EC3" w:rsidR="00B63EC3" w:rsidP="00A95E9D" w:rsidRDefault="00B63EC3" w14:paraId="017EB440" w14:textId="77777777">
      <w:pPr>
        <w:spacing w:after="60"/>
        <w:rPr>
          <w:b/>
          <w:bCs/>
        </w:rPr>
      </w:pPr>
      <w:r w:rsidRPr="00B63EC3">
        <w:rPr>
          <w:b/>
          <w:bCs/>
        </w:rPr>
        <w:t>Names</w:t>
      </w:r>
    </w:p>
    <w:p w:rsidRPr="00B63EC3" w:rsidR="00B63EC3" w:rsidP="00A95E9D" w:rsidRDefault="00B63EC3" w14:paraId="471DEA67" w14:textId="3072F74B">
      <w:pPr>
        <w:spacing w:after="60"/>
      </w:pPr>
      <w:r w:rsidRPr="00B63EC3">
        <w:t>The people who held the positions of Ministers and Accountable Officers in the department (from 1 July 2018 to 30 June 2019 unless otherwise stated) were as follows.</w:t>
      </w:r>
    </w:p>
    <w:tbl>
      <w:tblPr>
        <w:tblW w:w="10206" w:type="dxa"/>
        <w:tblLayout w:type="fixed"/>
        <w:tblCellMar>
          <w:left w:w="0" w:type="dxa"/>
          <w:right w:w="0" w:type="dxa"/>
        </w:tblCellMar>
        <w:tblLook w:firstRow="1" w:lastRow="0" w:firstColumn="0" w:lastColumn="0" w:noHBand="0" w:noVBand="0" w:val="0020"/>
      </w:tblPr>
      <w:tblGrid>
        <w:gridCol w:w="4678"/>
        <w:gridCol w:w="2268"/>
        <w:gridCol w:w="1559"/>
        <w:gridCol w:w="284"/>
        <w:gridCol w:w="1417"/>
      </w:tblGrid>
      <w:tr w:rsidRPr="00A95E9D" w:rsidR="00B63EC3" w:rsidTr="00431DF4" w14:paraId="3FF50D04" w14:textId="77777777">
        <w:trPr>
          <w:tblHeader/>
        </w:trPr>
        <w:tc>
          <w:tcPr>
            <w:tcW w:w="4678" w:type="dxa"/>
            <w:tcBorders>
              <w:top w:val="nil"/>
              <w:left w:val="nil"/>
              <w:bottom w:val="single" w:color="000000" w:sz="6" w:space="0"/>
              <w:right w:val="nil"/>
            </w:tcBorders>
            <w:tcMar>
              <w:top w:w="0" w:type="dxa"/>
              <w:left w:w="0" w:type="dxa"/>
              <w:bottom w:w="0" w:type="dxa"/>
              <w:right w:w="0" w:type="dxa"/>
            </w:tcMar>
          </w:tcPr>
          <w:p w:rsidRPr="00A95E9D" w:rsidR="00B63EC3" w:rsidP="00B63EC3" w:rsidRDefault="00B63EC3" w14:paraId="61B65825" w14:textId="77777777">
            <w:pPr>
              <w:pStyle w:val="tablebody"/>
              <w:rPr>
                <w:sz w:val="10"/>
                <w:szCs w:val="10"/>
                <w:lang w:val="en-US"/>
              </w:rPr>
            </w:pPr>
          </w:p>
        </w:tc>
        <w:tc>
          <w:tcPr>
            <w:tcW w:w="2268" w:type="dxa"/>
            <w:tcBorders>
              <w:top w:val="nil"/>
              <w:left w:val="nil"/>
              <w:bottom w:val="single" w:color="000000" w:sz="6" w:space="0"/>
              <w:right w:val="nil"/>
            </w:tcBorders>
            <w:tcMar>
              <w:top w:w="0" w:type="dxa"/>
              <w:left w:w="0" w:type="dxa"/>
              <w:bottom w:w="0" w:type="dxa"/>
              <w:right w:w="0" w:type="dxa"/>
            </w:tcMar>
          </w:tcPr>
          <w:p w:rsidRPr="00A95E9D" w:rsidR="00B63EC3" w:rsidP="00B63EC3" w:rsidRDefault="00B63EC3" w14:paraId="2B605E68" w14:textId="77777777">
            <w:pPr>
              <w:pStyle w:val="tablebody"/>
              <w:rPr>
                <w:sz w:val="10"/>
                <w:szCs w:val="10"/>
                <w:lang w:val="en-US"/>
              </w:rPr>
            </w:pPr>
          </w:p>
        </w:tc>
        <w:tc>
          <w:tcPr>
            <w:tcW w:w="1559" w:type="dxa"/>
            <w:tcBorders>
              <w:top w:val="nil"/>
              <w:left w:val="nil"/>
              <w:bottom w:val="single" w:color="000000" w:sz="6" w:space="0"/>
              <w:right w:val="nil"/>
            </w:tcBorders>
            <w:tcMar>
              <w:top w:w="0" w:type="dxa"/>
              <w:left w:w="0" w:type="dxa"/>
              <w:bottom w:w="0" w:type="dxa"/>
              <w:right w:w="0" w:type="dxa"/>
            </w:tcMar>
          </w:tcPr>
          <w:p w:rsidRPr="00A95E9D" w:rsidR="00B63EC3" w:rsidP="00B63EC3" w:rsidRDefault="00B63EC3" w14:paraId="2B1282E4" w14:textId="77777777">
            <w:pPr>
              <w:pStyle w:val="tablebody"/>
              <w:rPr>
                <w:sz w:val="10"/>
                <w:szCs w:val="10"/>
                <w:lang w:val="en-US"/>
              </w:rPr>
            </w:pPr>
          </w:p>
        </w:tc>
        <w:tc>
          <w:tcPr>
            <w:tcW w:w="284" w:type="dxa"/>
            <w:tcBorders>
              <w:top w:val="nil"/>
              <w:left w:val="nil"/>
              <w:bottom w:val="single" w:color="000000" w:sz="6" w:space="0"/>
              <w:right w:val="nil"/>
            </w:tcBorders>
            <w:tcMar>
              <w:top w:w="0" w:type="dxa"/>
              <w:left w:w="0" w:type="dxa"/>
              <w:bottom w:w="0" w:type="dxa"/>
              <w:right w:w="0" w:type="dxa"/>
            </w:tcMar>
          </w:tcPr>
          <w:p w:rsidRPr="00A95E9D" w:rsidR="00B63EC3" w:rsidP="00B63EC3" w:rsidRDefault="00B63EC3" w14:paraId="003426C5" w14:textId="77777777">
            <w:pPr>
              <w:pStyle w:val="tablebody"/>
              <w:rPr>
                <w:sz w:val="10"/>
                <w:szCs w:val="10"/>
                <w:lang w:val="en-US"/>
              </w:rPr>
            </w:pPr>
          </w:p>
        </w:tc>
        <w:tc>
          <w:tcPr>
            <w:tcW w:w="1417" w:type="dxa"/>
            <w:tcBorders>
              <w:top w:val="nil"/>
              <w:left w:val="nil"/>
              <w:bottom w:val="single" w:color="000000" w:sz="6" w:space="0"/>
              <w:right w:val="nil"/>
            </w:tcBorders>
            <w:tcMar>
              <w:top w:w="0" w:type="dxa"/>
              <w:left w:w="0" w:type="dxa"/>
              <w:bottom w:w="0" w:type="dxa"/>
              <w:right w:w="0" w:type="dxa"/>
            </w:tcMar>
          </w:tcPr>
          <w:p w:rsidRPr="00A95E9D" w:rsidR="00B63EC3" w:rsidP="00B63EC3" w:rsidRDefault="00B63EC3" w14:paraId="6BC0010C" w14:textId="77777777">
            <w:pPr>
              <w:pStyle w:val="tablebody"/>
              <w:rPr>
                <w:sz w:val="10"/>
                <w:szCs w:val="10"/>
                <w:lang w:val="en-US"/>
              </w:rPr>
            </w:pPr>
          </w:p>
        </w:tc>
      </w:tr>
      <w:tr w:rsidRPr="00B63EC3" w:rsidR="00B63EC3" w:rsidTr="00431DF4" w14:paraId="132F0A3E" w14:textId="77777777">
        <w:tc>
          <w:tcPr>
            <w:tcW w:w="4678" w:type="dxa"/>
            <w:tcBorders>
              <w:top w:val="single" w:color="000000" w:sz="6" w:space="0"/>
              <w:left w:val="nil"/>
              <w:bottom w:val="nil"/>
              <w:right w:val="nil"/>
            </w:tcBorders>
            <w:tcMar>
              <w:top w:w="28" w:type="dxa"/>
              <w:left w:w="0" w:type="dxa"/>
              <w:bottom w:w="28" w:type="dxa"/>
              <w:right w:w="0" w:type="dxa"/>
            </w:tcMar>
          </w:tcPr>
          <w:p w:rsidRPr="00B63EC3" w:rsidR="00B63EC3" w:rsidP="00B63EC3" w:rsidRDefault="00B63EC3" w14:paraId="37012AA5" w14:textId="77777777">
            <w:pPr>
              <w:pStyle w:val="tablebody"/>
              <w:rPr>
                <w:sz w:val="15"/>
                <w:szCs w:val="15"/>
              </w:rPr>
            </w:pPr>
            <w:r w:rsidRPr="00B63EC3">
              <w:rPr>
                <w:sz w:val="15"/>
                <w:szCs w:val="15"/>
              </w:rPr>
              <w:t>Attorney-General</w:t>
            </w:r>
          </w:p>
        </w:tc>
        <w:tc>
          <w:tcPr>
            <w:tcW w:w="2268" w:type="dxa"/>
            <w:tcBorders>
              <w:top w:val="single" w:color="000000" w:sz="6" w:space="0"/>
              <w:left w:val="nil"/>
              <w:bottom w:val="nil"/>
              <w:right w:val="nil"/>
            </w:tcBorders>
            <w:tcMar>
              <w:top w:w="28" w:type="dxa"/>
              <w:left w:w="0" w:type="dxa"/>
              <w:bottom w:w="28" w:type="dxa"/>
              <w:right w:w="0" w:type="dxa"/>
            </w:tcMar>
          </w:tcPr>
          <w:p w:rsidRPr="00B63EC3" w:rsidR="00B63EC3" w:rsidP="00B63EC3" w:rsidRDefault="00B63EC3" w14:paraId="42CDCDC3" w14:textId="77777777">
            <w:pPr>
              <w:pStyle w:val="tablebody"/>
              <w:rPr>
                <w:sz w:val="15"/>
                <w:szCs w:val="15"/>
              </w:rPr>
            </w:pPr>
            <w:r w:rsidRPr="00B63EC3">
              <w:rPr>
                <w:sz w:val="15"/>
                <w:szCs w:val="15"/>
              </w:rPr>
              <w:t xml:space="preserve">The Hon. Martin </w:t>
            </w:r>
            <w:proofErr w:type="spellStart"/>
            <w:r w:rsidRPr="00B63EC3">
              <w:rPr>
                <w:sz w:val="15"/>
                <w:szCs w:val="15"/>
              </w:rPr>
              <w:t>Pakula</w:t>
            </w:r>
            <w:proofErr w:type="spellEnd"/>
            <w:r w:rsidRPr="00B63EC3">
              <w:rPr>
                <w:sz w:val="15"/>
                <w:szCs w:val="15"/>
              </w:rPr>
              <w:t>, MP</w:t>
            </w:r>
          </w:p>
        </w:tc>
        <w:tc>
          <w:tcPr>
            <w:tcW w:w="1559" w:type="dxa"/>
            <w:tcBorders>
              <w:top w:val="single" w:color="000000" w:sz="6" w:space="0"/>
              <w:left w:val="nil"/>
              <w:bottom w:val="nil"/>
              <w:right w:val="nil"/>
            </w:tcBorders>
            <w:tcMar>
              <w:top w:w="28" w:type="dxa"/>
              <w:left w:w="0" w:type="dxa"/>
              <w:bottom w:w="28" w:type="dxa"/>
              <w:right w:w="0" w:type="dxa"/>
            </w:tcMar>
          </w:tcPr>
          <w:p w:rsidRPr="00B63EC3" w:rsidR="00B63EC3" w:rsidP="00B63EC3" w:rsidRDefault="00B63EC3" w14:paraId="6C5B992A" w14:textId="77777777">
            <w:pPr>
              <w:pStyle w:val="tablebody"/>
              <w:rPr>
                <w:sz w:val="15"/>
                <w:szCs w:val="15"/>
              </w:rPr>
            </w:pPr>
            <w:r w:rsidRPr="00B63EC3">
              <w:rPr>
                <w:sz w:val="15"/>
                <w:szCs w:val="15"/>
              </w:rPr>
              <w:t>1 July 2018</w:t>
            </w:r>
          </w:p>
        </w:tc>
        <w:tc>
          <w:tcPr>
            <w:tcW w:w="284" w:type="dxa"/>
            <w:tcBorders>
              <w:top w:val="single" w:color="000000" w:sz="6" w:space="0"/>
              <w:left w:val="nil"/>
              <w:bottom w:val="nil"/>
              <w:right w:val="nil"/>
            </w:tcBorders>
            <w:tcMar>
              <w:top w:w="28" w:type="dxa"/>
              <w:left w:w="0" w:type="dxa"/>
              <w:bottom w:w="28" w:type="dxa"/>
              <w:right w:w="0" w:type="dxa"/>
            </w:tcMar>
          </w:tcPr>
          <w:p w:rsidRPr="00B63EC3" w:rsidR="00B63EC3" w:rsidP="00B63EC3" w:rsidRDefault="00B63EC3" w14:paraId="110FCC9B" w14:textId="77777777">
            <w:pPr>
              <w:pStyle w:val="tablebody"/>
              <w:rPr>
                <w:sz w:val="15"/>
                <w:szCs w:val="15"/>
              </w:rPr>
            </w:pPr>
            <w:r w:rsidRPr="00B63EC3">
              <w:rPr>
                <w:sz w:val="15"/>
                <w:szCs w:val="15"/>
              </w:rPr>
              <w:t>to</w:t>
            </w:r>
          </w:p>
        </w:tc>
        <w:tc>
          <w:tcPr>
            <w:tcW w:w="1417" w:type="dxa"/>
            <w:tcBorders>
              <w:top w:val="single" w:color="000000" w:sz="6" w:space="0"/>
              <w:left w:val="nil"/>
              <w:bottom w:val="nil"/>
              <w:right w:val="nil"/>
            </w:tcBorders>
            <w:tcMar>
              <w:top w:w="28" w:type="dxa"/>
              <w:left w:w="0" w:type="dxa"/>
              <w:bottom w:w="28" w:type="dxa"/>
              <w:right w:w="0" w:type="dxa"/>
            </w:tcMar>
          </w:tcPr>
          <w:p w:rsidRPr="00B63EC3" w:rsidR="00B63EC3" w:rsidP="00B63EC3" w:rsidRDefault="00B63EC3" w14:paraId="262922F6" w14:textId="77777777">
            <w:pPr>
              <w:pStyle w:val="tablebody"/>
              <w:rPr>
                <w:sz w:val="15"/>
                <w:szCs w:val="15"/>
              </w:rPr>
            </w:pPr>
            <w:r w:rsidRPr="00B63EC3">
              <w:rPr>
                <w:sz w:val="15"/>
                <w:szCs w:val="15"/>
              </w:rPr>
              <w:t>28 November 2018</w:t>
            </w:r>
          </w:p>
        </w:tc>
      </w:tr>
      <w:tr w:rsidRPr="00B63EC3" w:rsidR="00B63EC3" w:rsidTr="00431DF4" w14:paraId="2DAF41D2" w14:textId="77777777">
        <w:tc>
          <w:tcPr>
            <w:tcW w:w="4678"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0EA89BF5" w14:textId="77777777">
            <w:pPr>
              <w:pStyle w:val="tablebody"/>
              <w:rPr>
                <w:sz w:val="15"/>
                <w:szCs w:val="15"/>
                <w:lang w:val="en-US"/>
              </w:rPr>
            </w:pPr>
          </w:p>
        </w:tc>
        <w:tc>
          <w:tcPr>
            <w:tcW w:w="2268"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7573B8A7"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737FD6C6" w14:textId="77777777">
            <w:pPr>
              <w:pStyle w:val="tablebody"/>
              <w:rPr>
                <w:sz w:val="15"/>
                <w:szCs w:val="15"/>
              </w:rPr>
            </w:pPr>
            <w:r w:rsidRPr="00B63EC3">
              <w:rPr>
                <w:sz w:val="15"/>
                <w:szCs w:val="15"/>
              </w:rPr>
              <w:t>29 November 2018</w:t>
            </w:r>
          </w:p>
        </w:tc>
        <w:tc>
          <w:tcPr>
            <w:tcW w:w="284"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0A5F70BB"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0A7460B9" w14:textId="77777777">
            <w:pPr>
              <w:pStyle w:val="tablebody"/>
              <w:rPr>
                <w:sz w:val="15"/>
                <w:szCs w:val="15"/>
              </w:rPr>
            </w:pPr>
            <w:r w:rsidRPr="00B63EC3">
              <w:rPr>
                <w:sz w:val="15"/>
                <w:szCs w:val="15"/>
              </w:rPr>
              <w:t>30 June 2019</w:t>
            </w:r>
          </w:p>
        </w:tc>
      </w:tr>
      <w:tr w:rsidRPr="00B63EC3" w:rsidR="00B63EC3" w:rsidTr="00431DF4" w14:paraId="2469DEF1"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77CDA00" w14:textId="77777777">
            <w:pPr>
              <w:pStyle w:val="tablebody"/>
              <w:rPr>
                <w:sz w:val="15"/>
                <w:szCs w:val="15"/>
              </w:rPr>
            </w:pPr>
            <w:r w:rsidRPr="00B63EC3">
              <w:rPr>
                <w:sz w:val="15"/>
                <w:szCs w:val="15"/>
              </w:rPr>
              <w:t>Acting Attorney-General</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BC3FB21" w14:textId="77777777">
            <w:pPr>
              <w:pStyle w:val="tablebody"/>
              <w:rPr>
                <w:sz w:val="15"/>
                <w:szCs w:val="15"/>
              </w:rPr>
            </w:pPr>
            <w:r w:rsidRPr="00B63EC3">
              <w:rPr>
                <w:sz w:val="15"/>
                <w:szCs w:val="15"/>
              </w:rPr>
              <w:t>The Hon. Benjamin Carroll,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886059E" w14:textId="77777777">
            <w:pPr>
              <w:pStyle w:val="tablebody"/>
              <w:rPr>
                <w:sz w:val="15"/>
                <w:szCs w:val="15"/>
              </w:rPr>
            </w:pPr>
            <w:r w:rsidRPr="00B63EC3">
              <w:rPr>
                <w:sz w:val="15"/>
                <w:szCs w:val="15"/>
              </w:rPr>
              <w:t>6 April 2019</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8925611"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0FC9194" w14:textId="77777777">
            <w:pPr>
              <w:pStyle w:val="tablebody"/>
              <w:rPr>
                <w:sz w:val="15"/>
                <w:szCs w:val="15"/>
              </w:rPr>
            </w:pPr>
            <w:r w:rsidRPr="00B63EC3">
              <w:rPr>
                <w:sz w:val="15"/>
                <w:szCs w:val="15"/>
              </w:rPr>
              <w:t>14 April 2019</w:t>
            </w:r>
          </w:p>
        </w:tc>
      </w:tr>
      <w:tr w:rsidRPr="00B63EC3" w:rsidR="00B63EC3" w:rsidTr="00431DF4" w14:paraId="1A36B2BA"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C9A86EA" w14:textId="77777777">
            <w:pPr>
              <w:pStyle w:val="tablebody"/>
              <w:rPr>
                <w:sz w:val="15"/>
                <w:szCs w:val="15"/>
              </w:rPr>
            </w:pPr>
            <w:r w:rsidRPr="00B63EC3">
              <w:rPr>
                <w:sz w:val="15"/>
                <w:szCs w:val="15"/>
              </w:rPr>
              <w:t>Minister for Consumer Affairs, Gaming and Liquor Regulation</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F367DCD" w14:textId="77777777">
            <w:pPr>
              <w:pStyle w:val="tablebody"/>
              <w:rPr>
                <w:sz w:val="15"/>
                <w:szCs w:val="15"/>
              </w:rPr>
            </w:pPr>
            <w:r w:rsidRPr="00B63EC3">
              <w:rPr>
                <w:sz w:val="15"/>
                <w:szCs w:val="15"/>
              </w:rPr>
              <w:t xml:space="preserve">The Hon. Marlene </w:t>
            </w:r>
            <w:proofErr w:type="spellStart"/>
            <w:r w:rsidRPr="00B63EC3">
              <w:rPr>
                <w:sz w:val="15"/>
                <w:szCs w:val="15"/>
              </w:rPr>
              <w:t>Kairouz</w:t>
            </w:r>
            <w:proofErr w:type="spellEnd"/>
            <w:r w:rsidRPr="00B63EC3">
              <w:rPr>
                <w:sz w:val="15"/>
                <w:szCs w:val="15"/>
              </w:rPr>
              <w:t>,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884DD32"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C2671B9"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9E5A6A4" w14:textId="77777777">
            <w:pPr>
              <w:pStyle w:val="tablebody"/>
              <w:rPr>
                <w:sz w:val="15"/>
                <w:szCs w:val="15"/>
              </w:rPr>
            </w:pPr>
            <w:r w:rsidRPr="00B63EC3">
              <w:rPr>
                <w:sz w:val="15"/>
                <w:szCs w:val="15"/>
              </w:rPr>
              <w:t>30 June 2019</w:t>
            </w:r>
          </w:p>
        </w:tc>
      </w:tr>
      <w:tr w:rsidRPr="00B63EC3" w:rsidR="00B63EC3" w:rsidTr="00431DF4" w14:paraId="10A233C8"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F73588C" w14:textId="77777777">
            <w:pPr>
              <w:pStyle w:val="tablebody"/>
              <w:rPr>
                <w:sz w:val="15"/>
                <w:szCs w:val="15"/>
              </w:rPr>
            </w:pPr>
            <w:r w:rsidRPr="00B63EC3">
              <w:rPr>
                <w:sz w:val="15"/>
                <w:szCs w:val="15"/>
              </w:rPr>
              <w:t>Acting Minister for Consumer Affairs, Gaming and Liquor Regulation</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718B792" w14:textId="77777777">
            <w:pPr>
              <w:pStyle w:val="tablebody"/>
              <w:rPr>
                <w:sz w:val="15"/>
                <w:szCs w:val="15"/>
              </w:rPr>
            </w:pPr>
            <w:r w:rsidRPr="00B63EC3">
              <w:rPr>
                <w:sz w:val="15"/>
                <w:szCs w:val="15"/>
              </w:rPr>
              <w:t>The Hon. Lisa Neville,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A47252C" w14:textId="77777777">
            <w:pPr>
              <w:pStyle w:val="tablebody"/>
              <w:rPr>
                <w:sz w:val="15"/>
                <w:szCs w:val="15"/>
              </w:rPr>
            </w:pPr>
            <w:r w:rsidRPr="00B63EC3">
              <w:rPr>
                <w:sz w:val="15"/>
                <w:szCs w:val="15"/>
              </w:rPr>
              <w:t>1 January 2019</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669C740"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30DB9EB" w14:textId="77777777">
            <w:pPr>
              <w:pStyle w:val="tablebody"/>
              <w:rPr>
                <w:sz w:val="15"/>
                <w:szCs w:val="15"/>
              </w:rPr>
            </w:pPr>
            <w:r w:rsidRPr="00B63EC3">
              <w:rPr>
                <w:sz w:val="15"/>
                <w:szCs w:val="15"/>
              </w:rPr>
              <w:t>20 January 2019</w:t>
            </w:r>
          </w:p>
        </w:tc>
      </w:tr>
      <w:tr w:rsidRPr="00B63EC3" w:rsidR="00B63EC3" w:rsidTr="00431DF4" w14:paraId="60D51D85"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39A9371B" w14:textId="77777777">
            <w:pPr>
              <w:pStyle w:val="tablebody"/>
              <w:rPr>
                <w:sz w:val="15"/>
                <w:szCs w:val="15"/>
              </w:rPr>
            </w:pPr>
            <w:r w:rsidRPr="00B63EC3">
              <w:rPr>
                <w:sz w:val="15"/>
                <w:szCs w:val="15"/>
              </w:rPr>
              <w:t>Minister for Corrections</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BB3CA2C" w14:textId="77777777">
            <w:pPr>
              <w:pStyle w:val="tablebody"/>
              <w:rPr>
                <w:sz w:val="15"/>
                <w:szCs w:val="15"/>
              </w:rPr>
            </w:pPr>
            <w:r w:rsidRPr="00B63EC3">
              <w:rPr>
                <w:sz w:val="15"/>
                <w:szCs w:val="15"/>
              </w:rPr>
              <w:t>The Hon. Gayle Tierney,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B5FB8C7" w14:textId="77777777">
            <w:pPr>
              <w:pStyle w:val="tablebody"/>
              <w:rPr>
                <w:sz w:val="15"/>
                <w:szCs w:val="15"/>
              </w:rPr>
            </w:pPr>
            <w:r w:rsidRPr="00B63EC3">
              <w:rPr>
                <w:sz w:val="15"/>
                <w:szCs w:val="15"/>
              </w:rPr>
              <w:t>1 July 2018</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12406604"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B965203" w14:textId="77777777">
            <w:pPr>
              <w:pStyle w:val="tablebody"/>
              <w:rPr>
                <w:sz w:val="15"/>
                <w:szCs w:val="15"/>
              </w:rPr>
            </w:pPr>
            <w:r w:rsidRPr="00B63EC3">
              <w:rPr>
                <w:sz w:val="15"/>
                <w:szCs w:val="15"/>
              </w:rPr>
              <w:t>28 November 2018</w:t>
            </w:r>
          </w:p>
        </w:tc>
      </w:tr>
      <w:tr w:rsidRPr="00B63EC3" w:rsidR="00B63EC3" w:rsidTr="00431DF4" w14:paraId="27580349" w14:textId="77777777">
        <w:trPr>
          <w:trHeight w:val="39"/>
        </w:trPr>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6ADA6EC0" w14:textId="77777777">
            <w:pPr>
              <w:pStyle w:val="tablebody"/>
              <w:rPr>
                <w:sz w:val="15"/>
                <w:szCs w:val="15"/>
                <w:lang w:val="en-US"/>
              </w:rPr>
            </w:pPr>
          </w:p>
        </w:tc>
        <w:tc>
          <w:tcPr>
            <w:tcW w:w="2268"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58D7AA1E" w14:textId="77777777">
            <w:pPr>
              <w:pStyle w:val="tablebody"/>
              <w:rPr>
                <w:sz w:val="15"/>
                <w:szCs w:val="15"/>
              </w:rPr>
            </w:pPr>
            <w:r w:rsidRPr="00B63EC3">
              <w:rPr>
                <w:sz w:val="15"/>
                <w:szCs w:val="15"/>
              </w:rPr>
              <w:t>The Hon. Benjamin Carroll, MP</w:t>
            </w:r>
          </w:p>
        </w:tc>
        <w:tc>
          <w:tcPr>
            <w:tcW w:w="1559"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64A6302A" w14:textId="77777777">
            <w:pPr>
              <w:pStyle w:val="tablebody"/>
              <w:rPr>
                <w:sz w:val="15"/>
                <w:szCs w:val="15"/>
              </w:rPr>
            </w:pPr>
            <w:r w:rsidRPr="00B63EC3">
              <w:rPr>
                <w:sz w:val="15"/>
                <w:szCs w:val="15"/>
              </w:rPr>
              <w:t>29 November 2018</w:t>
            </w:r>
          </w:p>
        </w:tc>
        <w:tc>
          <w:tcPr>
            <w:tcW w:w="284"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5692B158"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0" w:type="dxa"/>
              <w:left w:w="0" w:type="dxa"/>
              <w:bottom w:w="28" w:type="dxa"/>
              <w:right w:w="0" w:type="dxa"/>
            </w:tcMar>
          </w:tcPr>
          <w:p w:rsidRPr="00B63EC3" w:rsidR="00B63EC3" w:rsidP="00B63EC3" w:rsidRDefault="00B63EC3" w14:paraId="54AA60FF" w14:textId="77777777">
            <w:pPr>
              <w:pStyle w:val="tablebody"/>
              <w:rPr>
                <w:sz w:val="15"/>
                <w:szCs w:val="15"/>
              </w:rPr>
            </w:pPr>
            <w:r w:rsidRPr="00B63EC3">
              <w:rPr>
                <w:sz w:val="15"/>
                <w:szCs w:val="15"/>
              </w:rPr>
              <w:t>30 June 2019</w:t>
            </w:r>
          </w:p>
        </w:tc>
      </w:tr>
      <w:tr w:rsidRPr="00B63EC3" w:rsidR="00B63EC3" w:rsidTr="00431DF4" w14:paraId="4B8CCAAB"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682C987" w14:textId="77777777">
            <w:pPr>
              <w:pStyle w:val="tablebody"/>
              <w:rPr>
                <w:sz w:val="15"/>
                <w:szCs w:val="15"/>
              </w:rPr>
            </w:pPr>
            <w:r w:rsidRPr="00B63EC3">
              <w:rPr>
                <w:sz w:val="15"/>
                <w:szCs w:val="15"/>
              </w:rPr>
              <w:t>Acting Minister for Corrections</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127A4139" w14:textId="77777777">
            <w:pPr>
              <w:pStyle w:val="tablebody"/>
              <w:rPr>
                <w:sz w:val="15"/>
                <w:szCs w:val="15"/>
              </w:rPr>
            </w:pPr>
            <w:r w:rsidRPr="00B63EC3">
              <w:rPr>
                <w:sz w:val="15"/>
                <w:szCs w:val="15"/>
              </w:rPr>
              <w:t>The Hon. Jill Hennessy,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724E0E0" w14:textId="77777777">
            <w:pPr>
              <w:pStyle w:val="tablebody"/>
              <w:rPr>
                <w:sz w:val="15"/>
                <w:szCs w:val="15"/>
              </w:rPr>
            </w:pPr>
            <w:r w:rsidRPr="00B63EC3">
              <w:rPr>
                <w:sz w:val="15"/>
                <w:szCs w:val="15"/>
              </w:rPr>
              <w:t>20 January 2019</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5CD3E1EA"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78EC79E" w14:textId="77777777">
            <w:pPr>
              <w:pStyle w:val="tablebody"/>
              <w:rPr>
                <w:sz w:val="15"/>
                <w:szCs w:val="15"/>
              </w:rPr>
            </w:pPr>
            <w:r w:rsidRPr="00B63EC3">
              <w:rPr>
                <w:sz w:val="15"/>
                <w:szCs w:val="15"/>
              </w:rPr>
              <w:t>30 January 2019</w:t>
            </w:r>
          </w:p>
        </w:tc>
      </w:tr>
      <w:tr w:rsidRPr="00B63EC3" w:rsidR="00B63EC3" w:rsidTr="00431DF4" w14:paraId="3DE650AE"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7347ECE4"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2957E0D0"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2B585A50" w14:textId="77777777">
            <w:pPr>
              <w:pStyle w:val="tablebody"/>
              <w:rPr>
                <w:sz w:val="15"/>
                <w:szCs w:val="15"/>
              </w:rPr>
            </w:pPr>
            <w:r w:rsidRPr="00B63EC3">
              <w:rPr>
                <w:sz w:val="15"/>
                <w:szCs w:val="15"/>
              </w:rPr>
              <w:t>21 April 2019</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778D853A"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0B3CFDEE" w14:textId="77777777">
            <w:pPr>
              <w:pStyle w:val="tablebody"/>
              <w:rPr>
                <w:sz w:val="15"/>
                <w:szCs w:val="15"/>
              </w:rPr>
            </w:pPr>
            <w:r w:rsidRPr="00B63EC3">
              <w:rPr>
                <w:sz w:val="15"/>
                <w:szCs w:val="15"/>
              </w:rPr>
              <w:t>29 April 2019</w:t>
            </w:r>
          </w:p>
        </w:tc>
      </w:tr>
      <w:tr w:rsidRPr="00B63EC3" w:rsidR="00B63EC3" w:rsidTr="00431DF4" w14:paraId="6C2C89C3"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7B1E60C" w14:textId="77777777">
            <w:pPr>
              <w:pStyle w:val="tablebody"/>
              <w:rPr>
                <w:sz w:val="15"/>
                <w:szCs w:val="15"/>
              </w:rPr>
            </w:pPr>
            <w:r w:rsidRPr="00B63EC3">
              <w:rPr>
                <w:sz w:val="15"/>
                <w:szCs w:val="15"/>
              </w:rPr>
              <w:t>Minister for Crime Prevention</w:t>
            </w:r>
            <w:r w:rsidRPr="00B63EC3">
              <w:rPr>
                <w:sz w:val="15"/>
                <w:szCs w:val="15"/>
                <w:vertAlign w:val="superscript"/>
              </w:rPr>
              <w:t xml:space="preserve"> (i)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ED3351A" w14:textId="77777777">
            <w:pPr>
              <w:pStyle w:val="tablebody"/>
              <w:rPr>
                <w:sz w:val="15"/>
                <w:szCs w:val="15"/>
              </w:rPr>
            </w:pPr>
            <w:r w:rsidRPr="00B63EC3">
              <w:rPr>
                <w:sz w:val="15"/>
                <w:szCs w:val="15"/>
              </w:rPr>
              <w:t>The Hon. Benjamin Carroll,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7A8D8A5" w14:textId="77777777">
            <w:pPr>
              <w:pStyle w:val="tablebody"/>
              <w:rPr>
                <w:sz w:val="15"/>
                <w:szCs w:val="15"/>
              </w:rPr>
            </w:pPr>
            <w:r w:rsidRPr="00B63EC3">
              <w:rPr>
                <w:sz w:val="15"/>
                <w:szCs w:val="15"/>
              </w:rPr>
              <w:t>29 November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38C269C"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2B1DB08" w14:textId="77777777">
            <w:pPr>
              <w:pStyle w:val="tablebody"/>
              <w:rPr>
                <w:sz w:val="15"/>
                <w:szCs w:val="15"/>
              </w:rPr>
            </w:pPr>
            <w:r w:rsidRPr="00B63EC3">
              <w:rPr>
                <w:sz w:val="15"/>
                <w:szCs w:val="15"/>
              </w:rPr>
              <w:t>30 June 2019</w:t>
            </w:r>
          </w:p>
        </w:tc>
      </w:tr>
      <w:tr w:rsidRPr="00B63EC3" w:rsidR="00B63EC3" w:rsidTr="00431DF4" w14:paraId="42C1F791"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03ADDF1A" w14:textId="77777777">
            <w:pPr>
              <w:pStyle w:val="tablebody"/>
              <w:rPr>
                <w:sz w:val="15"/>
                <w:szCs w:val="15"/>
              </w:rPr>
            </w:pPr>
            <w:r w:rsidRPr="00B63EC3">
              <w:rPr>
                <w:sz w:val="15"/>
                <w:szCs w:val="15"/>
              </w:rPr>
              <w:t>Acting Minister for Crime Prevention</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054933B" w14:textId="77777777">
            <w:pPr>
              <w:pStyle w:val="tablebody"/>
              <w:rPr>
                <w:sz w:val="15"/>
                <w:szCs w:val="15"/>
              </w:rPr>
            </w:pPr>
            <w:r w:rsidRPr="00B63EC3">
              <w:rPr>
                <w:sz w:val="15"/>
                <w:szCs w:val="15"/>
              </w:rPr>
              <w:t>The Hon. Jill Hennessy,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07A10D69" w14:textId="77777777">
            <w:pPr>
              <w:pStyle w:val="tablebody"/>
              <w:rPr>
                <w:sz w:val="15"/>
                <w:szCs w:val="15"/>
              </w:rPr>
            </w:pPr>
            <w:r w:rsidRPr="00B63EC3">
              <w:rPr>
                <w:sz w:val="15"/>
                <w:szCs w:val="15"/>
              </w:rPr>
              <w:t>20 January 2019</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88C39DB"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6944FB0" w14:textId="77777777">
            <w:pPr>
              <w:pStyle w:val="tablebody"/>
              <w:rPr>
                <w:sz w:val="15"/>
                <w:szCs w:val="15"/>
              </w:rPr>
            </w:pPr>
            <w:r w:rsidRPr="00B63EC3">
              <w:rPr>
                <w:sz w:val="15"/>
                <w:szCs w:val="15"/>
              </w:rPr>
              <w:t>30 January 2019</w:t>
            </w:r>
          </w:p>
        </w:tc>
      </w:tr>
      <w:tr w:rsidRPr="00B63EC3" w:rsidR="00B63EC3" w:rsidTr="00431DF4" w14:paraId="1436CDCB"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26434D58"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7EFAF05F"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7BE470AF" w14:textId="77777777">
            <w:pPr>
              <w:pStyle w:val="tablebody"/>
              <w:rPr>
                <w:sz w:val="15"/>
                <w:szCs w:val="15"/>
              </w:rPr>
            </w:pPr>
            <w:r w:rsidRPr="00B63EC3">
              <w:rPr>
                <w:sz w:val="15"/>
                <w:szCs w:val="15"/>
              </w:rPr>
              <w:t>21 April 2019</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05C3D34D"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448DEFD6" w14:textId="77777777">
            <w:pPr>
              <w:pStyle w:val="tablebody"/>
              <w:rPr>
                <w:sz w:val="15"/>
                <w:szCs w:val="15"/>
              </w:rPr>
            </w:pPr>
            <w:r w:rsidRPr="00B63EC3">
              <w:rPr>
                <w:sz w:val="15"/>
                <w:szCs w:val="15"/>
              </w:rPr>
              <w:t>29 April 2019</w:t>
            </w:r>
          </w:p>
        </w:tc>
      </w:tr>
      <w:tr w:rsidRPr="00B63EC3" w:rsidR="00B63EC3" w:rsidTr="00431DF4" w14:paraId="78E21439"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581B18D" w14:textId="77777777">
            <w:pPr>
              <w:pStyle w:val="tablebody"/>
              <w:rPr>
                <w:sz w:val="15"/>
                <w:szCs w:val="15"/>
              </w:rPr>
            </w:pPr>
            <w:r w:rsidRPr="00B63EC3">
              <w:rPr>
                <w:sz w:val="15"/>
                <w:szCs w:val="15"/>
              </w:rPr>
              <w:t xml:space="preserve">Minister for Emergency Services </w:t>
            </w:r>
            <w:r w:rsidRPr="00B63EC3">
              <w:rPr>
                <w:sz w:val="15"/>
                <w:szCs w:val="15"/>
                <w:vertAlign w:val="superscript"/>
              </w:rPr>
              <w:t>(ii)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B8528AB" w14:textId="77777777">
            <w:pPr>
              <w:pStyle w:val="tablebody"/>
              <w:rPr>
                <w:sz w:val="15"/>
                <w:szCs w:val="15"/>
              </w:rPr>
            </w:pPr>
            <w:r w:rsidRPr="00B63EC3">
              <w:rPr>
                <w:sz w:val="15"/>
                <w:szCs w:val="15"/>
              </w:rPr>
              <w:t xml:space="preserve">The Hon. James </w:t>
            </w:r>
            <w:proofErr w:type="spellStart"/>
            <w:r w:rsidRPr="00B63EC3">
              <w:rPr>
                <w:sz w:val="15"/>
                <w:szCs w:val="15"/>
              </w:rPr>
              <w:t>Merlino</w:t>
            </w:r>
            <w:proofErr w:type="spellEnd"/>
            <w:r w:rsidRPr="00B63EC3">
              <w:rPr>
                <w:sz w:val="15"/>
                <w:szCs w:val="15"/>
              </w:rPr>
              <w:t>,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E75F5AC"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E5EA13F"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F5CDEF5" w14:textId="77777777">
            <w:pPr>
              <w:pStyle w:val="tablebody"/>
              <w:rPr>
                <w:sz w:val="15"/>
                <w:szCs w:val="15"/>
              </w:rPr>
            </w:pPr>
            <w:r w:rsidRPr="00B63EC3">
              <w:rPr>
                <w:sz w:val="15"/>
                <w:szCs w:val="15"/>
              </w:rPr>
              <w:t>28 November 2018</w:t>
            </w:r>
          </w:p>
        </w:tc>
      </w:tr>
      <w:tr w:rsidRPr="00B63EC3" w:rsidR="00B63EC3" w:rsidTr="00431DF4" w14:paraId="453F1BFB"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42EC9E4" w14:textId="77777777">
            <w:pPr>
              <w:pStyle w:val="tablebody"/>
              <w:rPr>
                <w:sz w:val="15"/>
                <w:szCs w:val="15"/>
              </w:rPr>
            </w:pPr>
            <w:r w:rsidRPr="00B63EC3">
              <w:rPr>
                <w:sz w:val="15"/>
                <w:szCs w:val="15"/>
              </w:rPr>
              <w:t>Minister for Families and Children</w:t>
            </w:r>
            <w:r w:rsidRPr="00B63EC3">
              <w:rPr>
                <w:sz w:val="15"/>
                <w:szCs w:val="15"/>
                <w:vertAlign w:val="superscript"/>
              </w:rPr>
              <w:t xml:space="preserve"> (ii)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203FAFB" w14:textId="77777777">
            <w:pPr>
              <w:pStyle w:val="tablebody"/>
              <w:rPr>
                <w:sz w:val="15"/>
                <w:szCs w:val="15"/>
              </w:rPr>
            </w:pPr>
            <w:r w:rsidRPr="00B63EC3">
              <w:rPr>
                <w:sz w:val="15"/>
                <w:szCs w:val="15"/>
              </w:rPr>
              <w:t xml:space="preserve">The Hon. Jenny </w:t>
            </w:r>
            <w:proofErr w:type="spellStart"/>
            <w:r w:rsidRPr="00B63EC3">
              <w:rPr>
                <w:sz w:val="15"/>
                <w:szCs w:val="15"/>
              </w:rPr>
              <w:t>Mikakos</w:t>
            </w:r>
            <w:proofErr w:type="spellEnd"/>
            <w:r w:rsidRPr="00B63EC3">
              <w:rPr>
                <w:sz w:val="15"/>
                <w:szCs w:val="15"/>
              </w:rPr>
              <w:t>,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DC05024"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5CF5090"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D529C32" w14:textId="77777777">
            <w:pPr>
              <w:pStyle w:val="tablebody"/>
              <w:rPr>
                <w:sz w:val="15"/>
                <w:szCs w:val="15"/>
              </w:rPr>
            </w:pPr>
            <w:r w:rsidRPr="00B63EC3">
              <w:rPr>
                <w:sz w:val="15"/>
                <w:szCs w:val="15"/>
              </w:rPr>
              <w:t>28 November 2018</w:t>
            </w:r>
          </w:p>
        </w:tc>
      </w:tr>
      <w:tr w:rsidRPr="00B63EC3" w:rsidR="00B63EC3" w:rsidTr="00431DF4" w14:paraId="5CB06DC5"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12142A7" w14:textId="77777777">
            <w:pPr>
              <w:pStyle w:val="tablebody"/>
              <w:rPr>
                <w:sz w:val="15"/>
                <w:szCs w:val="15"/>
              </w:rPr>
            </w:pPr>
            <w:r w:rsidRPr="00B63EC3">
              <w:rPr>
                <w:sz w:val="15"/>
                <w:szCs w:val="15"/>
              </w:rPr>
              <w:t>Acting Minister for Families and Children</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406CBAD" w14:textId="77777777">
            <w:pPr>
              <w:pStyle w:val="tablebody"/>
              <w:rPr>
                <w:sz w:val="15"/>
                <w:szCs w:val="15"/>
              </w:rPr>
            </w:pPr>
            <w:r w:rsidRPr="00B63EC3">
              <w:rPr>
                <w:sz w:val="15"/>
                <w:szCs w:val="15"/>
              </w:rPr>
              <w:t>The Hon. Gayle Tierney,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3C05881" w14:textId="77777777">
            <w:pPr>
              <w:pStyle w:val="tablebody"/>
              <w:rPr>
                <w:sz w:val="15"/>
                <w:szCs w:val="15"/>
              </w:rPr>
            </w:pPr>
            <w:r w:rsidRPr="00B63EC3">
              <w:rPr>
                <w:sz w:val="15"/>
                <w:szCs w:val="15"/>
              </w:rPr>
              <w:t>9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5103097"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92507FE" w14:textId="77777777">
            <w:pPr>
              <w:pStyle w:val="tablebody"/>
              <w:rPr>
                <w:sz w:val="15"/>
                <w:szCs w:val="15"/>
              </w:rPr>
            </w:pPr>
            <w:r w:rsidRPr="00B63EC3">
              <w:rPr>
                <w:sz w:val="15"/>
                <w:szCs w:val="15"/>
              </w:rPr>
              <w:t>15 July 2018</w:t>
            </w:r>
          </w:p>
        </w:tc>
      </w:tr>
      <w:tr w:rsidRPr="00B63EC3" w:rsidR="00B63EC3" w:rsidTr="00431DF4" w14:paraId="71A1C924"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76FF7E1" w14:textId="77777777">
            <w:pPr>
              <w:pStyle w:val="tablebody"/>
              <w:rPr>
                <w:sz w:val="15"/>
                <w:szCs w:val="15"/>
              </w:rPr>
            </w:pPr>
            <w:r w:rsidRPr="00B63EC3">
              <w:rPr>
                <w:sz w:val="15"/>
                <w:szCs w:val="15"/>
              </w:rPr>
              <w:t>Minister for Police</w:t>
            </w:r>
            <w:r w:rsidRPr="00B63EC3">
              <w:rPr>
                <w:sz w:val="15"/>
                <w:szCs w:val="15"/>
                <w:vertAlign w:val="superscript"/>
              </w:rPr>
              <w:t xml:space="preserve"> (ii)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D85605C" w14:textId="77777777">
            <w:pPr>
              <w:pStyle w:val="tablebody"/>
              <w:rPr>
                <w:sz w:val="15"/>
                <w:szCs w:val="15"/>
              </w:rPr>
            </w:pPr>
            <w:r w:rsidRPr="00B63EC3">
              <w:rPr>
                <w:sz w:val="15"/>
                <w:szCs w:val="15"/>
              </w:rPr>
              <w:t>The Hon. Lisa Neville,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0CE795F"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C130416"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09079E9" w14:textId="77777777">
            <w:pPr>
              <w:pStyle w:val="tablebody"/>
              <w:rPr>
                <w:sz w:val="15"/>
                <w:szCs w:val="15"/>
              </w:rPr>
            </w:pPr>
            <w:r w:rsidRPr="00B63EC3">
              <w:rPr>
                <w:sz w:val="15"/>
                <w:szCs w:val="15"/>
              </w:rPr>
              <w:t>28 November 2018</w:t>
            </w:r>
          </w:p>
        </w:tc>
      </w:tr>
      <w:tr w:rsidRPr="00B63EC3" w:rsidR="00B63EC3" w:rsidTr="00431DF4" w14:paraId="5B509D01"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6AE60B0" w14:textId="77777777">
            <w:pPr>
              <w:pStyle w:val="tablebody"/>
              <w:rPr>
                <w:sz w:val="15"/>
                <w:szCs w:val="15"/>
              </w:rPr>
            </w:pPr>
            <w:r w:rsidRPr="00B63EC3">
              <w:rPr>
                <w:sz w:val="15"/>
                <w:szCs w:val="15"/>
              </w:rPr>
              <w:t>Acting Minister for Police</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AC02E75" w14:textId="77777777">
            <w:pPr>
              <w:pStyle w:val="tablebody"/>
              <w:rPr>
                <w:sz w:val="15"/>
                <w:szCs w:val="15"/>
              </w:rPr>
            </w:pPr>
            <w:r w:rsidRPr="00B63EC3">
              <w:rPr>
                <w:sz w:val="15"/>
                <w:szCs w:val="15"/>
              </w:rPr>
              <w:t xml:space="preserve">The Hon. James </w:t>
            </w:r>
            <w:proofErr w:type="spellStart"/>
            <w:r w:rsidRPr="00B63EC3">
              <w:rPr>
                <w:sz w:val="15"/>
                <w:szCs w:val="15"/>
              </w:rPr>
              <w:t>Merlino</w:t>
            </w:r>
            <w:proofErr w:type="spellEnd"/>
            <w:r w:rsidRPr="00B63EC3">
              <w:rPr>
                <w:sz w:val="15"/>
                <w:szCs w:val="15"/>
              </w:rPr>
              <w:t>,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9C31545"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C13DEF1"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15CAC74" w14:textId="77777777">
            <w:pPr>
              <w:pStyle w:val="tablebody"/>
              <w:rPr>
                <w:sz w:val="15"/>
                <w:szCs w:val="15"/>
              </w:rPr>
            </w:pPr>
            <w:r w:rsidRPr="00B63EC3">
              <w:rPr>
                <w:sz w:val="15"/>
                <w:szCs w:val="15"/>
              </w:rPr>
              <w:t>8 July 2018</w:t>
            </w:r>
          </w:p>
        </w:tc>
      </w:tr>
      <w:tr w:rsidRPr="00B63EC3" w:rsidR="00B63EC3" w:rsidTr="00431DF4" w14:paraId="268A6F9C"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EA4186A" w14:textId="77777777">
            <w:pPr>
              <w:pStyle w:val="tablebody"/>
              <w:rPr>
                <w:sz w:val="15"/>
                <w:szCs w:val="15"/>
              </w:rPr>
            </w:pPr>
            <w:r w:rsidRPr="00B63EC3">
              <w:rPr>
                <w:sz w:val="15"/>
                <w:szCs w:val="15"/>
              </w:rPr>
              <w:t>Minister for Police and Emergency Services</w:t>
            </w:r>
            <w:r w:rsidRPr="00B63EC3">
              <w:rPr>
                <w:sz w:val="15"/>
                <w:szCs w:val="15"/>
                <w:vertAlign w:val="superscript"/>
              </w:rPr>
              <w:t xml:space="preserve"> (i)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84972C6" w14:textId="77777777">
            <w:pPr>
              <w:pStyle w:val="tablebody"/>
              <w:rPr>
                <w:sz w:val="15"/>
                <w:szCs w:val="15"/>
              </w:rPr>
            </w:pPr>
            <w:r w:rsidRPr="00B63EC3">
              <w:rPr>
                <w:sz w:val="15"/>
                <w:szCs w:val="15"/>
              </w:rPr>
              <w:t>The Hon. Lisa Neville,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4C4EEB8" w14:textId="77777777">
            <w:pPr>
              <w:pStyle w:val="tablebody"/>
              <w:rPr>
                <w:sz w:val="15"/>
                <w:szCs w:val="15"/>
              </w:rPr>
            </w:pPr>
            <w:r w:rsidRPr="00B63EC3">
              <w:rPr>
                <w:sz w:val="15"/>
                <w:szCs w:val="15"/>
              </w:rPr>
              <w:t>29 November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206EC0D"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E9A7515" w14:textId="77777777">
            <w:pPr>
              <w:pStyle w:val="tablebody"/>
              <w:rPr>
                <w:sz w:val="15"/>
                <w:szCs w:val="15"/>
              </w:rPr>
            </w:pPr>
            <w:r w:rsidRPr="00B63EC3">
              <w:rPr>
                <w:sz w:val="15"/>
                <w:szCs w:val="15"/>
              </w:rPr>
              <w:t>30 June 2019</w:t>
            </w:r>
          </w:p>
        </w:tc>
      </w:tr>
      <w:tr w:rsidRPr="00B63EC3" w:rsidR="00B63EC3" w:rsidTr="00431DF4" w14:paraId="28D63137"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7E88A5E" w14:textId="77777777">
            <w:pPr>
              <w:pStyle w:val="tablebody"/>
              <w:rPr>
                <w:sz w:val="15"/>
                <w:szCs w:val="15"/>
              </w:rPr>
            </w:pPr>
            <w:r w:rsidRPr="00B63EC3">
              <w:rPr>
                <w:sz w:val="15"/>
                <w:szCs w:val="15"/>
              </w:rPr>
              <w:t>Acting Minister for Police and Emergency Services</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1F10F1B2" w14:textId="77777777">
            <w:pPr>
              <w:pStyle w:val="tablebody"/>
              <w:rPr>
                <w:sz w:val="15"/>
                <w:szCs w:val="15"/>
              </w:rPr>
            </w:pPr>
            <w:r w:rsidRPr="00B63EC3">
              <w:rPr>
                <w:sz w:val="15"/>
                <w:szCs w:val="15"/>
              </w:rPr>
              <w:t xml:space="preserve">The Hon. James </w:t>
            </w:r>
            <w:proofErr w:type="spellStart"/>
            <w:r w:rsidRPr="00B63EC3">
              <w:rPr>
                <w:sz w:val="15"/>
                <w:szCs w:val="15"/>
              </w:rPr>
              <w:t>Merlino</w:t>
            </w:r>
            <w:proofErr w:type="spellEnd"/>
            <w:r w:rsidRPr="00B63EC3">
              <w:rPr>
                <w:sz w:val="15"/>
                <w:szCs w:val="15"/>
              </w:rPr>
              <w:t>,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68150052" w14:textId="77777777">
            <w:pPr>
              <w:pStyle w:val="tablebody"/>
              <w:rPr>
                <w:sz w:val="15"/>
                <w:szCs w:val="15"/>
              </w:rPr>
            </w:pPr>
            <w:r w:rsidRPr="00B63EC3">
              <w:rPr>
                <w:sz w:val="15"/>
                <w:szCs w:val="15"/>
              </w:rPr>
              <w:t>23 March 2019</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08BA2EA5"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699C3626" w14:textId="77777777">
            <w:pPr>
              <w:pStyle w:val="tablebody"/>
              <w:rPr>
                <w:sz w:val="15"/>
                <w:szCs w:val="15"/>
              </w:rPr>
            </w:pPr>
            <w:r w:rsidRPr="00B63EC3">
              <w:rPr>
                <w:sz w:val="15"/>
                <w:szCs w:val="15"/>
              </w:rPr>
              <w:t>4 April 2019</w:t>
            </w:r>
          </w:p>
        </w:tc>
      </w:tr>
      <w:tr w:rsidRPr="00B63EC3" w:rsidR="00B63EC3" w:rsidTr="00431DF4" w14:paraId="587BF8F5" w14:textId="77777777">
        <w:tc>
          <w:tcPr>
            <w:tcW w:w="4678" w:type="dxa"/>
            <w:vMerge/>
            <w:tcBorders>
              <w:top w:val="nil"/>
              <w:left w:val="nil"/>
              <w:bottom w:val="nil"/>
              <w:right w:val="nil"/>
            </w:tcBorders>
            <w:tcMar>
              <w:top w:w="28" w:type="dxa"/>
              <w:bottom w:w="28" w:type="dxa"/>
            </w:tcMar>
          </w:tcPr>
          <w:p w:rsidRPr="00B63EC3" w:rsidR="00B63EC3" w:rsidP="00B63EC3" w:rsidRDefault="00B63EC3" w14:paraId="3C2AC38D" w14:textId="77777777">
            <w:pPr>
              <w:pStyle w:val="tablebody"/>
              <w:rPr>
                <w:sz w:val="15"/>
                <w:szCs w:val="15"/>
                <w:lang w:val="en-US"/>
              </w:rPr>
            </w:pPr>
          </w:p>
        </w:tc>
        <w:tc>
          <w:tcPr>
            <w:tcW w:w="2268" w:type="dxa"/>
            <w:tcBorders>
              <w:top w:val="nil"/>
              <w:left w:val="nil"/>
              <w:bottom w:val="nil"/>
              <w:right w:val="nil"/>
            </w:tcBorders>
            <w:tcMar>
              <w:top w:w="28" w:type="dxa"/>
              <w:left w:w="0" w:type="dxa"/>
              <w:bottom w:w="28" w:type="dxa"/>
              <w:right w:w="0" w:type="dxa"/>
            </w:tcMar>
          </w:tcPr>
          <w:p w:rsidRPr="00B63EC3" w:rsidR="00B63EC3" w:rsidP="00B63EC3" w:rsidRDefault="00B63EC3" w14:paraId="4F9CD762" w14:textId="77777777">
            <w:pPr>
              <w:pStyle w:val="tablebody"/>
              <w:rPr>
                <w:sz w:val="15"/>
                <w:szCs w:val="15"/>
              </w:rPr>
            </w:pPr>
            <w:r w:rsidRPr="00B63EC3">
              <w:rPr>
                <w:sz w:val="15"/>
                <w:szCs w:val="15"/>
              </w:rPr>
              <w:t>The Hon. Benjamin Carroll, MP</w:t>
            </w:r>
          </w:p>
        </w:tc>
        <w:tc>
          <w:tcPr>
            <w:tcW w:w="1559" w:type="dxa"/>
            <w:tcBorders>
              <w:top w:val="nil"/>
              <w:left w:val="nil"/>
              <w:bottom w:val="nil"/>
              <w:right w:val="nil"/>
            </w:tcBorders>
            <w:tcMar>
              <w:top w:w="28" w:type="dxa"/>
              <w:left w:w="0" w:type="dxa"/>
              <w:bottom w:w="28" w:type="dxa"/>
              <w:right w:w="0" w:type="dxa"/>
            </w:tcMar>
          </w:tcPr>
          <w:p w:rsidRPr="00B63EC3" w:rsidR="00B63EC3" w:rsidP="00B63EC3" w:rsidRDefault="00B63EC3" w14:paraId="4EFF984D" w14:textId="77777777">
            <w:pPr>
              <w:pStyle w:val="tablebody"/>
              <w:rPr>
                <w:sz w:val="15"/>
                <w:szCs w:val="15"/>
              </w:rPr>
            </w:pPr>
            <w:r w:rsidRPr="00B63EC3">
              <w:rPr>
                <w:sz w:val="15"/>
                <w:szCs w:val="15"/>
              </w:rPr>
              <w:t>5 April 2019</w:t>
            </w:r>
          </w:p>
        </w:tc>
        <w:tc>
          <w:tcPr>
            <w:tcW w:w="284" w:type="dxa"/>
            <w:tcBorders>
              <w:top w:val="nil"/>
              <w:left w:val="nil"/>
              <w:bottom w:val="nil"/>
              <w:right w:val="nil"/>
            </w:tcBorders>
            <w:tcMar>
              <w:top w:w="28" w:type="dxa"/>
              <w:left w:w="0" w:type="dxa"/>
              <w:bottom w:w="28" w:type="dxa"/>
              <w:right w:w="0" w:type="dxa"/>
            </w:tcMar>
          </w:tcPr>
          <w:p w:rsidRPr="00B63EC3" w:rsidR="00B63EC3" w:rsidP="00B63EC3" w:rsidRDefault="00B63EC3" w14:paraId="3E82A9AC" w14:textId="77777777">
            <w:pPr>
              <w:pStyle w:val="tablebody"/>
              <w:rPr>
                <w:sz w:val="15"/>
                <w:szCs w:val="15"/>
              </w:rPr>
            </w:pPr>
            <w:r w:rsidRPr="00B63EC3">
              <w:rPr>
                <w:sz w:val="15"/>
                <w:szCs w:val="15"/>
              </w:rPr>
              <w:t>to</w:t>
            </w:r>
          </w:p>
        </w:tc>
        <w:tc>
          <w:tcPr>
            <w:tcW w:w="1417" w:type="dxa"/>
            <w:tcBorders>
              <w:top w:val="nil"/>
              <w:left w:val="nil"/>
              <w:bottom w:val="nil"/>
              <w:right w:val="nil"/>
            </w:tcBorders>
            <w:tcMar>
              <w:top w:w="28" w:type="dxa"/>
              <w:left w:w="0" w:type="dxa"/>
              <w:bottom w:w="28" w:type="dxa"/>
              <w:right w:w="0" w:type="dxa"/>
            </w:tcMar>
          </w:tcPr>
          <w:p w:rsidRPr="00B63EC3" w:rsidR="00B63EC3" w:rsidP="00B63EC3" w:rsidRDefault="00B63EC3" w14:paraId="35B4144F" w14:textId="77777777">
            <w:pPr>
              <w:pStyle w:val="tablebody"/>
              <w:rPr>
                <w:sz w:val="15"/>
                <w:szCs w:val="15"/>
              </w:rPr>
            </w:pPr>
            <w:r w:rsidRPr="00B63EC3">
              <w:rPr>
                <w:sz w:val="15"/>
                <w:szCs w:val="15"/>
              </w:rPr>
              <w:t>9 April 2019</w:t>
            </w:r>
          </w:p>
        </w:tc>
      </w:tr>
      <w:tr w:rsidRPr="00B63EC3" w:rsidR="00B63EC3" w:rsidTr="00431DF4" w14:paraId="681852D5"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270ABC2D"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61E1D6C6"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2FF94E43" w14:textId="77777777">
            <w:pPr>
              <w:pStyle w:val="tablebody"/>
              <w:rPr>
                <w:sz w:val="15"/>
                <w:szCs w:val="15"/>
              </w:rPr>
            </w:pPr>
            <w:r w:rsidRPr="00B63EC3">
              <w:rPr>
                <w:sz w:val="15"/>
                <w:szCs w:val="15"/>
              </w:rPr>
              <w:t>14 April 2019</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0A3C1C23"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3F101C3E" w14:textId="77777777">
            <w:pPr>
              <w:pStyle w:val="tablebody"/>
              <w:rPr>
                <w:sz w:val="15"/>
                <w:szCs w:val="15"/>
              </w:rPr>
            </w:pPr>
            <w:r w:rsidRPr="00B63EC3">
              <w:rPr>
                <w:sz w:val="15"/>
                <w:szCs w:val="15"/>
              </w:rPr>
              <w:t>16 April 2019</w:t>
            </w:r>
          </w:p>
        </w:tc>
      </w:tr>
      <w:tr w:rsidRPr="00B63EC3" w:rsidR="00B63EC3" w:rsidTr="00431DF4" w14:paraId="54EEAEB8"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82EAD31" w14:textId="77777777">
            <w:pPr>
              <w:pStyle w:val="tablebody"/>
              <w:rPr>
                <w:sz w:val="15"/>
                <w:szCs w:val="15"/>
              </w:rPr>
            </w:pPr>
            <w:r w:rsidRPr="00B63EC3">
              <w:rPr>
                <w:sz w:val="15"/>
                <w:szCs w:val="15"/>
              </w:rPr>
              <w:t>Minister for Racing</w:t>
            </w:r>
            <w:r w:rsidRPr="00B63EC3">
              <w:rPr>
                <w:sz w:val="15"/>
                <w:szCs w:val="15"/>
                <w:vertAlign w:val="superscript"/>
              </w:rPr>
              <w:t xml:space="preserve"> (iii)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01B6F54A" w14:textId="77777777">
            <w:pPr>
              <w:pStyle w:val="tablebody"/>
              <w:rPr>
                <w:sz w:val="15"/>
                <w:szCs w:val="15"/>
              </w:rPr>
            </w:pPr>
            <w:r w:rsidRPr="00B63EC3">
              <w:rPr>
                <w:sz w:val="15"/>
                <w:szCs w:val="15"/>
              </w:rPr>
              <w:t xml:space="preserve">The Hon. Martin </w:t>
            </w:r>
            <w:proofErr w:type="spellStart"/>
            <w:r w:rsidRPr="00B63EC3">
              <w:rPr>
                <w:sz w:val="15"/>
                <w:szCs w:val="15"/>
              </w:rPr>
              <w:t>Pakula</w:t>
            </w:r>
            <w:proofErr w:type="spellEnd"/>
            <w:r w:rsidRPr="00B63EC3">
              <w:rPr>
                <w:sz w:val="15"/>
                <w:szCs w:val="15"/>
              </w:rPr>
              <w:t>,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2ECCC1B" w14:textId="77777777">
            <w:pPr>
              <w:pStyle w:val="tablebody"/>
              <w:rPr>
                <w:sz w:val="15"/>
                <w:szCs w:val="15"/>
              </w:rPr>
            </w:pPr>
            <w:r w:rsidRPr="00B63EC3">
              <w:rPr>
                <w:sz w:val="15"/>
                <w:szCs w:val="15"/>
              </w:rPr>
              <w:t>1 July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15F18CE"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8475E05" w14:textId="77777777">
            <w:pPr>
              <w:pStyle w:val="tablebody"/>
              <w:rPr>
                <w:sz w:val="15"/>
                <w:szCs w:val="15"/>
              </w:rPr>
            </w:pPr>
            <w:r w:rsidRPr="00B63EC3">
              <w:rPr>
                <w:sz w:val="15"/>
                <w:szCs w:val="15"/>
              </w:rPr>
              <w:t>31 December 2018</w:t>
            </w:r>
          </w:p>
        </w:tc>
      </w:tr>
      <w:tr w:rsidRPr="00B63EC3" w:rsidR="00B63EC3" w:rsidTr="00431DF4" w14:paraId="3CD57C9E"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3B1BEEE" w14:textId="77777777">
            <w:pPr>
              <w:pStyle w:val="tablebody"/>
              <w:rPr>
                <w:sz w:val="15"/>
                <w:szCs w:val="15"/>
              </w:rPr>
            </w:pPr>
            <w:r w:rsidRPr="00B63EC3">
              <w:rPr>
                <w:sz w:val="15"/>
                <w:szCs w:val="15"/>
              </w:rPr>
              <w:t>Minister for Victim Support</w:t>
            </w:r>
            <w:r w:rsidRPr="00B63EC3">
              <w:rPr>
                <w:sz w:val="15"/>
                <w:szCs w:val="15"/>
                <w:vertAlign w:val="superscript"/>
              </w:rPr>
              <w:t xml:space="preserve"> (i)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4F6947E" w14:textId="77777777">
            <w:pPr>
              <w:pStyle w:val="tablebody"/>
              <w:rPr>
                <w:sz w:val="15"/>
                <w:szCs w:val="15"/>
              </w:rPr>
            </w:pPr>
            <w:r w:rsidRPr="00B63EC3">
              <w:rPr>
                <w:sz w:val="15"/>
                <w:szCs w:val="15"/>
              </w:rPr>
              <w:t>The Hon. Benjamin Carroll,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2AB6C0E" w14:textId="77777777">
            <w:pPr>
              <w:pStyle w:val="tablebody"/>
              <w:rPr>
                <w:sz w:val="15"/>
                <w:szCs w:val="15"/>
              </w:rPr>
            </w:pPr>
            <w:r w:rsidRPr="00B63EC3">
              <w:rPr>
                <w:sz w:val="15"/>
                <w:szCs w:val="15"/>
              </w:rPr>
              <w:t>29 November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55D3D76"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50BB2C1" w14:textId="77777777">
            <w:pPr>
              <w:pStyle w:val="tablebody"/>
              <w:rPr>
                <w:sz w:val="15"/>
                <w:szCs w:val="15"/>
              </w:rPr>
            </w:pPr>
            <w:r w:rsidRPr="00B63EC3">
              <w:rPr>
                <w:sz w:val="15"/>
                <w:szCs w:val="15"/>
              </w:rPr>
              <w:t>30 June 2019</w:t>
            </w:r>
          </w:p>
        </w:tc>
      </w:tr>
      <w:tr w:rsidRPr="00B63EC3" w:rsidR="00B63EC3" w:rsidTr="00431DF4" w14:paraId="6218112D"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651A7F74" w14:textId="77777777">
            <w:pPr>
              <w:pStyle w:val="tablebody"/>
              <w:rPr>
                <w:sz w:val="15"/>
                <w:szCs w:val="15"/>
              </w:rPr>
            </w:pPr>
            <w:r w:rsidRPr="00B63EC3">
              <w:rPr>
                <w:sz w:val="15"/>
                <w:szCs w:val="15"/>
              </w:rPr>
              <w:t>Acting Minister for Victim Support</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4987EF9" w14:textId="77777777">
            <w:pPr>
              <w:pStyle w:val="tablebody"/>
              <w:rPr>
                <w:sz w:val="15"/>
                <w:szCs w:val="15"/>
              </w:rPr>
            </w:pPr>
            <w:r w:rsidRPr="00B63EC3">
              <w:rPr>
                <w:sz w:val="15"/>
                <w:szCs w:val="15"/>
              </w:rPr>
              <w:t>The Hon. Jill Hennessy,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94BFDA3" w14:textId="77777777">
            <w:pPr>
              <w:pStyle w:val="tablebody"/>
              <w:rPr>
                <w:sz w:val="15"/>
                <w:szCs w:val="15"/>
              </w:rPr>
            </w:pPr>
            <w:r w:rsidRPr="00B63EC3">
              <w:rPr>
                <w:sz w:val="15"/>
                <w:szCs w:val="15"/>
              </w:rPr>
              <w:t>20 January 2019</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634E0E42"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485F515" w14:textId="77777777">
            <w:pPr>
              <w:pStyle w:val="tablebody"/>
              <w:rPr>
                <w:sz w:val="15"/>
                <w:szCs w:val="15"/>
              </w:rPr>
            </w:pPr>
            <w:r w:rsidRPr="00B63EC3">
              <w:rPr>
                <w:sz w:val="15"/>
                <w:szCs w:val="15"/>
              </w:rPr>
              <w:t>30 January 2019</w:t>
            </w:r>
          </w:p>
        </w:tc>
      </w:tr>
      <w:tr w:rsidRPr="00B63EC3" w:rsidR="00B63EC3" w:rsidTr="00431DF4" w14:paraId="55F7F668"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5057D06D"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53E3C0B6"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6364DB29" w14:textId="77777777">
            <w:pPr>
              <w:pStyle w:val="tablebody"/>
              <w:rPr>
                <w:sz w:val="15"/>
                <w:szCs w:val="15"/>
              </w:rPr>
            </w:pPr>
            <w:r w:rsidRPr="00B63EC3">
              <w:rPr>
                <w:sz w:val="15"/>
                <w:szCs w:val="15"/>
              </w:rPr>
              <w:t>21 April 2019</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2F3893F4"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2890CC3D" w14:textId="77777777">
            <w:pPr>
              <w:pStyle w:val="tablebody"/>
              <w:rPr>
                <w:sz w:val="15"/>
                <w:szCs w:val="15"/>
              </w:rPr>
            </w:pPr>
            <w:r w:rsidRPr="00B63EC3">
              <w:rPr>
                <w:sz w:val="15"/>
                <w:szCs w:val="15"/>
              </w:rPr>
              <w:t>29 April 2019</w:t>
            </w:r>
          </w:p>
        </w:tc>
      </w:tr>
      <w:tr w:rsidRPr="00B63EC3" w:rsidR="00B63EC3" w:rsidTr="00431DF4" w14:paraId="48AD08E1"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4B4E11B" w14:textId="77777777">
            <w:pPr>
              <w:pStyle w:val="tablebody"/>
              <w:rPr>
                <w:sz w:val="15"/>
                <w:szCs w:val="15"/>
              </w:rPr>
            </w:pPr>
            <w:r w:rsidRPr="00B63EC3">
              <w:rPr>
                <w:sz w:val="15"/>
                <w:szCs w:val="15"/>
              </w:rPr>
              <w:t>Minister for Workplace Safety</w:t>
            </w:r>
            <w:r w:rsidRPr="00B63EC3">
              <w:rPr>
                <w:sz w:val="15"/>
                <w:szCs w:val="15"/>
                <w:vertAlign w:val="superscript"/>
              </w:rPr>
              <w:t xml:space="preserve"> (i)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4A2C7CCF" w14:textId="77777777">
            <w:pPr>
              <w:pStyle w:val="tablebody"/>
              <w:rPr>
                <w:sz w:val="15"/>
                <w:szCs w:val="15"/>
              </w:rPr>
            </w:pPr>
            <w:r w:rsidRPr="00B63EC3">
              <w:rPr>
                <w:sz w:val="15"/>
                <w:szCs w:val="15"/>
              </w:rPr>
              <w:t>The Hon. Jill Hennessy,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7BCED4A" w14:textId="77777777">
            <w:pPr>
              <w:pStyle w:val="tablebody"/>
              <w:rPr>
                <w:sz w:val="15"/>
                <w:szCs w:val="15"/>
              </w:rPr>
            </w:pPr>
            <w:r w:rsidRPr="00B63EC3">
              <w:rPr>
                <w:sz w:val="15"/>
                <w:szCs w:val="15"/>
              </w:rPr>
              <w:t>29 November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15E7EC6E"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7D65E271" w14:textId="77777777">
            <w:pPr>
              <w:pStyle w:val="tablebody"/>
              <w:rPr>
                <w:sz w:val="15"/>
                <w:szCs w:val="15"/>
              </w:rPr>
            </w:pPr>
            <w:r w:rsidRPr="00B63EC3">
              <w:rPr>
                <w:sz w:val="15"/>
                <w:szCs w:val="15"/>
              </w:rPr>
              <w:t>30 June 2019</w:t>
            </w:r>
          </w:p>
        </w:tc>
      </w:tr>
      <w:tr w:rsidRPr="00B63EC3" w:rsidR="00B63EC3" w:rsidTr="00431DF4" w14:paraId="206784A3"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13A7515" w14:textId="77777777">
            <w:pPr>
              <w:pStyle w:val="tablebody"/>
              <w:rPr>
                <w:sz w:val="15"/>
                <w:szCs w:val="15"/>
              </w:rPr>
            </w:pPr>
            <w:r w:rsidRPr="00B63EC3">
              <w:rPr>
                <w:sz w:val="15"/>
                <w:szCs w:val="15"/>
              </w:rPr>
              <w:t>Acting Minister for Workplace Safety</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AAA7C33" w14:textId="77777777">
            <w:pPr>
              <w:pStyle w:val="tablebody"/>
              <w:rPr>
                <w:sz w:val="15"/>
                <w:szCs w:val="15"/>
              </w:rPr>
            </w:pPr>
            <w:r w:rsidRPr="00B63EC3">
              <w:rPr>
                <w:sz w:val="15"/>
                <w:szCs w:val="15"/>
              </w:rPr>
              <w:t>The Hon. Benjamin Carroll,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96B74A3" w14:textId="77777777">
            <w:pPr>
              <w:pStyle w:val="tablebody"/>
              <w:rPr>
                <w:sz w:val="15"/>
                <w:szCs w:val="15"/>
              </w:rPr>
            </w:pPr>
            <w:r w:rsidRPr="00B63EC3">
              <w:rPr>
                <w:sz w:val="15"/>
                <w:szCs w:val="15"/>
              </w:rPr>
              <w:t>6 April 2019</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A666F53"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26C9A263" w14:textId="77777777">
            <w:pPr>
              <w:pStyle w:val="tablebody"/>
              <w:rPr>
                <w:sz w:val="15"/>
                <w:szCs w:val="15"/>
              </w:rPr>
            </w:pPr>
            <w:r w:rsidRPr="00B63EC3">
              <w:rPr>
                <w:sz w:val="15"/>
                <w:szCs w:val="15"/>
              </w:rPr>
              <w:t>14 April 2019</w:t>
            </w:r>
          </w:p>
        </w:tc>
      </w:tr>
      <w:tr w:rsidRPr="00B63EC3" w:rsidR="00B63EC3" w:rsidTr="00431DF4" w14:paraId="095512B5" w14:textId="77777777">
        <w:tc>
          <w:tcPr>
            <w:tcW w:w="467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E581E6F" w14:textId="77777777">
            <w:pPr>
              <w:pStyle w:val="tablebody"/>
              <w:rPr>
                <w:sz w:val="15"/>
                <w:szCs w:val="15"/>
              </w:rPr>
            </w:pPr>
            <w:r w:rsidRPr="00B63EC3">
              <w:rPr>
                <w:sz w:val="15"/>
                <w:szCs w:val="15"/>
              </w:rPr>
              <w:t>Minister for Youth Justice</w:t>
            </w:r>
            <w:r w:rsidRPr="00B63EC3">
              <w:rPr>
                <w:sz w:val="15"/>
                <w:szCs w:val="15"/>
                <w:vertAlign w:val="superscript"/>
              </w:rPr>
              <w:t xml:space="preserve"> (i)</w:t>
            </w:r>
          </w:p>
        </w:tc>
        <w:tc>
          <w:tcPr>
            <w:tcW w:w="2268"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5944B29" w14:textId="77777777">
            <w:pPr>
              <w:pStyle w:val="tablebody"/>
              <w:rPr>
                <w:sz w:val="15"/>
                <w:szCs w:val="15"/>
              </w:rPr>
            </w:pPr>
            <w:r w:rsidRPr="00B63EC3">
              <w:rPr>
                <w:sz w:val="15"/>
                <w:szCs w:val="15"/>
              </w:rPr>
              <w:t>The Hon. Benjamin Carroll, MP</w:t>
            </w:r>
          </w:p>
        </w:tc>
        <w:tc>
          <w:tcPr>
            <w:tcW w:w="1559"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35143EA2" w14:textId="77777777">
            <w:pPr>
              <w:pStyle w:val="tablebody"/>
              <w:rPr>
                <w:sz w:val="15"/>
                <w:szCs w:val="15"/>
              </w:rPr>
            </w:pPr>
            <w:r w:rsidRPr="00B63EC3">
              <w:rPr>
                <w:sz w:val="15"/>
                <w:szCs w:val="15"/>
              </w:rPr>
              <w:t>29 November 2018</w:t>
            </w:r>
          </w:p>
        </w:tc>
        <w:tc>
          <w:tcPr>
            <w:tcW w:w="284"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64B3A56A" w14:textId="77777777">
            <w:pPr>
              <w:pStyle w:val="tablebody"/>
              <w:rPr>
                <w:sz w:val="15"/>
                <w:szCs w:val="15"/>
              </w:rPr>
            </w:pPr>
            <w:r w:rsidRPr="00B63EC3">
              <w:rPr>
                <w:sz w:val="15"/>
                <w:szCs w:val="15"/>
              </w:rPr>
              <w:t>to</w:t>
            </w:r>
          </w:p>
        </w:tc>
        <w:tc>
          <w:tcPr>
            <w:tcW w:w="1417" w:type="dxa"/>
            <w:tcBorders>
              <w:top w:val="single" w:color="000000" w:sz="2" w:space="0"/>
              <w:left w:val="nil"/>
              <w:bottom w:val="single" w:color="000000" w:sz="2" w:space="0"/>
              <w:right w:val="nil"/>
            </w:tcBorders>
            <w:tcMar>
              <w:top w:w="28" w:type="dxa"/>
              <w:left w:w="0" w:type="dxa"/>
              <w:bottom w:w="28" w:type="dxa"/>
              <w:right w:w="0" w:type="dxa"/>
            </w:tcMar>
          </w:tcPr>
          <w:p w:rsidRPr="00B63EC3" w:rsidR="00B63EC3" w:rsidP="00B63EC3" w:rsidRDefault="00B63EC3" w14:paraId="5ADDC82B" w14:textId="77777777">
            <w:pPr>
              <w:pStyle w:val="tablebody"/>
              <w:rPr>
                <w:sz w:val="15"/>
                <w:szCs w:val="15"/>
              </w:rPr>
            </w:pPr>
            <w:r w:rsidRPr="00B63EC3">
              <w:rPr>
                <w:sz w:val="15"/>
                <w:szCs w:val="15"/>
              </w:rPr>
              <w:t>30 June 2019</w:t>
            </w:r>
          </w:p>
        </w:tc>
      </w:tr>
      <w:tr w:rsidRPr="00B63EC3" w:rsidR="00B63EC3" w:rsidTr="00431DF4" w14:paraId="0A52F904"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1FBB719D" w14:textId="77777777">
            <w:pPr>
              <w:pStyle w:val="tablebody"/>
              <w:rPr>
                <w:sz w:val="15"/>
                <w:szCs w:val="15"/>
              </w:rPr>
            </w:pPr>
            <w:r w:rsidRPr="00B63EC3">
              <w:rPr>
                <w:sz w:val="15"/>
                <w:szCs w:val="15"/>
              </w:rPr>
              <w:t>Acting Minster for Youth Justice</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5024EED" w14:textId="77777777">
            <w:pPr>
              <w:pStyle w:val="tablebody"/>
              <w:rPr>
                <w:sz w:val="15"/>
                <w:szCs w:val="15"/>
              </w:rPr>
            </w:pPr>
            <w:r w:rsidRPr="00B63EC3">
              <w:rPr>
                <w:sz w:val="15"/>
                <w:szCs w:val="15"/>
              </w:rPr>
              <w:t>The Hon. Jill Hennessy, MP</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49AD175" w14:textId="77777777">
            <w:pPr>
              <w:pStyle w:val="tablebody"/>
              <w:rPr>
                <w:sz w:val="15"/>
                <w:szCs w:val="15"/>
              </w:rPr>
            </w:pPr>
            <w:r w:rsidRPr="00B63EC3">
              <w:rPr>
                <w:sz w:val="15"/>
                <w:szCs w:val="15"/>
              </w:rPr>
              <w:t>20 January 2019</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2625CFA"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295DD2E" w14:textId="77777777">
            <w:pPr>
              <w:pStyle w:val="tablebody"/>
              <w:rPr>
                <w:sz w:val="15"/>
                <w:szCs w:val="15"/>
              </w:rPr>
            </w:pPr>
            <w:r w:rsidRPr="00B63EC3">
              <w:rPr>
                <w:sz w:val="15"/>
                <w:szCs w:val="15"/>
              </w:rPr>
              <w:t>30 January 2019</w:t>
            </w:r>
          </w:p>
        </w:tc>
      </w:tr>
      <w:tr w:rsidRPr="00B63EC3" w:rsidR="00B63EC3" w:rsidTr="00431DF4" w14:paraId="2698B70D"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2C27D6FC"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0F6F54CC" w14:textId="77777777">
            <w:pPr>
              <w:pStyle w:val="tablebody"/>
              <w:rPr>
                <w:sz w:val="15"/>
                <w:szCs w:val="15"/>
              </w:rPr>
            </w:pPr>
            <w:r w:rsidRPr="00B63EC3">
              <w:rPr>
                <w:sz w:val="15"/>
                <w:szCs w:val="15"/>
              </w:rPr>
              <w:t>The Hon. Jill Hennessy, MP</w:t>
            </w:r>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3D14C205" w14:textId="77777777">
            <w:pPr>
              <w:pStyle w:val="tablebody"/>
              <w:rPr>
                <w:sz w:val="15"/>
                <w:szCs w:val="15"/>
              </w:rPr>
            </w:pPr>
            <w:r w:rsidRPr="00B63EC3">
              <w:rPr>
                <w:sz w:val="15"/>
                <w:szCs w:val="15"/>
              </w:rPr>
              <w:t>21 April 2019</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6063FE39"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771CCAB0" w14:textId="77777777">
            <w:pPr>
              <w:pStyle w:val="tablebody"/>
              <w:rPr>
                <w:sz w:val="15"/>
                <w:szCs w:val="15"/>
              </w:rPr>
            </w:pPr>
            <w:r w:rsidRPr="00B63EC3">
              <w:rPr>
                <w:sz w:val="15"/>
                <w:szCs w:val="15"/>
              </w:rPr>
              <w:t>29 April 2019</w:t>
            </w:r>
          </w:p>
        </w:tc>
      </w:tr>
      <w:tr w:rsidRPr="00B63EC3" w:rsidR="00B63EC3" w:rsidTr="00431DF4" w14:paraId="3B9669E2"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4BB343F7" w14:textId="77777777">
            <w:pPr>
              <w:pStyle w:val="tablebody"/>
              <w:rPr>
                <w:sz w:val="15"/>
                <w:szCs w:val="15"/>
              </w:rPr>
            </w:pPr>
            <w:r w:rsidRPr="00B63EC3">
              <w:rPr>
                <w:sz w:val="15"/>
                <w:szCs w:val="15"/>
              </w:rPr>
              <w:t>Secretary</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37433731" w14:textId="77777777">
            <w:pPr>
              <w:pStyle w:val="tablebody"/>
              <w:rPr>
                <w:sz w:val="15"/>
                <w:szCs w:val="15"/>
              </w:rPr>
            </w:pPr>
            <w:r w:rsidRPr="00B63EC3">
              <w:rPr>
                <w:sz w:val="15"/>
                <w:szCs w:val="15"/>
              </w:rPr>
              <w:t>Greg Wilson</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8A93230" w14:textId="77777777">
            <w:pPr>
              <w:pStyle w:val="tablebody"/>
              <w:rPr>
                <w:sz w:val="15"/>
                <w:szCs w:val="15"/>
              </w:rPr>
            </w:pPr>
            <w:r w:rsidRPr="00B63EC3">
              <w:rPr>
                <w:sz w:val="15"/>
                <w:szCs w:val="15"/>
              </w:rPr>
              <w:t>1 July 2018</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DF717AD"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0B54498D" w14:textId="77777777">
            <w:pPr>
              <w:pStyle w:val="tablebody"/>
              <w:rPr>
                <w:sz w:val="15"/>
                <w:szCs w:val="15"/>
              </w:rPr>
            </w:pPr>
            <w:r w:rsidRPr="00B63EC3">
              <w:rPr>
                <w:sz w:val="15"/>
                <w:szCs w:val="15"/>
              </w:rPr>
              <w:t>28 November 2018</w:t>
            </w:r>
          </w:p>
        </w:tc>
      </w:tr>
      <w:tr w:rsidRPr="00B63EC3" w:rsidR="00B63EC3" w:rsidTr="00431DF4" w14:paraId="3DE45C17" w14:textId="77777777">
        <w:tc>
          <w:tcPr>
            <w:tcW w:w="4678" w:type="dxa"/>
            <w:vMerge/>
            <w:tcBorders>
              <w:top w:val="nil"/>
              <w:left w:val="nil"/>
              <w:bottom w:val="single" w:color="000000" w:sz="2" w:space="0"/>
              <w:right w:val="nil"/>
            </w:tcBorders>
            <w:tcMar>
              <w:top w:w="28" w:type="dxa"/>
              <w:bottom w:w="28" w:type="dxa"/>
            </w:tcMar>
          </w:tcPr>
          <w:p w:rsidRPr="00B63EC3" w:rsidR="00B63EC3" w:rsidP="00B63EC3" w:rsidRDefault="00B63EC3" w14:paraId="1468DDC5" w14:textId="77777777">
            <w:pPr>
              <w:pStyle w:val="tablebody"/>
              <w:rPr>
                <w:sz w:val="15"/>
                <w:szCs w:val="15"/>
                <w:lang w:val="en-US"/>
              </w:rPr>
            </w:pPr>
          </w:p>
        </w:tc>
        <w:tc>
          <w:tcPr>
            <w:tcW w:w="2268"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161079CE" w14:textId="77777777">
            <w:pPr>
              <w:pStyle w:val="tablebody"/>
              <w:rPr>
                <w:sz w:val="15"/>
                <w:szCs w:val="15"/>
              </w:rPr>
            </w:pPr>
            <w:r w:rsidRPr="00B63EC3">
              <w:rPr>
                <w:sz w:val="15"/>
                <w:szCs w:val="15"/>
              </w:rPr>
              <w:t xml:space="preserve">Rebecca </w:t>
            </w:r>
            <w:proofErr w:type="spellStart"/>
            <w:r w:rsidRPr="00B63EC3">
              <w:rPr>
                <w:sz w:val="15"/>
                <w:szCs w:val="15"/>
              </w:rPr>
              <w:t>Falkingham</w:t>
            </w:r>
            <w:proofErr w:type="spellEnd"/>
          </w:p>
        </w:tc>
        <w:tc>
          <w:tcPr>
            <w:tcW w:w="1559"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111D7FE6" w14:textId="77777777">
            <w:pPr>
              <w:pStyle w:val="tablebody"/>
              <w:rPr>
                <w:sz w:val="15"/>
                <w:szCs w:val="15"/>
              </w:rPr>
            </w:pPr>
            <w:r w:rsidRPr="00B63EC3">
              <w:rPr>
                <w:sz w:val="15"/>
                <w:szCs w:val="15"/>
              </w:rPr>
              <w:t>29 November 2018</w:t>
            </w:r>
          </w:p>
        </w:tc>
        <w:tc>
          <w:tcPr>
            <w:tcW w:w="284"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33C0468A" w14:textId="77777777">
            <w:pPr>
              <w:pStyle w:val="tablebody"/>
              <w:rPr>
                <w:sz w:val="15"/>
                <w:szCs w:val="15"/>
              </w:rPr>
            </w:pPr>
            <w:r w:rsidRPr="00B63EC3">
              <w:rPr>
                <w:sz w:val="15"/>
                <w:szCs w:val="15"/>
              </w:rPr>
              <w:t>to</w:t>
            </w:r>
          </w:p>
        </w:tc>
        <w:tc>
          <w:tcPr>
            <w:tcW w:w="1417" w:type="dxa"/>
            <w:tcBorders>
              <w:top w:val="nil"/>
              <w:left w:val="nil"/>
              <w:bottom w:val="single" w:color="000000" w:sz="2" w:space="0"/>
              <w:right w:val="nil"/>
            </w:tcBorders>
            <w:tcMar>
              <w:top w:w="28" w:type="dxa"/>
              <w:left w:w="0" w:type="dxa"/>
              <w:bottom w:w="28" w:type="dxa"/>
              <w:right w:w="0" w:type="dxa"/>
            </w:tcMar>
          </w:tcPr>
          <w:p w:rsidRPr="00B63EC3" w:rsidR="00B63EC3" w:rsidP="00B63EC3" w:rsidRDefault="00B63EC3" w14:paraId="725EE782" w14:textId="77777777">
            <w:pPr>
              <w:pStyle w:val="tablebody"/>
              <w:rPr>
                <w:sz w:val="15"/>
                <w:szCs w:val="15"/>
              </w:rPr>
            </w:pPr>
            <w:r w:rsidRPr="00B63EC3">
              <w:rPr>
                <w:sz w:val="15"/>
                <w:szCs w:val="15"/>
              </w:rPr>
              <w:t>30 June 2019</w:t>
            </w:r>
          </w:p>
        </w:tc>
      </w:tr>
      <w:tr w:rsidRPr="00B63EC3" w:rsidR="00B63EC3" w:rsidTr="00431DF4" w14:paraId="18B71695" w14:textId="77777777">
        <w:tc>
          <w:tcPr>
            <w:tcW w:w="4678" w:type="dxa"/>
            <w:vMerge w:val="restart"/>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CADAD8D" w14:textId="77777777">
            <w:pPr>
              <w:pStyle w:val="tablebody"/>
              <w:rPr>
                <w:sz w:val="15"/>
                <w:szCs w:val="15"/>
              </w:rPr>
            </w:pPr>
            <w:r w:rsidRPr="00B63EC3">
              <w:rPr>
                <w:sz w:val="15"/>
                <w:szCs w:val="15"/>
              </w:rPr>
              <w:t>Acting Secretary</w:t>
            </w:r>
          </w:p>
        </w:tc>
        <w:tc>
          <w:tcPr>
            <w:tcW w:w="2268"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2DE7FA34" w14:textId="77777777">
            <w:pPr>
              <w:pStyle w:val="tablebody"/>
              <w:rPr>
                <w:sz w:val="15"/>
                <w:szCs w:val="15"/>
              </w:rPr>
            </w:pPr>
            <w:r w:rsidRPr="00B63EC3">
              <w:rPr>
                <w:sz w:val="15"/>
                <w:szCs w:val="15"/>
              </w:rPr>
              <w:t>Julia Griffith</w:t>
            </w:r>
          </w:p>
        </w:tc>
        <w:tc>
          <w:tcPr>
            <w:tcW w:w="1559"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377659A9" w14:textId="77777777">
            <w:pPr>
              <w:pStyle w:val="tablebody"/>
              <w:rPr>
                <w:sz w:val="15"/>
                <w:szCs w:val="15"/>
              </w:rPr>
            </w:pPr>
            <w:r w:rsidRPr="00B63EC3">
              <w:rPr>
                <w:sz w:val="15"/>
                <w:szCs w:val="15"/>
              </w:rPr>
              <w:t>23 July 2018</w:t>
            </w:r>
          </w:p>
        </w:tc>
        <w:tc>
          <w:tcPr>
            <w:tcW w:w="284"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525A67C8" w14:textId="77777777">
            <w:pPr>
              <w:pStyle w:val="tablebody"/>
              <w:rPr>
                <w:sz w:val="15"/>
                <w:szCs w:val="15"/>
              </w:rPr>
            </w:pPr>
            <w:r w:rsidRPr="00B63EC3">
              <w:rPr>
                <w:sz w:val="15"/>
                <w:szCs w:val="15"/>
              </w:rPr>
              <w:t>to</w:t>
            </w:r>
          </w:p>
        </w:tc>
        <w:tc>
          <w:tcPr>
            <w:tcW w:w="1417" w:type="dxa"/>
            <w:tcBorders>
              <w:top w:val="single" w:color="000000" w:sz="2" w:space="0"/>
              <w:left w:val="nil"/>
              <w:bottom w:val="nil"/>
              <w:right w:val="nil"/>
            </w:tcBorders>
            <w:tcMar>
              <w:top w:w="28" w:type="dxa"/>
              <w:left w:w="0" w:type="dxa"/>
              <w:bottom w:w="28" w:type="dxa"/>
              <w:right w:w="0" w:type="dxa"/>
            </w:tcMar>
          </w:tcPr>
          <w:p w:rsidRPr="00B63EC3" w:rsidR="00B63EC3" w:rsidP="00B63EC3" w:rsidRDefault="00B63EC3" w14:paraId="714C571E" w14:textId="77777777">
            <w:pPr>
              <w:pStyle w:val="tablebody"/>
              <w:rPr>
                <w:sz w:val="15"/>
                <w:szCs w:val="15"/>
              </w:rPr>
            </w:pPr>
            <w:r w:rsidRPr="00B63EC3">
              <w:rPr>
                <w:sz w:val="15"/>
                <w:szCs w:val="15"/>
              </w:rPr>
              <w:t>6 August 2018</w:t>
            </w:r>
          </w:p>
        </w:tc>
      </w:tr>
      <w:tr w:rsidRPr="00B63EC3" w:rsidR="00B63EC3" w:rsidTr="00431DF4" w14:paraId="099C6D88" w14:textId="77777777">
        <w:tc>
          <w:tcPr>
            <w:tcW w:w="4678" w:type="dxa"/>
            <w:vMerge/>
            <w:tcBorders>
              <w:top w:val="nil"/>
              <w:left w:val="nil"/>
              <w:bottom w:val="nil"/>
              <w:right w:val="nil"/>
            </w:tcBorders>
            <w:tcMar>
              <w:top w:w="28" w:type="dxa"/>
              <w:bottom w:w="28" w:type="dxa"/>
            </w:tcMar>
          </w:tcPr>
          <w:p w:rsidRPr="00B63EC3" w:rsidR="00B63EC3" w:rsidP="00B63EC3" w:rsidRDefault="00B63EC3" w14:paraId="42EA0F32" w14:textId="77777777">
            <w:pPr>
              <w:pStyle w:val="tablebody"/>
              <w:rPr>
                <w:sz w:val="15"/>
                <w:szCs w:val="15"/>
                <w:lang w:val="en-US"/>
              </w:rPr>
            </w:pPr>
          </w:p>
        </w:tc>
        <w:tc>
          <w:tcPr>
            <w:tcW w:w="2268" w:type="dxa"/>
            <w:tcBorders>
              <w:top w:val="nil"/>
              <w:left w:val="nil"/>
              <w:bottom w:val="nil"/>
              <w:right w:val="nil"/>
            </w:tcBorders>
            <w:tcMar>
              <w:top w:w="28" w:type="dxa"/>
              <w:left w:w="0" w:type="dxa"/>
              <w:bottom w:w="28" w:type="dxa"/>
              <w:right w:w="0" w:type="dxa"/>
            </w:tcMar>
          </w:tcPr>
          <w:p w:rsidRPr="00B63EC3" w:rsidR="00B63EC3" w:rsidP="00B63EC3" w:rsidRDefault="00B63EC3" w14:paraId="2855CC6E" w14:textId="77777777">
            <w:pPr>
              <w:pStyle w:val="tablebody"/>
              <w:rPr>
                <w:sz w:val="15"/>
                <w:szCs w:val="15"/>
              </w:rPr>
            </w:pPr>
            <w:proofErr w:type="spellStart"/>
            <w:r w:rsidRPr="00B63EC3">
              <w:rPr>
                <w:sz w:val="15"/>
                <w:szCs w:val="15"/>
              </w:rPr>
              <w:t>Corri</w:t>
            </w:r>
            <w:proofErr w:type="spellEnd"/>
            <w:r w:rsidRPr="00B63EC3">
              <w:rPr>
                <w:sz w:val="15"/>
                <w:szCs w:val="15"/>
              </w:rPr>
              <w:t xml:space="preserve"> McKenzie</w:t>
            </w:r>
          </w:p>
        </w:tc>
        <w:tc>
          <w:tcPr>
            <w:tcW w:w="1559" w:type="dxa"/>
            <w:tcBorders>
              <w:top w:val="nil"/>
              <w:left w:val="nil"/>
              <w:bottom w:val="nil"/>
              <w:right w:val="nil"/>
            </w:tcBorders>
            <w:tcMar>
              <w:top w:w="28" w:type="dxa"/>
              <w:left w:w="0" w:type="dxa"/>
              <w:bottom w:w="28" w:type="dxa"/>
              <w:right w:w="0" w:type="dxa"/>
            </w:tcMar>
          </w:tcPr>
          <w:p w:rsidRPr="00B63EC3" w:rsidR="00B63EC3" w:rsidP="00B63EC3" w:rsidRDefault="00B63EC3" w14:paraId="7E905493" w14:textId="77777777">
            <w:pPr>
              <w:pStyle w:val="tablebody"/>
              <w:rPr>
                <w:sz w:val="15"/>
                <w:szCs w:val="15"/>
              </w:rPr>
            </w:pPr>
            <w:r w:rsidRPr="00B63EC3">
              <w:rPr>
                <w:sz w:val="15"/>
                <w:szCs w:val="15"/>
              </w:rPr>
              <w:t>14 January 2019</w:t>
            </w:r>
          </w:p>
        </w:tc>
        <w:tc>
          <w:tcPr>
            <w:tcW w:w="284" w:type="dxa"/>
            <w:tcBorders>
              <w:top w:val="nil"/>
              <w:left w:val="nil"/>
              <w:bottom w:val="nil"/>
              <w:right w:val="nil"/>
            </w:tcBorders>
            <w:tcMar>
              <w:top w:w="28" w:type="dxa"/>
              <w:left w:w="0" w:type="dxa"/>
              <w:bottom w:w="28" w:type="dxa"/>
              <w:right w:w="0" w:type="dxa"/>
            </w:tcMar>
          </w:tcPr>
          <w:p w:rsidRPr="00B63EC3" w:rsidR="00B63EC3" w:rsidP="00B63EC3" w:rsidRDefault="00B63EC3" w14:paraId="02098996" w14:textId="77777777">
            <w:pPr>
              <w:pStyle w:val="tablebody"/>
              <w:rPr>
                <w:sz w:val="15"/>
                <w:szCs w:val="15"/>
              </w:rPr>
            </w:pPr>
            <w:r w:rsidRPr="00B63EC3">
              <w:rPr>
                <w:sz w:val="15"/>
                <w:szCs w:val="15"/>
              </w:rPr>
              <w:t>to</w:t>
            </w:r>
          </w:p>
        </w:tc>
        <w:tc>
          <w:tcPr>
            <w:tcW w:w="1417" w:type="dxa"/>
            <w:tcBorders>
              <w:top w:val="nil"/>
              <w:left w:val="nil"/>
              <w:bottom w:val="nil"/>
              <w:right w:val="nil"/>
            </w:tcBorders>
            <w:tcMar>
              <w:top w:w="28" w:type="dxa"/>
              <w:left w:w="0" w:type="dxa"/>
              <w:bottom w:w="28" w:type="dxa"/>
              <w:right w:w="0" w:type="dxa"/>
            </w:tcMar>
          </w:tcPr>
          <w:p w:rsidRPr="00B63EC3" w:rsidR="00B63EC3" w:rsidP="00B63EC3" w:rsidRDefault="00B63EC3" w14:paraId="42EFEE79" w14:textId="77777777">
            <w:pPr>
              <w:pStyle w:val="tablebody"/>
              <w:rPr>
                <w:sz w:val="15"/>
                <w:szCs w:val="15"/>
              </w:rPr>
            </w:pPr>
            <w:r w:rsidRPr="00B63EC3">
              <w:rPr>
                <w:sz w:val="15"/>
                <w:szCs w:val="15"/>
              </w:rPr>
              <w:t>18 January 2019</w:t>
            </w:r>
          </w:p>
        </w:tc>
      </w:tr>
      <w:tr w:rsidRPr="00B63EC3" w:rsidR="00B63EC3" w:rsidTr="00431DF4" w14:paraId="528F58A4" w14:textId="77777777">
        <w:tc>
          <w:tcPr>
            <w:tcW w:w="4678" w:type="dxa"/>
            <w:vMerge/>
            <w:tcBorders>
              <w:top w:val="nil"/>
              <w:left w:val="nil"/>
              <w:bottom w:val="single" w:color="000000" w:sz="6" w:space="0"/>
              <w:right w:val="nil"/>
            </w:tcBorders>
            <w:tcMar>
              <w:top w:w="28" w:type="dxa"/>
              <w:bottom w:w="28" w:type="dxa"/>
            </w:tcMar>
          </w:tcPr>
          <w:p w:rsidRPr="00B63EC3" w:rsidR="00B63EC3" w:rsidP="00B63EC3" w:rsidRDefault="00B63EC3" w14:paraId="5122AF28" w14:textId="77777777">
            <w:pPr>
              <w:pStyle w:val="tablebody"/>
              <w:rPr>
                <w:sz w:val="15"/>
                <w:szCs w:val="15"/>
                <w:lang w:val="en-US"/>
              </w:rPr>
            </w:pPr>
          </w:p>
        </w:tc>
        <w:tc>
          <w:tcPr>
            <w:tcW w:w="2268" w:type="dxa"/>
            <w:tcBorders>
              <w:top w:val="nil"/>
              <w:left w:val="nil"/>
              <w:bottom w:val="single" w:color="000000" w:sz="6" w:space="0"/>
              <w:right w:val="nil"/>
            </w:tcBorders>
            <w:tcMar>
              <w:top w:w="28" w:type="dxa"/>
              <w:left w:w="0" w:type="dxa"/>
              <w:bottom w:w="28" w:type="dxa"/>
              <w:right w:w="0" w:type="dxa"/>
            </w:tcMar>
          </w:tcPr>
          <w:p w:rsidRPr="00B63EC3" w:rsidR="00B63EC3" w:rsidP="00B63EC3" w:rsidRDefault="00B63EC3" w14:paraId="3AA66693" w14:textId="77777777">
            <w:pPr>
              <w:pStyle w:val="tablebody"/>
              <w:rPr>
                <w:sz w:val="15"/>
                <w:szCs w:val="15"/>
              </w:rPr>
            </w:pPr>
            <w:r w:rsidRPr="00B63EC3">
              <w:rPr>
                <w:sz w:val="15"/>
                <w:szCs w:val="15"/>
              </w:rPr>
              <w:t>Ryan Phillips</w:t>
            </w:r>
          </w:p>
        </w:tc>
        <w:tc>
          <w:tcPr>
            <w:tcW w:w="1559" w:type="dxa"/>
            <w:tcBorders>
              <w:top w:val="nil"/>
              <w:left w:val="nil"/>
              <w:bottom w:val="single" w:color="000000" w:sz="6" w:space="0"/>
              <w:right w:val="nil"/>
            </w:tcBorders>
            <w:tcMar>
              <w:top w:w="28" w:type="dxa"/>
              <w:left w:w="0" w:type="dxa"/>
              <w:bottom w:w="28" w:type="dxa"/>
              <w:right w:w="0" w:type="dxa"/>
            </w:tcMar>
          </w:tcPr>
          <w:p w:rsidRPr="00B63EC3" w:rsidR="00B63EC3" w:rsidP="00B63EC3" w:rsidRDefault="00B63EC3" w14:paraId="1CB9F577" w14:textId="77777777">
            <w:pPr>
              <w:pStyle w:val="tablebody"/>
              <w:rPr>
                <w:sz w:val="15"/>
                <w:szCs w:val="15"/>
              </w:rPr>
            </w:pPr>
            <w:r w:rsidRPr="00B63EC3">
              <w:rPr>
                <w:sz w:val="15"/>
                <w:szCs w:val="15"/>
              </w:rPr>
              <w:t>15 April 2019</w:t>
            </w:r>
          </w:p>
        </w:tc>
        <w:tc>
          <w:tcPr>
            <w:tcW w:w="284" w:type="dxa"/>
            <w:tcBorders>
              <w:top w:val="nil"/>
              <w:left w:val="nil"/>
              <w:bottom w:val="single" w:color="000000" w:sz="6" w:space="0"/>
              <w:right w:val="nil"/>
            </w:tcBorders>
            <w:tcMar>
              <w:top w:w="28" w:type="dxa"/>
              <w:left w:w="0" w:type="dxa"/>
              <w:bottom w:w="28" w:type="dxa"/>
              <w:right w:w="0" w:type="dxa"/>
            </w:tcMar>
          </w:tcPr>
          <w:p w:rsidRPr="00B63EC3" w:rsidR="00B63EC3" w:rsidP="00B63EC3" w:rsidRDefault="00B63EC3" w14:paraId="250A8477" w14:textId="77777777">
            <w:pPr>
              <w:pStyle w:val="tablebody"/>
              <w:rPr>
                <w:sz w:val="15"/>
                <w:szCs w:val="15"/>
              </w:rPr>
            </w:pPr>
            <w:r w:rsidRPr="00B63EC3">
              <w:rPr>
                <w:sz w:val="15"/>
                <w:szCs w:val="15"/>
              </w:rPr>
              <w:t>to</w:t>
            </w:r>
          </w:p>
        </w:tc>
        <w:tc>
          <w:tcPr>
            <w:tcW w:w="1417" w:type="dxa"/>
            <w:tcBorders>
              <w:top w:val="nil"/>
              <w:left w:val="nil"/>
              <w:bottom w:val="single" w:color="000000" w:sz="6" w:space="0"/>
              <w:right w:val="nil"/>
            </w:tcBorders>
            <w:tcMar>
              <w:top w:w="28" w:type="dxa"/>
              <w:left w:w="0" w:type="dxa"/>
              <w:bottom w:w="28" w:type="dxa"/>
              <w:right w:w="0" w:type="dxa"/>
            </w:tcMar>
          </w:tcPr>
          <w:p w:rsidRPr="00B63EC3" w:rsidR="00B63EC3" w:rsidP="00B63EC3" w:rsidRDefault="00B63EC3" w14:paraId="1F887F7B" w14:textId="77777777">
            <w:pPr>
              <w:pStyle w:val="tablebody"/>
              <w:rPr>
                <w:sz w:val="15"/>
                <w:szCs w:val="15"/>
              </w:rPr>
            </w:pPr>
            <w:r w:rsidRPr="00B63EC3">
              <w:rPr>
                <w:sz w:val="15"/>
                <w:szCs w:val="15"/>
              </w:rPr>
              <w:t>19 April 2019</w:t>
            </w:r>
          </w:p>
        </w:tc>
      </w:tr>
    </w:tbl>
    <w:p w:rsidRPr="00B63EC3" w:rsidR="00B63EC3" w:rsidP="00B63EC3" w:rsidRDefault="00B63EC3" w14:paraId="547BAAA3" w14:textId="77777777">
      <w:pPr>
        <w:pStyle w:val="notes"/>
        <w:spacing w:after="0"/>
        <w:ind w:left="284" w:hanging="284"/>
      </w:pPr>
      <w:r w:rsidRPr="00B63EC3">
        <w:t xml:space="preserve">(i) </w:t>
      </w:r>
      <w:r w:rsidRPr="00B63EC3">
        <w:tab/>
        <w:t>Position created on 29 November 2018.</w:t>
      </w:r>
    </w:p>
    <w:p w:rsidRPr="00B63EC3" w:rsidR="00B63EC3" w:rsidP="00B63EC3" w:rsidRDefault="00B63EC3" w14:paraId="274E121F" w14:textId="77777777">
      <w:pPr>
        <w:pStyle w:val="notes"/>
        <w:spacing w:after="0"/>
        <w:ind w:left="284" w:hanging="284"/>
      </w:pPr>
      <w:r w:rsidRPr="00B63EC3">
        <w:t xml:space="preserve">(ii) </w:t>
      </w:r>
      <w:r w:rsidRPr="00B63EC3">
        <w:tab/>
        <w:t>Position ceased on 28 November 2018.</w:t>
      </w:r>
    </w:p>
    <w:p w:rsidRPr="00431DF4" w:rsidR="00B63EC3" w:rsidP="00B63EC3" w:rsidRDefault="00B63EC3" w14:paraId="791A001B" w14:textId="4585C473">
      <w:pPr>
        <w:pStyle w:val="notes"/>
        <w:ind w:left="284" w:hanging="284"/>
        <w:rPr>
          <w:rFonts w:cs="Times New Roman (Body CS)"/>
          <w:spacing w:val="-4"/>
        </w:rPr>
      </w:pPr>
      <w:r w:rsidRPr="00B63EC3">
        <w:t xml:space="preserve">(iii) </w:t>
      </w:r>
      <w:r w:rsidRPr="00B63EC3">
        <w:tab/>
      </w:r>
      <w:r w:rsidRPr="00431DF4">
        <w:rPr>
          <w:rFonts w:cs="Times New Roman (Body CS)"/>
          <w:spacing w:val="-4"/>
        </w:rPr>
        <w:t>Position has been supported by the Department of Jobs, Precincts and Regions as a result of a machinery of government change from 1 January 2019.</w:t>
      </w:r>
    </w:p>
    <w:p w:rsidRPr="00B63EC3" w:rsidR="00B63EC3" w:rsidP="00B63EC3" w:rsidRDefault="00B63EC3" w14:paraId="75830BA2" w14:textId="77777777">
      <w:pPr>
        <w:rPr>
          <w:b/>
          <w:bCs/>
        </w:rPr>
      </w:pPr>
      <w:r w:rsidRPr="00B63EC3">
        <w:rPr>
          <w:b/>
          <w:bCs/>
        </w:rPr>
        <w:lastRenderedPageBreak/>
        <w:t>Remuneration</w:t>
      </w:r>
    </w:p>
    <w:p w:rsidRPr="00B63EC3" w:rsidR="00B63EC3" w:rsidP="00B63EC3" w:rsidRDefault="00B63EC3" w14:paraId="3F62418F" w14:textId="77777777">
      <w:r w:rsidRPr="00B63EC3">
        <w:t>Remuneration received or receivable by the Accountable Officer (Secretary) in connection with the management of the department during the reporting period was in the range: $540,000 - $549,999 ($520,000 - $529,000 in 2017-18).</w:t>
      </w:r>
    </w:p>
    <w:p w:rsidRPr="00431DF4" w:rsidR="00431DF4" w:rsidP="00431DF4" w:rsidRDefault="00431DF4" w14:paraId="15F00ACF" w14:textId="0989F688">
      <w:pPr>
        <w:pStyle w:val="Heading3"/>
      </w:pPr>
      <w:r w:rsidRPr="00431DF4">
        <w:t>9.7 Remuneration of executives</w:t>
      </w:r>
    </w:p>
    <w:p w:rsidRPr="00431DF4" w:rsidR="00431DF4" w:rsidP="00431DF4" w:rsidRDefault="00431DF4" w14:paraId="34DB762D" w14:textId="77777777">
      <w:r w:rsidRPr="00431DF4">
        <w:t>The number of executive officers, other than Ministers and the Accountable Officer, and their total remuneration during the reporting period are shown in the table below.  Total annualised employee equivalents provides a measure of full time equivalent executive officers over the reporting period.</w:t>
      </w:r>
    </w:p>
    <w:p w:rsidRPr="00431DF4" w:rsidR="00431DF4" w:rsidP="00431DF4" w:rsidRDefault="00431DF4" w14:paraId="6251610E" w14:textId="77777777">
      <w:r w:rsidRPr="00431DF4">
        <w:t>Remuneration comprises employee benefits in all forms of consideration paid, payable or provided by the entity, or on behalf of the entity, in exchange for services rendered, and is disclosed in the following categories.</w:t>
      </w:r>
    </w:p>
    <w:p w:rsidRPr="00431DF4" w:rsidR="00431DF4" w:rsidP="00431DF4" w:rsidRDefault="00431DF4" w14:paraId="67054594" w14:textId="77777777">
      <w:r w:rsidRPr="00431DF4">
        <w:rPr>
          <w:b/>
        </w:rPr>
        <w:t>Short-term employee benefits</w:t>
      </w:r>
      <w:r w:rsidRPr="00431DF4">
        <w:t xml:space="preserve"> include amounts such as wages, salaries, annual leave and non-monetary benefits such as motor vehicle allowances.</w:t>
      </w:r>
    </w:p>
    <w:p w:rsidRPr="00431DF4" w:rsidR="00431DF4" w:rsidP="00431DF4" w:rsidRDefault="00431DF4" w14:paraId="504B2365" w14:textId="77777777">
      <w:r w:rsidRPr="00431DF4">
        <w:rPr>
          <w:b/>
        </w:rPr>
        <w:t>Post-employment benefits</w:t>
      </w:r>
      <w:r w:rsidRPr="00431DF4">
        <w:t xml:space="preserve"> include superannuation entitlements.</w:t>
      </w:r>
    </w:p>
    <w:p w:rsidRPr="00431DF4" w:rsidR="00431DF4" w:rsidP="00431DF4" w:rsidRDefault="00431DF4" w14:paraId="6D99B15B" w14:textId="77777777">
      <w:r w:rsidRPr="00431DF4">
        <w:rPr>
          <w:b/>
        </w:rPr>
        <w:t>Other long-term benefits</w:t>
      </w:r>
      <w:r w:rsidRPr="00431DF4">
        <w:t xml:space="preserve"> include long service leave and other long term benefits.</w:t>
      </w:r>
    </w:p>
    <w:p w:rsidRPr="00431DF4" w:rsidR="00431DF4" w:rsidP="00431DF4" w:rsidRDefault="00431DF4" w14:paraId="3C35DDD4" w14:textId="77777777">
      <w:r w:rsidRPr="00431DF4">
        <w:rPr>
          <w:b/>
        </w:rPr>
        <w:t>Termination benefits</w:t>
      </w:r>
      <w:r w:rsidRPr="00431DF4">
        <w:t xml:space="preserve"> include termination of employment payments, such as severance packages.</w:t>
      </w:r>
    </w:p>
    <w:p w:rsidRPr="00431DF4" w:rsidR="00431DF4" w:rsidP="00431DF4" w:rsidRDefault="00431DF4" w14:paraId="07E5C740" w14:textId="0CC37F2C">
      <w:r w:rsidRPr="00431DF4">
        <w:t xml:space="preserve">Several factors affected total remuneration payable to executives over the 2018-19 year.  A number of employment contracts were completed and renegotiated, and a number of executive officers resigned or their contracts ceased.  This has had an impact on remuneration figures for the termination benefits category.  A number of executive roles were created as a result of the new department structure, which has impacted all benefits categories. </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431DF4" w:rsidR="00431DF4" w:rsidTr="00431DF4" w14:paraId="19928BB4"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15199CEC" w14:textId="77777777">
            <w:pPr>
              <w:pStyle w:val="tablebody"/>
              <w:rPr>
                <w:b/>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12A5C5D4" w14:textId="77777777">
            <w:pPr>
              <w:pStyle w:val="tablebody"/>
              <w:jc w:val="right"/>
              <w:rPr>
                <w:b/>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7CA3236A" w14:textId="77777777">
            <w:pPr>
              <w:pStyle w:val="tablebody"/>
              <w:jc w:val="right"/>
              <w:rPr>
                <w:b/>
              </w:rPr>
            </w:pPr>
            <w:r w:rsidRPr="00431DF4">
              <w:rPr>
                <w:b/>
              </w:rPr>
              <w:t>($ thousand)</w:t>
            </w:r>
          </w:p>
        </w:tc>
      </w:tr>
      <w:tr w:rsidRPr="00431DF4" w:rsidR="00431DF4" w:rsidTr="00431DF4" w14:paraId="471EB448"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60624FA" w14:textId="77777777">
            <w:pPr>
              <w:pStyle w:val="tablebody"/>
              <w:rPr>
                <w:b/>
              </w:rPr>
            </w:pPr>
            <w:r w:rsidRPr="00431DF4">
              <w:rPr>
                <w:b/>
              </w:rPr>
              <w:t>Remuneration of executive officers (i)(ii)(iii)</w:t>
            </w:r>
            <w:r w:rsidRPr="00431DF4">
              <w:rPr>
                <w:b/>
              </w:rPr>
              <w:br/>
              <w:t>(including key management personnel disclosed in note 9.8)</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54C54138" w14:textId="77777777">
            <w:pPr>
              <w:pStyle w:val="tablebody"/>
              <w:jc w:val="right"/>
              <w:rPr>
                <w:b/>
              </w:rPr>
            </w:pPr>
            <w:r w:rsidRPr="00431DF4">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E63D63D" w14:textId="77777777">
            <w:pPr>
              <w:pStyle w:val="tablebody"/>
              <w:jc w:val="right"/>
              <w:rPr>
                <w:b/>
              </w:rPr>
            </w:pPr>
            <w:r w:rsidRPr="00431DF4">
              <w:rPr>
                <w:b/>
              </w:rPr>
              <w:t>2018</w:t>
            </w:r>
          </w:p>
        </w:tc>
      </w:tr>
      <w:tr w:rsidRPr="00431DF4" w:rsidR="00431DF4" w:rsidTr="00431DF4" w14:paraId="635EE36E"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431DF4" w:rsidR="00431DF4" w:rsidP="00431DF4" w:rsidRDefault="00431DF4" w14:paraId="7FF70AFD" w14:textId="77777777">
            <w:pPr>
              <w:pStyle w:val="tablebody"/>
            </w:pPr>
            <w:r w:rsidRPr="00431DF4">
              <w:t>Short-term employee benefits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431DF4" w:rsidR="00431DF4" w:rsidP="00431DF4" w:rsidRDefault="00431DF4" w14:paraId="436D8E23" w14:textId="77777777">
            <w:pPr>
              <w:pStyle w:val="tablebody"/>
              <w:jc w:val="right"/>
            </w:pPr>
            <w:r w:rsidRPr="00431DF4">
              <w:t xml:space="preserve">20,257 </w:t>
            </w: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431DF4" w:rsidR="00431DF4" w:rsidP="00431DF4" w:rsidRDefault="00431DF4" w14:paraId="5CF2A2DD" w14:textId="77777777">
            <w:pPr>
              <w:pStyle w:val="tablebody"/>
              <w:jc w:val="right"/>
            </w:pPr>
            <w:r w:rsidRPr="00431DF4">
              <w:t xml:space="preserve">15,291 </w:t>
            </w:r>
          </w:p>
        </w:tc>
      </w:tr>
      <w:tr w:rsidRPr="00431DF4" w:rsidR="00431DF4" w:rsidTr="00431DF4" w14:paraId="366B1110" w14:textId="77777777">
        <w:tc>
          <w:tcPr>
            <w:tcW w:w="6520"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4A47E96C" w14:textId="77777777">
            <w:pPr>
              <w:pStyle w:val="tablebody"/>
            </w:pPr>
            <w:r w:rsidRPr="00431DF4">
              <w:t>Post-employment benefits</w:t>
            </w:r>
          </w:p>
        </w:tc>
        <w:tc>
          <w:tcPr>
            <w:tcW w:w="1700"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43D2B4BE" w14:textId="77777777">
            <w:pPr>
              <w:pStyle w:val="tablebody"/>
              <w:jc w:val="right"/>
            </w:pPr>
            <w:r w:rsidRPr="00431DF4">
              <w:t xml:space="preserve">1,759 </w:t>
            </w:r>
          </w:p>
        </w:tc>
        <w:tc>
          <w:tcPr>
            <w:tcW w:w="1701"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056CB511" w14:textId="77777777">
            <w:pPr>
              <w:pStyle w:val="tablebody"/>
              <w:jc w:val="right"/>
            </w:pPr>
            <w:r w:rsidRPr="00431DF4">
              <w:t xml:space="preserve">1,310 </w:t>
            </w:r>
          </w:p>
        </w:tc>
      </w:tr>
      <w:tr w:rsidRPr="00431DF4" w:rsidR="00431DF4" w:rsidTr="00431DF4" w14:paraId="56EB45D9" w14:textId="77777777">
        <w:tc>
          <w:tcPr>
            <w:tcW w:w="6520"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447A5C04" w14:textId="77777777">
            <w:pPr>
              <w:pStyle w:val="tablebody"/>
            </w:pPr>
            <w:r w:rsidRPr="00431DF4">
              <w:t>Other long-term benefits</w:t>
            </w:r>
          </w:p>
        </w:tc>
        <w:tc>
          <w:tcPr>
            <w:tcW w:w="1700"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2528F10D" w14:textId="77777777">
            <w:pPr>
              <w:pStyle w:val="tablebody"/>
              <w:jc w:val="right"/>
            </w:pPr>
            <w:r w:rsidRPr="00431DF4">
              <w:t xml:space="preserve">770 </w:t>
            </w:r>
          </w:p>
        </w:tc>
        <w:tc>
          <w:tcPr>
            <w:tcW w:w="1701" w:type="dxa"/>
            <w:tcBorders>
              <w:top w:val="nil"/>
              <w:left w:val="nil"/>
              <w:bottom w:val="nil"/>
              <w:right w:val="nil"/>
            </w:tcBorders>
            <w:tcMar>
              <w:top w:w="28" w:type="dxa"/>
              <w:left w:w="0" w:type="dxa"/>
              <w:bottom w:w="57" w:type="dxa"/>
              <w:right w:w="0" w:type="dxa"/>
            </w:tcMar>
            <w:vAlign w:val="bottom"/>
          </w:tcPr>
          <w:p w:rsidRPr="00431DF4" w:rsidR="00431DF4" w:rsidP="00431DF4" w:rsidRDefault="00431DF4" w14:paraId="2EB45345" w14:textId="77777777">
            <w:pPr>
              <w:pStyle w:val="tablebody"/>
              <w:jc w:val="right"/>
            </w:pPr>
            <w:r w:rsidRPr="00431DF4">
              <w:t xml:space="preserve">526 </w:t>
            </w:r>
          </w:p>
        </w:tc>
      </w:tr>
      <w:tr w:rsidRPr="00431DF4" w:rsidR="00431DF4" w:rsidTr="00431DF4" w14:paraId="3A6AAB2D" w14:textId="77777777">
        <w:tc>
          <w:tcPr>
            <w:tcW w:w="6520"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1AE37020" w14:textId="77777777">
            <w:pPr>
              <w:pStyle w:val="tablebody"/>
            </w:pPr>
            <w:r w:rsidRPr="00431DF4">
              <w:t>Termination benefits</w:t>
            </w: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2512A62" w14:textId="77777777">
            <w:pPr>
              <w:pStyle w:val="tablebody"/>
              <w:jc w:val="right"/>
            </w:pPr>
            <w:r w:rsidRPr="00431DF4">
              <w:t xml:space="preserve">535 </w:t>
            </w: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1ED3B244" w14:textId="77777777">
            <w:pPr>
              <w:pStyle w:val="tablebody"/>
              <w:jc w:val="right"/>
            </w:pPr>
            <w:r w:rsidRPr="00431DF4">
              <w:t xml:space="preserve">128 </w:t>
            </w:r>
          </w:p>
        </w:tc>
      </w:tr>
      <w:tr w:rsidRPr="00431DF4" w:rsidR="00431DF4" w:rsidTr="00431DF4" w14:paraId="626C780D"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935BA56" w14:textId="77777777">
            <w:pPr>
              <w:pStyle w:val="tablebody"/>
              <w:rPr>
                <w:b/>
              </w:rPr>
            </w:pPr>
            <w:r w:rsidRPr="00431DF4">
              <w:rPr>
                <w:b/>
              </w:rPr>
              <w:t>Total remuneration</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0D3A38AE" w14:textId="77777777">
            <w:pPr>
              <w:pStyle w:val="tablebody"/>
              <w:jc w:val="right"/>
              <w:rPr>
                <w:b/>
              </w:rPr>
            </w:pPr>
            <w:r w:rsidRPr="00431DF4">
              <w:rPr>
                <w:b/>
              </w:rPr>
              <w:t xml:space="preserve">23,321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0D9D30F9" w14:textId="77777777">
            <w:pPr>
              <w:pStyle w:val="tablebody"/>
              <w:jc w:val="right"/>
              <w:rPr>
                <w:b/>
              </w:rPr>
            </w:pPr>
            <w:r w:rsidRPr="00431DF4">
              <w:rPr>
                <w:b/>
              </w:rPr>
              <w:t xml:space="preserve">17,255 </w:t>
            </w:r>
          </w:p>
        </w:tc>
      </w:tr>
      <w:tr w:rsidRPr="00431DF4" w:rsidR="00431DF4" w:rsidTr="00431DF4" w14:paraId="6772631D"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76468261" w14:textId="77777777">
            <w:pPr>
              <w:pStyle w:val="tablebody"/>
              <w:rPr>
                <w:b/>
              </w:rPr>
            </w:pPr>
            <w:r w:rsidRPr="00431DF4">
              <w:rPr>
                <w:b/>
              </w:rPr>
              <w:t>Total number of executives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0A04C684" w14:textId="77777777">
            <w:pPr>
              <w:pStyle w:val="tablebody"/>
              <w:jc w:val="right"/>
              <w:rPr>
                <w:b/>
              </w:rPr>
            </w:pPr>
            <w:r w:rsidRPr="00431DF4">
              <w:rPr>
                <w:b/>
              </w:rPr>
              <w:t xml:space="preserve">140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7440726B" w14:textId="77777777">
            <w:pPr>
              <w:pStyle w:val="tablebody"/>
              <w:jc w:val="right"/>
              <w:rPr>
                <w:b/>
              </w:rPr>
            </w:pPr>
            <w:r w:rsidRPr="00431DF4">
              <w:rPr>
                <w:b/>
              </w:rPr>
              <w:t xml:space="preserve">87 </w:t>
            </w:r>
          </w:p>
        </w:tc>
      </w:tr>
      <w:tr w:rsidRPr="00431DF4" w:rsidR="00431DF4" w:rsidTr="00431DF4" w14:paraId="57B65505"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A512D46" w14:textId="77777777">
            <w:pPr>
              <w:pStyle w:val="tablebody"/>
              <w:rPr>
                <w:b/>
              </w:rPr>
            </w:pPr>
            <w:r w:rsidRPr="00431DF4">
              <w:rPr>
                <w:b/>
              </w:rPr>
              <w:t>Total annualised employee equivalents (iv)</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074292D3" w14:textId="77777777">
            <w:pPr>
              <w:pStyle w:val="tablebody"/>
              <w:jc w:val="right"/>
              <w:rPr>
                <w:b/>
              </w:rPr>
            </w:pPr>
            <w:r w:rsidRPr="00431DF4">
              <w:rPr>
                <w:b/>
              </w:rPr>
              <w:t xml:space="preserve">90.7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431DF4" w:rsidR="00431DF4" w:rsidP="00431DF4" w:rsidRDefault="00431DF4" w14:paraId="20076B91" w14:textId="77777777">
            <w:pPr>
              <w:pStyle w:val="tablebody"/>
              <w:jc w:val="right"/>
              <w:rPr>
                <w:b/>
              </w:rPr>
            </w:pPr>
            <w:r w:rsidRPr="00431DF4">
              <w:rPr>
                <w:b/>
              </w:rPr>
              <w:t xml:space="preserve">68.3 </w:t>
            </w:r>
          </w:p>
        </w:tc>
      </w:tr>
    </w:tbl>
    <w:p w:rsidRPr="00431DF4" w:rsidR="00431DF4" w:rsidP="00431DF4" w:rsidRDefault="00431DF4" w14:paraId="58E75A03" w14:textId="42F28490">
      <w:pPr>
        <w:pStyle w:val="notes"/>
        <w:spacing w:after="0"/>
        <w:ind w:left="284" w:hanging="284"/>
      </w:pPr>
      <w:r w:rsidRPr="00431DF4">
        <w:t xml:space="preserve">(i) </w:t>
      </w:r>
      <w:r w:rsidRPr="00431DF4">
        <w:tab/>
        <w:t>The 2017-18 comparative figures have been updated to remove non-executive key management personnel, amend other long term benefits for people who transferred to other departments, and amend termination benefits to exclude leave payments.</w:t>
      </w:r>
    </w:p>
    <w:p w:rsidRPr="00431DF4" w:rsidR="00431DF4" w:rsidP="00431DF4" w:rsidRDefault="00431DF4" w14:paraId="3E751AA7" w14:textId="77777777">
      <w:pPr>
        <w:pStyle w:val="notes"/>
        <w:spacing w:after="0"/>
        <w:ind w:left="284" w:hanging="284"/>
      </w:pPr>
      <w:r w:rsidRPr="00431DF4">
        <w:t xml:space="preserve">(ii) </w:t>
      </w:r>
      <w:r w:rsidRPr="00431DF4">
        <w:tab/>
        <w:t>Includes nine active executive officers from the Victorian Government Solicitor’s Office.</w:t>
      </w:r>
    </w:p>
    <w:p w:rsidRPr="00431DF4" w:rsidR="00431DF4" w:rsidP="00431DF4" w:rsidRDefault="00431DF4" w14:paraId="2D8C5249" w14:textId="6CD47063">
      <w:pPr>
        <w:pStyle w:val="notes"/>
        <w:spacing w:after="0"/>
        <w:ind w:left="284" w:hanging="284"/>
      </w:pPr>
      <w:r w:rsidRPr="00431DF4">
        <w:t xml:space="preserve">(iii) </w:t>
      </w:r>
      <w:r w:rsidRPr="00431DF4">
        <w:tab/>
        <w:t xml:space="preserve">Includes persons who meet the definition of key management personnel (KMP) of the department under AASB 124 </w:t>
      </w:r>
      <w:r w:rsidRPr="00431DF4">
        <w:rPr>
          <w:i/>
          <w:iCs/>
        </w:rPr>
        <w:t>Related Party Disclosures</w:t>
      </w:r>
      <w:r w:rsidRPr="00431DF4">
        <w:t xml:space="preserve"> and are also reported within the related parties note disclosure (note 9.8).</w:t>
      </w:r>
    </w:p>
    <w:p w:rsidRPr="00431DF4" w:rsidR="00431DF4" w:rsidP="00431DF4" w:rsidRDefault="00431DF4" w14:paraId="7B3D7748" w14:textId="77777777">
      <w:pPr>
        <w:pStyle w:val="notes"/>
        <w:ind w:left="284" w:hanging="284"/>
      </w:pPr>
      <w:r w:rsidRPr="00431DF4">
        <w:t xml:space="preserve">(iv) </w:t>
      </w:r>
      <w:r w:rsidRPr="00431DF4">
        <w:tab/>
        <w:t>The total annualised employee equivalent is based on the time fraction worked over the reporting period.</w:t>
      </w:r>
    </w:p>
    <w:p w:rsidRPr="00431DF4" w:rsidR="00431DF4" w:rsidP="00431DF4" w:rsidRDefault="00431DF4" w14:paraId="69A177AE" w14:textId="77777777">
      <w:r w:rsidRPr="00431DF4">
        <w:t>A reconciliation is provided in the report of operations between the number of executive officers disclosed in the above table and the number of executive officers disclosed in the report of operations.</w:t>
      </w:r>
    </w:p>
    <w:p w:rsidRPr="00D55DDB" w:rsidR="00D55DDB" w:rsidP="00D55DDB" w:rsidRDefault="00D55DDB" w14:paraId="35D5B0A3" w14:textId="42020C73"/>
    <w:p w:rsidR="008D5852" w:rsidRDefault="008D5852" w14:paraId="197C2A06" w14:textId="09449ED9">
      <w:pPr>
        <w:spacing w:after="0"/>
        <w:rPr>
          <w:lang w:val="en-AU"/>
        </w:rPr>
      </w:pPr>
      <w:r>
        <w:rPr>
          <w:lang w:val="en-AU"/>
        </w:rPr>
        <w:br w:type="page"/>
      </w:r>
    </w:p>
    <w:p w:rsidRPr="008D5852" w:rsidR="008D5852" w:rsidP="008D5852" w:rsidRDefault="008D5852" w14:paraId="0A5A1A51" w14:textId="4B5E3053">
      <w:pPr>
        <w:pStyle w:val="Heading3"/>
      </w:pPr>
      <w:r w:rsidRPr="008D5852">
        <w:lastRenderedPageBreak/>
        <w:t>9.8 Related parties</w:t>
      </w:r>
    </w:p>
    <w:p w:rsidRPr="008D5852" w:rsidR="008D5852" w:rsidP="008D5852" w:rsidRDefault="008D5852" w14:paraId="3DB046E1" w14:textId="77777777">
      <w:r w:rsidRPr="008D5852">
        <w:t>Related parties of the department include:</w:t>
      </w:r>
    </w:p>
    <w:p w:rsidRPr="008D5852" w:rsidR="008D5852" w:rsidP="008D5852" w:rsidRDefault="008D5852" w14:paraId="2E9BFB15" w14:textId="77777777">
      <w:pPr>
        <w:pStyle w:val="Bullet1"/>
      </w:pPr>
      <w:r w:rsidRPr="008D5852">
        <w:t>all key management personnel and their close family members and personal business interests (controlled entities, joint ventures and entities they have significant influence over);</w:t>
      </w:r>
    </w:p>
    <w:p w:rsidRPr="008D5852" w:rsidR="008D5852" w:rsidP="008D5852" w:rsidRDefault="008D5852" w14:paraId="30FC2A33" w14:textId="77777777">
      <w:pPr>
        <w:pStyle w:val="Bullet1"/>
      </w:pPr>
      <w:r w:rsidRPr="008D5852">
        <w:t>all cabinet ministers and their close family members; and</w:t>
      </w:r>
    </w:p>
    <w:p w:rsidRPr="008D5852" w:rsidR="008D5852" w:rsidP="008D5852" w:rsidRDefault="008D5852" w14:paraId="54EBAAA3" w14:textId="77777777">
      <w:pPr>
        <w:pStyle w:val="Bullet1"/>
      </w:pPr>
      <w:r w:rsidRPr="008D5852">
        <w:t>all departments and public sector entities that are controlled and consolidated into the whole of state consolidated financial statements.</w:t>
      </w:r>
    </w:p>
    <w:p w:rsidRPr="008D5852" w:rsidR="008D5852" w:rsidP="008D5852" w:rsidRDefault="008D5852" w14:paraId="6FFE0D52" w14:textId="77777777">
      <w:r w:rsidRPr="008D5852">
        <w:t>All related party transactions have been entered into on an arm’s length basis.</w:t>
      </w:r>
    </w:p>
    <w:p w:rsidRPr="008D5852" w:rsidR="008D5852" w:rsidP="008D5852" w:rsidRDefault="008D5852" w14:paraId="00520864" w14:textId="77777777">
      <w:pPr>
        <w:rPr>
          <w:b/>
          <w:bCs/>
        </w:rPr>
      </w:pPr>
      <w:r w:rsidRPr="008D5852">
        <w:rPr>
          <w:b/>
          <w:bCs/>
        </w:rPr>
        <w:t>Key management personnel (KMP)</w:t>
      </w:r>
    </w:p>
    <w:p w:rsidRPr="008D5852" w:rsidR="008D5852" w:rsidP="008D5852" w:rsidRDefault="008D5852" w14:paraId="57C1144D" w14:textId="7770B1D2">
      <w:r w:rsidRPr="008D5852">
        <w:t>The people who held, or acted for more than three months in, key management positions in the department (from 1 July 2018 to 30 June 2019 unless otherwise stated) were as follows.</w:t>
      </w:r>
    </w:p>
    <w:tbl>
      <w:tblPr>
        <w:tblW w:w="10206" w:type="dxa"/>
        <w:tblLayout w:type="fixed"/>
        <w:tblCellMar>
          <w:left w:w="0" w:type="dxa"/>
          <w:right w:w="0" w:type="dxa"/>
        </w:tblCellMar>
        <w:tblLook w:firstRow="1" w:lastRow="0" w:firstColumn="0" w:lastColumn="0" w:noHBand="0" w:noVBand="0" w:val="0020"/>
      </w:tblPr>
      <w:tblGrid>
        <w:gridCol w:w="5529"/>
        <w:gridCol w:w="1417"/>
        <w:gridCol w:w="1559"/>
        <w:gridCol w:w="284"/>
        <w:gridCol w:w="1417"/>
      </w:tblGrid>
      <w:tr w:rsidRPr="00D70E0F" w:rsidR="008D5852" w:rsidTr="00D70E0F" w14:paraId="009BF378" w14:textId="77777777">
        <w:trPr>
          <w:tblHeader/>
        </w:trPr>
        <w:tc>
          <w:tcPr>
            <w:tcW w:w="5529" w:type="dxa"/>
            <w:tcBorders>
              <w:top w:val="nil"/>
              <w:left w:val="nil"/>
              <w:bottom w:val="single" w:color="000000" w:sz="6" w:space="0"/>
              <w:right w:val="nil"/>
            </w:tcBorders>
            <w:tcMar>
              <w:top w:w="0" w:type="dxa"/>
              <w:left w:w="0" w:type="dxa"/>
              <w:bottom w:w="0" w:type="dxa"/>
              <w:right w:w="0" w:type="dxa"/>
            </w:tcMar>
          </w:tcPr>
          <w:p w:rsidRPr="00D70E0F" w:rsidR="008D5852" w:rsidP="008D5852" w:rsidRDefault="008D5852" w14:paraId="2534C170" w14:textId="77777777">
            <w:pPr>
              <w:pStyle w:val="tablebody"/>
              <w:rPr>
                <w:sz w:val="10"/>
                <w:szCs w:val="10"/>
                <w:lang w:val="en-US"/>
              </w:rPr>
            </w:pPr>
          </w:p>
        </w:tc>
        <w:tc>
          <w:tcPr>
            <w:tcW w:w="1417" w:type="dxa"/>
            <w:tcBorders>
              <w:top w:val="nil"/>
              <w:left w:val="nil"/>
              <w:bottom w:val="single" w:color="000000" w:sz="6" w:space="0"/>
              <w:right w:val="nil"/>
            </w:tcBorders>
            <w:tcMar>
              <w:top w:w="0" w:type="dxa"/>
              <w:left w:w="0" w:type="dxa"/>
              <w:bottom w:w="0" w:type="dxa"/>
              <w:right w:w="0" w:type="dxa"/>
            </w:tcMar>
          </w:tcPr>
          <w:p w:rsidRPr="00D70E0F" w:rsidR="008D5852" w:rsidP="008D5852" w:rsidRDefault="008D5852" w14:paraId="73EDBC01" w14:textId="77777777">
            <w:pPr>
              <w:pStyle w:val="tablebody"/>
              <w:rPr>
                <w:sz w:val="10"/>
                <w:szCs w:val="10"/>
                <w:lang w:val="en-US"/>
              </w:rPr>
            </w:pPr>
          </w:p>
        </w:tc>
        <w:tc>
          <w:tcPr>
            <w:tcW w:w="1559" w:type="dxa"/>
            <w:tcBorders>
              <w:top w:val="nil"/>
              <w:left w:val="nil"/>
              <w:bottom w:val="single" w:color="000000" w:sz="6" w:space="0"/>
              <w:right w:val="nil"/>
            </w:tcBorders>
            <w:tcMar>
              <w:top w:w="0" w:type="dxa"/>
              <w:left w:w="0" w:type="dxa"/>
              <w:bottom w:w="0" w:type="dxa"/>
              <w:right w:w="0" w:type="dxa"/>
            </w:tcMar>
          </w:tcPr>
          <w:p w:rsidRPr="00D70E0F" w:rsidR="008D5852" w:rsidP="008D5852" w:rsidRDefault="008D5852" w14:paraId="025255CC" w14:textId="77777777">
            <w:pPr>
              <w:pStyle w:val="tablebody"/>
              <w:rPr>
                <w:sz w:val="10"/>
                <w:szCs w:val="10"/>
                <w:lang w:val="en-US"/>
              </w:rPr>
            </w:pPr>
          </w:p>
        </w:tc>
        <w:tc>
          <w:tcPr>
            <w:tcW w:w="284" w:type="dxa"/>
            <w:tcBorders>
              <w:top w:val="nil"/>
              <w:left w:val="nil"/>
              <w:bottom w:val="single" w:color="000000" w:sz="6" w:space="0"/>
              <w:right w:val="nil"/>
            </w:tcBorders>
            <w:tcMar>
              <w:top w:w="0" w:type="dxa"/>
              <w:left w:w="0" w:type="dxa"/>
              <w:bottom w:w="0" w:type="dxa"/>
              <w:right w:w="0" w:type="dxa"/>
            </w:tcMar>
          </w:tcPr>
          <w:p w:rsidRPr="00D70E0F" w:rsidR="008D5852" w:rsidP="008D5852" w:rsidRDefault="008D5852" w14:paraId="2BB22816" w14:textId="77777777">
            <w:pPr>
              <w:pStyle w:val="tablebody"/>
              <w:rPr>
                <w:sz w:val="10"/>
                <w:szCs w:val="10"/>
                <w:lang w:val="en-US"/>
              </w:rPr>
            </w:pPr>
          </w:p>
        </w:tc>
        <w:tc>
          <w:tcPr>
            <w:tcW w:w="1417" w:type="dxa"/>
            <w:tcBorders>
              <w:top w:val="nil"/>
              <w:left w:val="nil"/>
              <w:bottom w:val="single" w:color="000000" w:sz="6" w:space="0"/>
              <w:right w:val="nil"/>
            </w:tcBorders>
            <w:tcMar>
              <w:top w:w="0" w:type="dxa"/>
              <w:left w:w="0" w:type="dxa"/>
              <w:bottom w:w="0" w:type="dxa"/>
              <w:right w:w="0" w:type="dxa"/>
            </w:tcMar>
          </w:tcPr>
          <w:p w:rsidRPr="00D70E0F" w:rsidR="008D5852" w:rsidP="008D5852" w:rsidRDefault="008D5852" w14:paraId="6CB89794" w14:textId="77777777">
            <w:pPr>
              <w:pStyle w:val="tablebody"/>
              <w:rPr>
                <w:sz w:val="10"/>
                <w:szCs w:val="10"/>
                <w:lang w:val="en-US"/>
              </w:rPr>
            </w:pPr>
          </w:p>
        </w:tc>
      </w:tr>
      <w:tr w:rsidRPr="008D5852" w:rsidR="008D5852" w:rsidTr="00D70E0F" w14:paraId="391CA541" w14:textId="77777777">
        <w:tc>
          <w:tcPr>
            <w:tcW w:w="5529" w:type="dxa"/>
            <w:tcBorders>
              <w:top w:val="single" w:color="000000" w:sz="6" w:space="0"/>
              <w:left w:val="nil"/>
              <w:bottom w:val="single" w:color="000000" w:sz="2" w:space="0"/>
              <w:right w:val="nil"/>
            </w:tcBorders>
            <w:tcMar>
              <w:top w:w="28" w:type="dxa"/>
              <w:left w:w="0" w:type="dxa"/>
              <w:bottom w:w="57" w:type="dxa"/>
              <w:right w:w="0" w:type="dxa"/>
            </w:tcMar>
          </w:tcPr>
          <w:p w:rsidRPr="008D5852" w:rsidR="008D5852" w:rsidP="008D5852" w:rsidRDefault="008D5852" w14:paraId="79D7E8E1" w14:textId="77777777">
            <w:pPr>
              <w:pStyle w:val="tablebody"/>
            </w:pPr>
            <w:r w:rsidRPr="008D5852">
              <w:t>Portfolio Ministers (refer to note 9.6)</w:t>
            </w:r>
          </w:p>
        </w:tc>
        <w:tc>
          <w:tcPr>
            <w:tcW w:w="1417" w:type="dxa"/>
            <w:tcBorders>
              <w:top w:val="single" w:color="000000" w:sz="6" w:space="0"/>
              <w:left w:val="nil"/>
              <w:bottom w:val="single" w:color="000000" w:sz="2" w:space="0"/>
              <w:right w:val="nil"/>
            </w:tcBorders>
            <w:tcMar>
              <w:top w:w="28" w:type="dxa"/>
              <w:left w:w="0" w:type="dxa"/>
              <w:bottom w:w="57" w:type="dxa"/>
              <w:right w:w="0" w:type="dxa"/>
            </w:tcMar>
          </w:tcPr>
          <w:p w:rsidRPr="008D5852" w:rsidR="008D5852" w:rsidP="008D5852" w:rsidRDefault="008D5852" w14:paraId="6B0DF8F9" w14:textId="77777777">
            <w:pPr>
              <w:pStyle w:val="tablebody"/>
              <w:rPr>
                <w:lang w:val="en-US"/>
              </w:rPr>
            </w:pPr>
          </w:p>
        </w:tc>
        <w:tc>
          <w:tcPr>
            <w:tcW w:w="1559" w:type="dxa"/>
            <w:tcBorders>
              <w:top w:val="single" w:color="000000" w:sz="6" w:space="0"/>
              <w:left w:val="nil"/>
              <w:bottom w:val="single" w:color="000000" w:sz="2" w:space="0"/>
              <w:right w:val="nil"/>
            </w:tcBorders>
            <w:tcMar>
              <w:top w:w="28" w:type="dxa"/>
              <w:left w:w="0" w:type="dxa"/>
              <w:bottom w:w="57" w:type="dxa"/>
              <w:right w:w="0" w:type="dxa"/>
            </w:tcMar>
          </w:tcPr>
          <w:p w:rsidRPr="008D5852" w:rsidR="008D5852" w:rsidP="008D5852" w:rsidRDefault="008D5852" w14:paraId="121549CB" w14:textId="77777777">
            <w:pPr>
              <w:pStyle w:val="tablebody"/>
              <w:rPr>
                <w:lang w:val="en-US"/>
              </w:rPr>
            </w:pPr>
          </w:p>
        </w:tc>
        <w:tc>
          <w:tcPr>
            <w:tcW w:w="284" w:type="dxa"/>
            <w:tcBorders>
              <w:top w:val="single" w:color="000000" w:sz="6" w:space="0"/>
              <w:left w:val="nil"/>
              <w:bottom w:val="single" w:color="000000" w:sz="2" w:space="0"/>
              <w:right w:val="nil"/>
            </w:tcBorders>
            <w:tcMar>
              <w:top w:w="28" w:type="dxa"/>
              <w:left w:w="0" w:type="dxa"/>
              <w:bottom w:w="57" w:type="dxa"/>
              <w:right w:w="0" w:type="dxa"/>
            </w:tcMar>
          </w:tcPr>
          <w:p w:rsidRPr="008D5852" w:rsidR="008D5852" w:rsidP="008D5852" w:rsidRDefault="008D5852" w14:paraId="55BCA26C" w14:textId="77777777">
            <w:pPr>
              <w:pStyle w:val="tablebody"/>
              <w:rPr>
                <w:lang w:val="en-US"/>
              </w:rPr>
            </w:pPr>
          </w:p>
        </w:tc>
        <w:tc>
          <w:tcPr>
            <w:tcW w:w="1417" w:type="dxa"/>
            <w:tcBorders>
              <w:top w:val="single" w:color="000000" w:sz="6" w:space="0"/>
              <w:left w:val="nil"/>
              <w:bottom w:val="single" w:color="000000" w:sz="2" w:space="0"/>
              <w:right w:val="nil"/>
            </w:tcBorders>
            <w:tcMar>
              <w:top w:w="28" w:type="dxa"/>
              <w:left w:w="0" w:type="dxa"/>
              <w:bottom w:w="57" w:type="dxa"/>
              <w:right w:w="0" w:type="dxa"/>
            </w:tcMar>
          </w:tcPr>
          <w:p w:rsidRPr="008D5852" w:rsidR="008D5852" w:rsidP="008D5852" w:rsidRDefault="008D5852" w14:paraId="40AFF37C" w14:textId="77777777">
            <w:pPr>
              <w:pStyle w:val="tablebody"/>
              <w:rPr>
                <w:lang w:val="en-US"/>
              </w:rPr>
            </w:pPr>
          </w:p>
        </w:tc>
      </w:tr>
      <w:tr w:rsidRPr="008D5852" w:rsidR="008D5852" w:rsidTr="00D70E0F" w14:paraId="3A599920"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AFC73DA" w14:textId="77777777">
            <w:pPr>
              <w:pStyle w:val="tablebody"/>
            </w:pPr>
            <w:r w:rsidRPr="008D5852">
              <w:t>Secretary (refer to note 9.6)</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1F51F60" w14:textId="77777777">
            <w:pPr>
              <w:pStyle w:val="tablebody"/>
              <w:rPr>
                <w:lang w:val="en-US"/>
              </w:rPr>
            </w:pP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3C19406" w14:textId="77777777">
            <w:pPr>
              <w:pStyle w:val="tablebody"/>
              <w:rPr>
                <w:lang w:val="en-US"/>
              </w:rPr>
            </w:pP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4585E1C" w14:textId="77777777">
            <w:pPr>
              <w:pStyle w:val="tablebody"/>
              <w:rPr>
                <w:lang w:val="en-US"/>
              </w:rPr>
            </w:pP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D1F06ED" w14:textId="77777777">
            <w:pPr>
              <w:pStyle w:val="tablebody"/>
              <w:rPr>
                <w:lang w:val="en-US"/>
              </w:rPr>
            </w:pPr>
          </w:p>
        </w:tc>
      </w:tr>
      <w:tr w:rsidRPr="008D5852" w:rsidR="008D5852" w:rsidTr="00D70E0F" w14:paraId="3238CDDE"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A54311A" w14:textId="77777777">
            <w:pPr>
              <w:pStyle w:val="tablebody"/>
            </w:pPr>
            <w:r w:rsidRPr="008D5852">
              <w:t>Deputy Secretary Aboriginal Justice</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AEC6912" w14:textId="77777777">
            <w:pPr>
              <w:pStyle w:val="tablebody"/>
            </w:pPr>
            <w:r w:rsidRPr="008D5852">
              <w:t>Josh Smith</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A879AF9" w14:textId="77777777">
            <w:pPr>
              <w:pStyle w:val="tablebody"/>
            </w:pPr>
            <w:r w:rsidRPr="008D5852">
              <w:t>30 April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F512E94"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874C1B9" w14:textId="77777777">
            <w:pPr>
              <w:pStyle w:val="tablebody"/>
            </w:pPr>
            <w:r w:rsidRPr="008D5852">
              <w:t>30 June 2019</w:t>
            </w:r>
          </w:p>
        </w:tc>
      </w:tr>
      <w:tr w:rsidRPr="008D5852" w:rsidR="008D5852" w:rsidTr="00D70E0F" w14:paraId="4B4AF9CC"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83E9AA2" w14:textId="77777777">
            <w:pPr>
              <w:pStyle w:val="tablebody"/>
            </w:pPr>
            <w:r w:rsidRPr="008D5852">
              <w:t>Deputy Secretary Corporate Governance and Support</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4BF22A7" w14:textId="77777777">
            <w:pPr>
              <w:pStyle w:val="tablebody"/>
            </w:pPr>
            <w:r w:rsidRPr="008D5852">
              <w:t>David Nicholson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3A1266D" w14:textId="77777777">
            <w:pPr>
              <w:pStyle w:val="tablebody"/>
            </w:pPr>
            <w:r w:rsidRPr="008D5852">
              <w:t>14 January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84C018E"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6E49C3F" w14:textId="77777777">
            <w:pPr>
              <w:pStyle w:val="tablebody"/>
            </w:pPr>
            <w:r w:rsidRPr="008D5852">
              <w:t>30 June 2019</w:t>
            </w:r>
          </w:p>
        </w:tc>
      </w:tr>
      <w:tr w:rsidRPr="008D5852" w:rsidR="008D5852" w:rsidTr="00D70E0F" w14:paraId="0B9106D2"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65DE9F1" w14:textId="77777777">
            <w:pPr>
              <w:pStyle w:val="tablebody"/>
            </w:pPr>
            <w:r w:rsidRPr="008D5852">
              <w:t>Deputy Secretary Corrections and Justice Health</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BE48C6E" w14:textId="77777777">
            <w:pPr>
              <w:pStyle w:val="tablebody"/>
            </w:pPr>
            <w:r w:rsidRPr="008D5852">
              <w:t>Julia Griffith</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9EC358B" w14:textId="77777777">
            <w:pPr>
              <w:pStyle w:val="tablebody"/>
            </w:pPr>
            <w:r w:rsidRPr="008D5852">
              <w:t>1 February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5CF10AD"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3BFAE5E" w14:textId="77777777">
            <w:pPr>
              <w:pStyle w:val="tablebody"/>
            </w:pPr>
            <w:r w:rsidRPr="008D5852">
              <w:t>16 June 2019</w:t>
            </w:r>
          </w:p>
        </w:tc>
      </w:tr>
      <w:tr w:rsidRPr="008D5852" w:rsidR="008D5852" w:rsidTr="00D70E0F" w14:paraId="12960DB4"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5BF6261" w14:textId="77777777">
            <w:pPr>
              <w:pStyle w:val="tablebody"/>
            </w:pPr>
            <w:r w:rsidRPr="008D5852">
              <w:t>Deputy Secretary Emergency Management</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A2E1701" w14:textId="77777777">
            <w:pPr>
              <w:pStyle w:val="tablebody"/>
            </w:pPr>
            <w:r w:rsidRPr="008D5852">
              <w:t xml:space="preserve">Andrew </w:t>
            </w:r>
            <w:proofErr w:type="spellStart"/>
            <w:r w:rsidRPr="008D5852">
              <w:t>Minack</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5354D31" w14:textId="77777777">
            <w:pPr>
              <w:pStyle w:val="tablebody"/>
            </w:pPr>
            <w:r w:rsidRPr="008D5852">
              <w:t>10 December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8DF23C0"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36B3327" w14:textId="77777777">
            <w:pPr>
              <w:pStyle w:val="tablebody"/>
            </w:pPr>
            <w:r w:rsidRPr="008D5852">
              <w:t>30 June 2019</w:t>
            </w:r>
          </w:p>
        </w:tc>
      </w:tr>
      <w:tr w:rsidRPr="008D5852" w:rsidR="008D5852" w:rsidTr="00D70E0F" w14:paraId="388D33F2"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1985E27" w14:textId="77777777">
            <w:pPr>
              <w:pStyle w:val="tablebody"/>
            </w:pPr>
            <w:r w:rsidRPr="008D5852">
              <w:t>Acting Deputy Secretary Emergency Management</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D60B4A3" w14:textId="77777777">
            <w:pPr>
              <w:pStyle w:val="tablebody"/>
            </w:pPr>
            <w:r w:rsidRPr="008D5852">
              <w:t xml:space="preserve">Marisa De </w:t>
            </w:r>
            <w:proofErr w:type="spellStart"/>
            <w:r w:rsidRPr="008D5852">
              <w:t>Cicco</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1FED371"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8026434"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ECAE3AD" w14:textId="77777777">
            <w:pPr>
              <w:pStyle w:val="tablebody"/>
            </w:pPr>
            <w:r w:rsidRPr="008D5852">
              <w:t>6 December 2018</w:t>
            </w:r>
          </w:p>
        </w:tc>
      </w:tr>
      <w:tr w:rsidRPr="008D5852" w:rsidR="008D5852" w:rsidTr="00D70E0F" w14:paraId="1C304E23"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C0EAB6D" w14:textId="77777777">
            <w:pPr>
              <w:pStyle w:val="tablebody"/>
            </w:pPr>
            <w:r w:rsidRPr="008D5852">
              <w:t>Deputy Secretary Family Violence, Justice and Social Services Coordination and Workplace Safety</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9D32646" w14:textId="77777777">
            <w:pPr>
              <w:pStyle w:val="tablebody"/>
            </w:pPr>
            <w:r w:rsidRPr="008D5852">
              <w:t>Peta McCammon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47035AE" w14:textId="77777777">
            <w:pPr>
              <w:pStyle w:val="tablebody"/>
            </w:pPr>
            <w:r w:rsidRPr="008D5852">
              <w:t>8 April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FC81D91"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B2316D9" w14:textId="77777777">
            <w:pPr>
              <w:pStyle w:val="tablebody"/>
            </w:pPr>
            <w:r w:rsidRPr="008D5852">
              <w:t>30 June 2019</w:t>
            </w:r>
          </w:p>
        </w:tc>
      </w:tr>
      <w:tr w:rsidRPr="008D5852" w:rsidR="008D5852" w:rsidTr="00D70E0F" w14:paraId="277A3714"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4325D40" w14:textId="77777777">
            <w:pPr>
              <w:pStyle w:val="tablebody"/>
            </w:pPr>
            <w:r w:rsidRPr="008D5852">
              <w:t>Deputy Secretary Justice Policy and Data Reform</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B300D22" w14:textId="77777777">
            <w:pPr>
              <w:pStyle w:val="tablebody"/>
            </w:pPr>
            <w:r w:rsidRPr="008D5852">
              <w:t>Anna Faithfull</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D74A3A0" w14:textId="77777777">
            <w:pPr>
              <w:pStyle w:val="tablebody"/>
            </w:pPr>
            <w:r w:rsidRPr="008D5852">
              <w:t>6 February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EB5F589"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5995C64" w14:textId="77777777">
            <w:pPr>
              <w:pStyle w:val="tablebody"/>
            </w:pPr>
            <w:r w:rsidRPr="008D5852">
              <w:t>30 June 2019</w:t>
            </w:r>
          </w:p>
        </w:tc>
      </w:tr>
      <w:tr w:rsidRPr="008D5852" w:rsidR="008D5852" w:rsidTr="00D70E0F" w14:paraId="58DE5795"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69FD070" w14:textId="77777777">
            <w:pPr>
              <w:pStyle w:val="tablebody"/>
            </w:pPr>
            <w:r w:rsidRPr="008D5852">
              <w:t>Deputy Secretary Police, Fines and Crime Prevention</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C0C07D2" w14:textId="77777777">
            <w:pPr>
              <w:pStyle w:val="tablebody"/>
            </w:pPr>
            <w:proofErr w:type="spellStart"/>
            <w:r w:rsidRPr="008D5852">
              <w:t>Corri</w:t>
            </w:r>
            <w:proofErr w:type="spellEnd"/>
            <w:r w:rsidRPr="008D5852">
              <w:t xml:space="preserve"> McKenzie</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494C06E" w14:textId="77777777">
            <w:pPr>
              <w:pStyle w:val="tablebody"/>
            </w:pPr>
            <w:r w:rsidRPr="008D5852">
              <w:t>10 December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9A71E32"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B3E1CA9" w14:textId="77777777">
            <w:pPr>
              <w:pStyle w:val="tablebody"/>
            </w:pPr>
            <w:r w:rsidRPr="008D5852">
              <w:t>30 June 2019</w:t>
            </w:r>
          </w:p>
        </w:tc>
      </w:tr>
      <w:tr w:rsidRPr="008D5852" w:rsidR="008D5852" w:rsidTr="00D70E0F" w14:paraId="1A6DFBB6"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4D2E750" w14:textId="77777777">
            <w:pPr>
              <w:pStyle w:val="tablebody"/>
            </w:pPr>
            <w:r w:rsidRPr="008D5852">
              <w:t>Deputy Secretary Regulation</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A00CF64" w14:textId="77777777">
            <w:pPr>
              <w:pStyle w:val="tablebody"/>
            </w:pPr>
            <w:r w:rsidRPr="008D5852">
              <w:t>Simon Cohen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C20F54F"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76FCA90"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6BAE19D" w14:textId="77777777">
            <w:pPr>
              <w:pStyle w:val="tablebody"/>
            </w:pPr>
            <w:r w:rsidRPr="008D5852">
              <w:t>30 June 2019</w:t>
            </w:r>
          </w:p>
        </w:tc>
      </w:tr>
      <w:tr w:rsidRPr="008D5852" w:rsidR="008D5852" w:rsidTr="00D70E0F" w14:paraId="0143ACB1"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85E2706" w14:textId="77777777">
            <w:pPr>
              <w:pStyle w:val="tablebody"/>
            </w:pPr>
            <w:r w:rsidRPr="008D5852">
              <w:t>Deputy Secretary Victims Support, Innovation and Justice Operations</w:t>
            </w:r>
            <w:r w:rsidRPr="008D5852">
              <w:rPr>
                <w:vertAlign w:val="superscript"/>
              </w:rPr>
              <w:t xml:space="preserve"> (i)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F0BC39C" w14:textId="77777777">
            <w:pPr>
              <w:pStyle w:val="tablebody"/>
            </w:pPr>
            <w:r w:rsidRPr="008D5852">
              <w:t>Ryan Phillips</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15BF484" w14:textId="77777777">
            <w:pPr>
              <w:pStyle w:val="tablebody"/>
            </w:pPr>
            <w:r w:rsidRPr="008D5852">
              <w:t>1 February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FC0324F"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B56F00A" w14:textId="77777777">
            <w:pPr>
              <w:pStyle w:val="tablebody"/>
            </w:pPr>
            <w:r w:rsidRPr="008D5852">
              <w:t>30 June 2019</w:t>
            </w:r>
          </w:p>
        </w:tc>
      </w:tr>
      <w:tr w:rsidRPr="008D5852" w:rsidR="008D5852" w:rsidTr="00D70E0F" w14:paraId="7DBBE7B9" w14:textId="77777777">
        <w:tc>
          <w:tcPr>
            <w:tcW w:w="5529" w:type="dxa"/>
            <w:vMerge w:val="restart"/>
            <w:tcBorders>
              <w:top w:val="single" w:color="000000" w:sz="2" w:space="0"/>
              <w:left w:val="nil"/>
              <w:bottom w:val="nil"/>
              <w:right w:val="nil"/>
            </w:tcBorders>
            <w:tcMar>
              <w:top w:w="28" w:type="dxa"/>
              <w:left w:w="0" w:type="dxa"/>
              <w:bottom w:w="57" w:type="dxa"/>
              <w:right w:w="0" w:type="dxa"/>
            </w:tcMar>
          </w:tcPr>
          <w:p w:rsidRPr="008D5852" w:rsidR="008D5852" w:rsidP="008D5852" w:rsidRDefault="008D5852" w14:paraId="1C44BBEC" w14:textId="77777777">
            <w:pPr>
              <w:pStyle w:val="tablebody"/>
            </w:pPr>
            <w:r w:rsidRPr="008D5852">
              <w:t>Deputy Secretary Youth Justice</w:t>
            </w:r>
          </w:p>
        </w:tc>
        <w:tc>
          <w:tcPr>
            <w:tcW w:w="1417" w:type="dxa"/>
            <w:tcBorders>
              <w:top w:val="single" w:color="000000" w:sz="2" w:space="0"/>
              <w:left w:val="nil"/>
              <w:bottom w:val="nil"/>
              <w:right w:val="nil"/>
            </w:tcBorders>
            <w:tcMar>
              <w:top w:w="28" w:type="dxa"/>
              <w:left w:w="0" w:type="dxa"/>
              <w:bottom w:w="57" w:type="dxa"/>
              <w:right w:w="0" w:type="dxa"/>
            </w:tcMar>
          </w:tcPr>
          <w:p w:rsidRPr="008D5852" w:rsidR="008D5852" w:rsidP="008D5852" w:rsidRDefault="008D5852" w14:paraId="13EA1A5D" w14:textId="77777777">
            <w:pPr>
              <w:pStyle w:val="tablebody"/>
            </w:pPr>
            <w:r w:rsidRPr="008D5852">
              <w:t>Julia Griffith</w:t>
            </w:r>
          </w:p>
        </w:tc>
        <w:tc>
          <w:tcPr>
            <w:tcW w:w="1559" w:type="dxa"/>
            <w:tcBorders>
              <w:top w:val="single" w:color="000000" w:sz="2" w:space="0"/>
              <w:left w:val="nil"/>
              <w:bottom w:val="nil"/>
              <w:right w:val="nil"/>
            </w:tcBorders>
            <w:tcMar>
              <w:top w:w="28" w:type="dxa"/>
              <w:left w:w="0" w:type="dxa"/>
              <w:bottom w:w="57" w:type="dxa"/>
              <w:right w:w="0" w:type="dxa"/>
            </w:tcMar>
          </w:tcPr>
          <w:p w:rsidRPr="008D5852" w:rsidR="008D5852" w:rsidP="008D5852" w:rsidRDefault="008D5852" w14:paraId="170227A9" w14:textId="77777777">
            <w:pPr>
              <w:pStyle w:val="tablebody"/>
            </w:pPr>
            <w:r w:rsidRPr="008D5852">
              <w:t>1 July 2018</w:t>
            </w:r>
          </w:p>
        </w:tc>
        <w:tc>
          <w:tcPr>
            <w:tcW w:w="284" w:type="dxa"/>
            <w:tcBorders>
              <w:top w:val="single" w:color="000000" w:sz="2" w:space="0"/>
              <w:left w:val="nil"/>
              <w:bottom w:val="nil"/>
              <w:right w:val="nil"/>
            </w:tcBorders>
            <w:tcMar>
              <w:top w:w="28" w:type="dxa"/>
              <w:left w:w="0" w:type="dxa"/>
              <w:bottom w:w="57" w:type="dxa"/>
              <w:right w:w="0" w:type="dxa"/>
            </w:tcMar>
          </w:tcPr>
          <w:p w:rsidRPr="008D5852" w:rsidR="008D5852" w:rsidP="008D5852" w:rsidRDefault="008D5852" w14:paraId="48B82D43" w14:textId="77777777">
            <w:pPr>
              <w:pStyle w:val="tablebody"/>
            </w:pPr>
            <w:r w:rsidRPr="008D5852">
              <w:t>to</w:t>
            </w:r>
          </w:p>
        </w:tc>
        <w:tc>
          <w:tcPr>
            <w:tcW w:w="1417" w:type="dxa"/>
            <w:tcBorders>
              <w:top w:val="single" w:color="000000" w:sz="2" w:space="0"/>
              <w:left w:val="nil"/>
              <w:bottom w:val="nil"/>
              <w:right w:val="nil"/>
            </w:tcBorders>
            <w:tcMar>
              <w:top w:w="28" w:type="dxa"/>
              <w:left w:w="0" w:type="dxa"/>
              <w:bottom w:w="57" w:type="dxa"/>
              <w:right w:w="0" w:type="dxa"/>
            </w:tcMar>
          </w:tcPr>
          <w:p w:rsidRPr="008D5852" w:rsidR="008D5852" w:rsidP="008D5852" w:rsidRDefault="008D5852" w14:paraId="5CAD41A3" w14:textId="77777777">
            <w:pPr>
              <w:pStyle w:val="tablebody"/>
            </w:pPr>
            <w:r w:rsidRPr="008D5852">
              <w:t>31 January 2019</w:t>
            </w:r>
          </w:p>
        </w:tc>
      </w:tr>
      <w:tr w:rsidRPr="008D5852" w:rsidR="008D5852" w:rsidTr="00D70E0F" w14:paraId="55574C8D" w14:textId="77777777">
        <w:tc>
          <w:tcPr>
            <w:tcW w:w="5529" w:type="dxa"/>
            <w:vMerge/>
            <w:tcBorders>
              <w:top w:val="nil"/>
              <w:left w:val="nil"/>
              <w:bottom w:val="single" w:color="000000" w:sz="2" w:space="0"/>
              <w:right w:val="nil"/>
            </w:tcBorders>
            <w:tcMar>
              <w:top w:w="28" w:type="dxa"/>
              <w:bottom w:w="57" w:type="dxa"/>
            </w:tcMar>
          </w:tcPr>
          <w:p w:rsidRPr="008D5852" w:rsidR="008D5852" w:rsidP="008D5852" w:rsidRDefault="008D5852" w14:paraId="2CB5986C" w14:textId="77777777">
            <w:pPr>
              <w:pStyle w:val="tablebody"/>
              <w:rPr>
                <w:lang w:val="en-US"/>
              </w:rPr>
            </w:pPr>
          </w:p>
        </w:tc>
        <w:tc>
          <w:tcPr>
            <w:tcW w:w="1417" w:type="dxa"/>
            <w:tcBorders>
              <w:top w:val="nil"/>
              <w:left w:val="nil"/>
              <w:bottom w:val="single" w:color="000000" w:sz="2" w:space="0"/>
              <w:right w:val="nil"/>
            </w:tcBorders>
            <w:tcMar>
              <w:top w:w="28" w:type="dxa"/>
              <w:left w:w="0" w:type="dxa"/>
              <w:bottom w:w="57" w:type="dxa"/>
              <w:right w:w="0" w:type="dxa"/>
            </w:tcMar>
          </w:tcPr>
          <w:p w:rsidRPr="008D5852" w:rsidR="008D5852" w:rsidP="008D5852" w:rsidRDefault="008D5852" w14:paraId="4DA53695" w14:textId="77777777">
            <w:pPr>
              <w:pStyle w:val="tablebody"/>
            </w:pPr>
            <w:r w:rsidRPr="008D5852">
              <w:t>Brigid Sunderland</w:t>
            </w:r>
          </w:p>
        </w:tc>
        <w:tc>
          <w:tcPr>
            <w:tcW w:w="1559" w:type="dxa"/>
            <w:tcBorders>
              <w:top w:val="nil"/>
              <w:left w:val="nil"/>
              <w:bottom w:val="single" w:color="000000" w:sz="2" w:space="0"/>
              <w:right w:val="nil"/>
            </w:tcBorders>
            <w:tcMar>
              <w:top w:w="28" w:type="dxa"/>
              <w:left w:w="0" w:type="dxa"/>
              <w:bottom w:w="57" w:type="dxa"/>
              <w:right w:w="0" w:type="dxa"/>
            </w:tcMar>
          </w:tcPr>
          <w:p w:rsidRPr="008D5852" w:rsidR="008D5852" w:rsidP="008D5852" w:rsidRDefault="008D5852" w14:paraId="562BD9AE" w14:textId="77777777">
            <w:pPr>
              <w:pStyle w:val="tablebody"/>
            </w:pPr>
            <w:r w:rsidRPr="008D5852">
              <w:t>1 February 2019</w:t>
            </w:r>
          </w:p>
        </w:tc>
        <w:tc>
          <w:tcPr>
            <w:tcW w:w="284" w:type="dxa"/>
            <w:tcBorders>
              <w:top w:val="nil"/>
              <w:left w:val="nil"/>
              <w:bottom w:val="single" w:color="000000" w:sz="2" w:space="0"/>
              <w:right w:val="nil"/>
            </w:tcBorders>
            <w:tcMar>
              <w:top w:w="28" w:type="dxa"/>
              <w:left w:w="0" w:type="dxa"/>
              <w:bottom w:w="57" w:type="dxa"/>
              <w:right w:w="0" w:type="dxa"/>
            </w:tcMar>
          </w:tcPr>
          <w:p w:rsidRPr="008D5852" w:rsidR="008D5852" w:rsidP="008D5852" w:rsidRDefault="008D5852" w14:paraId="6B4AC319" w14:textId="77777777">
            <w:pPr>
              <w:pStyle w:val="tablebody"/>
            </w:pPr>
            <w:r w:rsidRPr="008D5852">
              <w:t>to</w:t>
            </w:r>
          </w:p>
        </w:tc>
        <w:tc>
          <w:tcPr>
            <w:tcW w:w="1417" w:type="dxa"/>
            <w:tcBorders>
              <w:top w:val="nil"/>
              <w:left w:val="nil"/>
              <w:bottom w:val="single" w:color="000000" w:sz="2" w:space="0"/>
              <w:right w:val="nil"/>
            </w:tcBorders>
            <w:tcMar>
              <w:top w:w="28" w:type="dxa"/>
              <w:left w:w="0" w:type="dxa"/>
              <w:bottom w:w="57" w:type="dxa"/>
              <w:right w:w="0" w:type="dxa"/>
            </w:tcMar>
          </w:tcPr>
          <w:p w:rsidRPr="008D5852" w:rsidR="008D5852" w:rsidP="008D5852" w:rsidRDefault="008D5852" w14:paraId="2E2B7C96" w14:textId="77777777">
            <w:pPr>
              <w:pStyle w:val="tablebody"/>
            </w:pPr>
            <w:r w:rsidRPr="008D5852">
              <w:t>30 June 2019</w:t>
            </w:r>
          </w:p>
        </w:tc>
      </w:tr>
      <w:tr w:rsidRPr="008D5852" w:rsidR="008D5852" w:rsidTr="00D70E0F" w14:paraId="5A6357C5"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12090B2" w14:textId="77777777">
            <w:pPr>
              <w:pStyle w:val="tablebody"/>
            </w:pPr>
            <w:r w:rsidRPr="008D5852">
              <w:t>Executive Director North Area</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95BBD7B" w14:textId="77777777">
            <w:pPr>
              <w:pStyle w:val="tablebody"/>
            </w:pPr>
            <w:r w:rsidRPr="008D5852">
              <w:t>Jodi Henderson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F80CFBB"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BAE0DAD"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F4F9065" w14:textId="77777777">
            <w:pPr>
              <w:pStyle w:val="tablebody"/>
            </w:pPr>
            <w:r w:rsidRPr="008D5852">
              <w:t>18 June 2019</w:t>
            </w:r>
          </w:p>
        </w:tc>
      </w:tr>
      <w:tr w:rsidRPr="008D5852" w:rsidR="008D5852" w:rsidTr="00D70E0F" w14:paraId="2534255D"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02AFBC1" w14:textId="77777777">
            <w:pPr>
              <w:pStyle w:val="tablebody"/>
            </w:pPr>
            <w:r w:rsidRPr="008D5852">
              <w:t>Executive Director South Area</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C08F71F" w14:textId="77777777">
            <w:pPr>
              <w:pStyle w:val="tablebody"/>
            </w:pPr>
            <w:r w:rsidRPr="008D5852">
              <w:t>Gabrielle Levine</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EFD628F"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9BB035B"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67C9A30" w14:textId="77777777">
            <w:pPr>
              <w:pStyle w:val="tablebody"/>
            </w:pPr>
            <w:r w:rsidRPr="008D5852">
              <w:t>30 June 2019</w:t>
            </w:r>
          </w:p>
        </w:tc>
      </w:tr>
      <w:tr w:rsidRPr="008D5852" w:rsidR="008D5852" w:rsidTr="00D70E0F" w14:paraId="7EBD8CA0"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C8A396D" w14:textId="77777777">
            <w:pPr>
              <w:pStyle w:val="tablebody"/>
            </w:pPr>
            <w:r w:rsidRPr="008D5852">
              <w:t>Executive Director West Area</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DC9DFDE" w14:textId="77777777">
            <w:pPr>
              <w:pStyle w:val="tablebody"/>
            </w:pPr>
            <w:r w:rsidRPr="008D5852">
              <w:t>Leanne Barnes</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49E1641"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FC85D7B"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4B7156C" w14:textId="77777777">
            <w:pPr>
              <w:pStyle w:val="tablebody"/>
            </w:pPr>
            <w:r w:rsidRPr="008D5852">
              <w:t>30 June 2019</w:t>
            </w:r>
          </w:p>
        </w:tc>
      </w:tr>
      <w:tr w:rsidRPr="008D5852" w:rsidR="008D5852" w:rsidTr="00D70E0F" w14:paraId="3A2FCEA4"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8C8BF66" w14:textId="77777777">
            <w:pPr>
              <w:pStyle w:val="tablebody"/>
            </w:pPr>
            <w:r w:rsidRPr="008D5852">
              <w:t>Corrections Victoria Commissioner</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8638DD6" w14:textId="77777777">
            <w:pPr>
              <w:pStyle w:val="tablebody"/>
            </w:pPr>
            <w:r w:rsidRPr="008D5852">
              <w:t xml:space="preserve">Emma </w:t>
            </w:r>
            <w:proofErr w:type="spellStart"/>
            <w:r w:rsidRPr="008D5852">
              <w:t>Cassar</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E452627"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DD59716"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611F6A4" w14:textId="77777777">
            <w:pPr>
              <w:pStyle w:val="tablebody"/>
            </w:pPr>
            <w:r w:rsidRPr="008D5852">
              <w:t>30 June 2019</w:t>
            </w:r>
          </w:p>
        </w:tc>
      </w:tr>
      <w:tr w:rsidRPr="008D5852" w:rsidR="008D5852" w:rsidTr="00D70E0F" w14:paraId="4ED81C56"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71733FB" w14:textId="77777777">
            <w:pPr>
              <w:pStyle w:val="tablebody"/>
            </w:pPr>
            <w:r w:rsidRPr="008D5852">
              <w:t xml:space="preserve">Deputy Commissioner Corrections Victoria </w:t>
            </w:r>
            <w:r w:rsidRPr="008D5852">
              <w:rPr>
                <w:vertAlign w:val="superscript"/>
              </w:rPr>
              <w:t>(ii)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0320C2F" w14:textId="77777777">
            <w:pPr>
              <w:pStyle w:val="tablebody"/>
            </w:pPr>
            <w:r w:rsidRPr="008D5852">
              <w:t>Rod Wise</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B0A456A"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4159AEC"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BE5180A" w14:textId="77777777">
            <w:pPr>
              <w:pStyle w:val="tablebody"/>
            </w:pPr>
            <w:r w:rsidRPr="008D5852">
              <w:t>30 June 2019</w:t>
            </w:r>
          </w:p>
        </w:tc>
      </w:tr>
      <w:tr w:rsidRPr="008D5852" w:rsidR="008D5852" w:rsidTr="00D70E0F" w14:paraId="23BCE389"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3C3EDE0" w14:textId="77777777">
            <w:pPr>
              <w:pStyle w:val="tablebody"/>
            </w:pPr>
            <w:r w:rsidRPr="008D5852">
              <w:t>Youth Justice Commissioner</w:t>
            </w:r>
            <w:r w:rsidRPr="008D5852">
              <w:rPr>
                <w:vertAlign w:val="superscript"/>
              </w:rPr>
              <w:t xml:space="preserve"> (ii)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E899407" w14:textId="77777777">
            <w:pPr>
              <w:pStyle w:val="tablebody"/>
            </w:pPr>
            <w:r w:rsidRPr="008D5852">
              <w:t>Jodi Henderson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F00885E" w14:textId="77777777">
            <w:pPr>
              <w:pStyle w:val="tablebody"/>
            </w:pPr>
            <w:r w:rsidRPr="008D5852">
              <w:t>19 June 2019</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27C3DFC"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362E376" w14:textId="77777777">
            <w:pPr>
              <w:pStyle w:val="tablebody"/>
            </w:pPr>
            <w:r w:rsidRPr="008D5852">
              <w:t>30 June 2019</w:t>
            </w:r>
          </w:p>
        </w:tc>
      </w:tr>
      <w:tr w:rsidRPr="008D5852" w:rsidR="008D5852" w:rsidTr="00D70E0F" w14:paraId="0799D6D9"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071C50E" w14:textId="77777777">
            <w:pPr>
              <w:pStyle w:val="tablebody"/>
            </w:pPr>
            <w:r w:rsidRPr="008D5852">
              <w:t>Chairperson Building Licensing Authority</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7A16C19" w14:textId="77777777">
            <w:pPr>
              <w:pStyle w:val="tablebody"/>
            </w:pPr>
            <w:r w:rsidRPr="008D5852">
              <w:t>Nicole Marshall</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6BCD5E6"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56691B9"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AF156C0" w14:textId="77777777">
            <w:pPr>
              <w:pStyle w:val="tablebody"/>
            </w:pPr>
            <w:r w:rsidRPr="008D5852">
              <w:t>30 June 2019</w:t>
            </w:r>
          </w:p>
        </w:tc>
      </w:tr>
      <w:tr w:rsidRPr="008D5852" w:rsidR="008D5852" w:rsidTr="00D70E0F" w14:paraId="1C0BCE18"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3D4072B" w14:textId="77777777">
            <w:pPr>
              <w:pStyle w:val="tablebody"/>
            </w:pPr>
            <w:r w:rsidRPr="008D5852">
              <w:t>Chief Administrative Officer Post Sentence Authority</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823C945" w14:textId="77777777">
            <w:pPr>
              <w:pStyle w:val="tablebody"/>
            </w:pPr>
            <w:r w:rsidRPr="008D5852">
              <w:t>Bree Oliver</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FED554D"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EEE40C5"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5377837" w14:textId="77777777">
            <w:pPr>
              <w:pStyle w:val="tablebody"/>
            </w:pPr>
            <w:r w:rsidRPr="008D5852">
              <w:t>30 June 2019</w:t>
            </w:r>
          </w:p>
        </w:tc>
      </w:tr>
      <w:tr w:rsidRPr="008D5852" w:rsidR="008D5852" w:rsidTr="00D70E0F" w14:paraId="54ADF206"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BEE28B7" w14:textId="77777777">
            <w:pPr>
              <w:pStyle w:val="tablebody"/>
            </w:pPr>
            <w:r w:rsidRPr="008D5852">
              <w:t>Road Safety Camera Commissioner</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A9CBE96" w14:textId="77777777">
            <w:pPr>
              <w:pStyle w:val="tablebody"/>
            </w:pPr>
            <w:r w:rsidRPr="008D5852">
              <w:t>John Voyage</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A484C9E"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2B03838"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D6988B1" w14:textId="77777777">
            <w:pPr>
              <w:pStyle w:val="tablebody"/>
            </w:pPr>
            <w:r w:rsidRPr="008D5852">
              <w:t>30 June 2019</w:t>
            </w:r>
          </w:p>
        </w:tc>
      </w:tr>
      <w:tr w:rsidRPr="008D5852" w:rsidR="008D5852" w:rsidTr="00D70E0F" w14:paraId="0F8239AE"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02AB69C" w14:textId="77777777">
            <w:pPr>
              <w:pStyle w:val="tablebody"/>
            </w:pPr>
            <w:r w:rsidRPr="008D5852">
              <w:t>Deputy Secretary Civil Justice</w:t>
            </w:r>
            <w:r w:rsidRPr="008D5852">
              <w:rPr>
                <w:vertAlign w:val="superscript"/>
              </w:rPr>
              <w:t xml:space="preserve"> (iii)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1AC3DC2" w14:textId="77777777">
            <w:pPr>
              <w:pStyle w:val="tablebody"/>
            </w:pPr>
            <w:r w:rsidRPr="008D5852">
              <w:t xml:space="preserve">Donald </w:t>
            </w:r>
            <w:proofErr w:type="spellStart"/>
            <w:r w:rsidRPr="008D5852">
              <w:t>Speagle</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7CA396E"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40A17D7"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24155B8" w14:textId="77777777">
            <w:pPr>
              <w:pStyle w:val="tablebody"/>
            </w:pPr>
            <w:r w:rsidRPr="008D5852">
              <w:t>20 January 2019</w:t>
            </w:r>
          </w:p>
        </w:tc>
      </w:tr>
      <w:tr w:rsidRPr="008D5852" w:rsidR="008D5852" w:rsidTr="00D70E0F" w14:paraId="7FF16517"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1EB86C7" w14:textId="77777777">
            <w:pPr>
              <w:pStyle w:val="tablebody"/>
            </w:pPr>
            <w:r w:rsidRPr="008D5852">
              <w:t xml:space="preserve">Deputy Secretary Criminal Justice Strategy and Coordination </w:t>
            </w:r>
            <w:r w:rsidRPr="008D5852">
              <w:rPr>
                <w:vertAlign w:val="superscript"/>
              </w:rPr>
              <w:t>(iii)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39E4D79" w14:textId="77777777">
            <w:pPr>
              <w:pStyle w:val="tablebody"/>
            </w:pPr>
            <w:r w:rsidRPr="008D5852">
              <w:t>Kylie Kilgour</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B0ED1E1"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296840C"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3549C00" w14:textId="77777777">
            <w:pPr>
              <w:pStyle w:val="tablebody"/>
            </w:pPr>
            <w:r w:rsidRPr="008D5852">
              <w:t>16 December 2018</w:t>
            </w:r>
          </w:p>
        </w:tc>
      </w:tr>
      <w:tr w:rsidRPr="008D5852" w:rsidR="008D5852" w:rsidTr="00D70E0F" w14:paraId="300F9E1D"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AC0334A" w14:textId="77777777">
            <w:pPr>
              <w:pStyle w:val="tablebody"/>
            </w:pPr>
            <w:r w:rsidRPr="008D5852">
              <w:t xml:space="preserve">Deputy Secretary Criminal Law Policy and Operations </w:t>
            </w:r>
            <w:r w:rsidRPr="008D5852">
              <w:rPr>
                <w:vertAlign w:val="superscript"/>
              </w:rPr>
              <w:t>(iii)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A7C9B89" w14:textId="77777777">
            <w:pPr>
              <w:pStyle w:val="tablebody"/>
            </w:pPr>
            <w:r w:rsidRPr="008D5852">
              <w:t>Ryan Phillips</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967C810"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D72D9DE"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A1CDB23" w14:textId="77777777">
            <w:pPr>
              <w:pStyle w:val="tablebody"/>
            </w:pPr>
            <w:r w:rsidRPr="008D5852">
              <w:t>31 January 2019</w:t>
            </w:r>
          </w:p>
        </w:tc>
      </w:tr>
      <w:tr w:rsidRPr="008D5852" w:rsidR="008D5852" w:rsidTr="00D70E0F" w14:paraId="360D31A7"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231948D" w14:textId="77777777">
            <w:pPr>
              <w:pStyle w:val="tablebody"/>
            </w:pPr>
            <w:r w:rsidRPr="008D5852">
              <w:t>Deputy Secretary Finance Infrastructure and Governance</w:t>
            </w:r>
            <w:r w:rsidRPr="008D5852">
              <w:rPr>
                <w:vertAlign w:val="superscript"/>
              </w:rPr>
              <w:t xml:space="preserve"> (iii)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31CD325" w14:textId="77777777">
            <w:pPr>
              <w:pStyle w:val="tablebody"/>
            </w:pPr>
            <w:r w:rsidRPr="008D5852">
              <w:t>Shaun Condron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3DCF7D4"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F1C3B22"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9156D41" w14:textId="77777777">
            <w:pPr>
              <w:pStyle w:val="tablebody"/>
            </w:pPr>
            <w:r w:rsidRPr="008D5852">
              <w:t>31 January 2019</w:t>
            </w:r>
          </w:p>
        </w:tc>
      </w:tr>
      <w:tr w:rsidRPr="008D5852" w:rsidR="008D5852" w:rsidTr="00D70E0F" w14:paraId="780B060B"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336A1BF" w14:textId="77777777">
            <w:pPr>
              <w:pStyle w:val="tablebody"/>
            </w:pPr>
            <w:r w:rsidRPr="008D5852">
              <w:t>Lead Deputy Secretary Police, Emergency Management and Corrections</w:t>
            </w:r>
            <w:r w:rsidRPr="008D5852">
              <w:rPr>
                <w:vertAlign w:val="superscript"/>
              </w:rPr>
              <w:t xml:space="preserve"> (iii)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1E7DA34" w14:textId="77777777">
            <w:pPr>
              <w:pStyle w:val="tablebody"/>
            </w:pPr>
            <w:r w:rsidRPr="008D5852">
              <w:t>Tony Bates</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6AAD11C"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224FF4F"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0632EE7" w14:textId="77777777">
            <w:pPr>
              <w:pStyle w:val="tablebody"/>
            </w:pPr>
            <w:r w:rsidRPr="008D5852">
              <w:t>4 January 2019</w:t>
            </w:r>
          </w:p>
        </w:tc>
      </w:tr>
      <w:tr w:rsidRPr="008D5852" w:rsidR="008D5852" w:rsidTr="00D70E0F" w14:paraId="5C1AA8F5"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9F3C1B1" w14:textId="77777777">
            <w:pPr>
              <w:pStyle w:val="tablebody"/>
            </w:pPr>
            <w:r w:rsidRPr="008D5852">
              <w:t xml:space="preserve">Deputy Secretary Police and Crime Prevention </w:t>
            </w:r>
            <w:r w:rsidRPr="008D5852">
              <w:rPr>
                <w:vertAlign w:val="superscript"/>
              </w:rPr>
              <w:t>(iii)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75A8887" w14:textId="77777777">
            <w:pPr>
              <w:pStyle w:val="tablebody"/>
            </w:pPr>
            <w:r w:rsidRPr="008D5852">
              <w:t>Kate Houghton</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7348C17"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5EF41AB"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6B72BDE" w14:textId="77777777">
            <w:pPr>
              <w:pStyle w:val="tablebody"/>
            </w:pPr>
            <w:r w:rsidRPr="008D5852">
              <w:t>9 December 2018</w:t>
            </w:r>
          </w:p>
        </w:tc>
      </w:tr>
      <w:tr w:rsidRPr="008D5852" w:rsidR="008D5852" w:rsidTr="00D70E0F" w14:paraId="36206F22"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5D09985" w14:textId="77777777">
            <w:pPr>
              <w:pStyle w:val="tablebody"/>
            </w:pPr>
            <w:r w:rsidRPr="008D5852">
              <w:t>Deputy Secretary Service Strategy Reform</w:t>
            </w:r>
            <w:r w:rsidRPr="008D5852">
              <w:rPr>
                <w:vertAlign w:val="superscript"/>
              </w:rPr>
              <w:t xml:space="preserve"> (iii)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E9E46FA" w14:textId="77777777">
            <w:pPr>
              <w:pStyle w:val="tablebody"/>
            </w:pPr>
            <w:r w:rsidRPr="008D5852">
              <w:t>Carolyn Gale</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915BF7D"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25FC9A5"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FC7915D" w14:textId="77777777">
            <w:pPr>
              <w:pStyle w:val="tablebody"/>
            </w:pPr>
            <w:r w:rsidRPr="008D5852">
              <w:t>31 January 2019</w:t>
            </w:r>
          </w:p>
        </w:tc>
      </w:tr>
      <w:tr w:rsidRPr="008D5852" w:rsidR="008D5852" w:rsidTr="00D70E0F" w14:paraId="62658E93"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55436BB" w14:textId="77777777">
            <w:pPr>
              <w:pStyle w:val="tablebody"/>
            </w:pPr>
            <w:r w:rsidRPr="008D5852">
              <w:t>Executive Director North West Metropolitan Area</w:t>
            </w:r>
            <w:r w:rsidRPr="008D5852">
              <w:rPr>
                <w:vertAlign w:val="superscript"/>
              </w:rPr>
              <w:t xml:space="preserve"> (iii)</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AC4736E" w14:textId="77777777">
            <w:pPr>
              <w:pStyle w:val="tablebody"/>
            </w:pPr>
            <w:r w:rsidRPr="008D5852">
              <w:t>Peter Ewer</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3D8D3873"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DBB666C"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955247C" w14:textId="77777777">
            <w:pPr>
              <w:pStyle w:val="tablebody"/>
            </w:pPr>
            <w:r w:rsidRPr="008D5852">
              <w:t>7 May 2019</w:t>
            </w:r>
          </w:p>
        </w:tc>
      </w:tr>
      <w:tr w:rsidRPr="008D5852" w:rsidR="008D5852" w:rsidTr="00D70E0F" w14:paraId="29F5A8CA"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D1B7BF6" w14:textId="77777777">
            <w:pPr>
              <w:pStyle w:val="tablebody"/>
            </w:pPr>
            <w:r w:rsidRPr="008D5852">
              <w:t xml:space="preserve">Executive Director Liquor, Gaming and Racing </w:t>
            </w:r>
            <w:r w:rsidRPr="008D5852">
              <w:rPr>
                <w:vertAlign w:val="superscript"/>
              </w:rPr>
              <w:t>(iv)</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26F6F0C" w14:textId="77777777">
            <w:pPr>
              <w:pStyle w:val="tablebody"/>
            </w:pPr>
            <w:r w:rsidRPr="008D5852">
              <w:t xml:space="preserve">Catherine </w:t>
            </w:r>
            <w:proofErr w:type="spellStart"/>
            <w:r w:rsidRPr="008D5852">
              <w:t>Carr</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180401BE"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6CC39C74"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7560474" w14:textId="77777777">
            <w:pPr>
              <w:pStyle w:val="tablebody"/>
            </w:pPr>
            <w:r w:rsidRPr="008D5852">
              <w:t>29 January 2019</w:t>
            </w:r>
          </w:p>
        </w:tc>
      </w:tr>
      <w:tr w:rsidRPr="008D5852" w:rsidR="008D5852" w:rsidTr="00D70E0F" w14:paraId="2D6C18EE"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0590E45" w14:textId="77777777">
            <w:pPr>
              <w:pStyle w:val="tablebody"/>
            </w:pPr>
            <w:r w:rsidRPr="008D5852">
              <w:t>Executive Director People and Culture</w:t>
            </w:r>
            <w:r w:rsidRPr="008D5852">
              <w:rPr>
                <w:vertAlign w:val="superscript"/>
              </w:rPr>
              <w:t xml:space="preserve"> (iv)</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3855273" w14:textId="77777777">
            <w:pPr>
              <w:pStyle w:val="tablebody"/>
            </w:pPr>
            <w:r w:rsidRPr="008D5852">
              <w:t>Miya Chiba</w:t>
            </w:r>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CB8B00A"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44463431"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544D1D5B" w14:textId="77777777">
            <w:pPr>
              <w:pStyle w:val="tablebody"/>
            </w:pPr>
            <w:r w:rsidRPr="008D5852">
              <w:t>31 January 2019</w:t>
            </w:r>
          </w:p>
        </w:tc>
      </w:tr>
      <w:tr w:rsidRPr="008D5852" w:rsidR="008D5852" w:rsidTr="00D70E0F" w14:paraId="573F22F0" w14:textId="77777777">
        <w:tc>
          <w:tcPr>
            <w:tcW w:w="552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27053961" w14:textId="77777777">
            <w:pPr>
              <w:pStyle w:val="tablebody"/>
            </w:pPr>
            <w:r w:rsidRPr="008D5852">
              <w:t xml:space="preserve">Chief Finance Officer </w:t>
            </w:r>
            <w:r w:rsidRPr="008D5852">
              <w:rPr>
                <w:vertAlign w:val="superscript"/>
              </w:rPr>
              <w:t>(iv)</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E770CB1" w14:textId="77777777">
            <w:pPr>
              <w:pStyle w:val="tablebody"/>
            </w:pPr>
            <w:r w:rsidRPr="008D5852">
              <w:t xml:space="preserve">Christopher </w:t>
            </w:r>
            <w:proofErr w:type="spellStart"/>
            <w:r w:rsidRPr="008D5852">
              <w:t>Breitkreuz</w:t>
            </w:r>
            <w:proofErr w:type="spellEnd"/>
          </w:p>
        </w:tc>
        <w:tc>
          <w:tcPr>
            <w:tcW w:w="1559"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082E9C99" w14:textId="77777777">
            <w:pPr>
              <w:pStyle w:val="tablebody"/>
            </w:pPr>
            <w:r w:rsidRPr="008D5852">
              <w:t>1 July 2018</w:t>
            </w:r>
          </w:p>
        </w:tc>
        <w:tc>
          <w:tcPr>
            <w:tcW w:w="284"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F3A5931" w14:textId="77777777">
            <w:pPr>
              <w:pStyle w:val="tablebody"/>
            </w:pPr>
            <w:r w:rsidRPr="008D5852">
              <w:t>to</w:t>
            </w:r>
          </w:p>
        </w:tc>
        <w:tc>
          <w:tcPr>
            <w:tcW w:w="1417" w:type="dxa"/>
            <w:tcBorders>
              <w:top w:val="single" w:color="000000" w:sz="2" w:space="0"/>
              <w:left w:val="nil"/>
              <w:bottom w:val="single" w:color="000000" w:sz="2" w:space="0"/>
              <w:right w:val="nil"/>
            </w:tcBorders>
            <w:tcMar>
              <w:top w:w="28" w:type="dxa"/>
              <w:left w:w="0" w:type="dxa"/>
              <w:bottom w:w="57" w:type="dxa"/>
              <w:right w:w="0" w:type="dxa"/>
            </w:tcMar>
          </w:tcPr>
          <w:p w:rsidRPr="008D5852" w:rsidR="008D5852" w:rsidP="008D5852" w:rsidRDefault="008D5852" w14:paraId="7C7CB52B" w14:textId="77777777">
            <w:pPr>
              <w:pStyle w:val="tablebody"/>
            </w:pPr>
            <w:r w:rsidRPr="008D5852">
              <w:t>31 January 2019</w:t>
            </w:r>
          </w:p>
        </w:tc>
      </w:tr>
      <w:tr w:rsidRPr="008D5852" w:rsidR="008D5852" w:rsidTr="00D70E0F" w14:paraId="71209103" w14:textId="77777777">
        <w:tc>
          <w:tcPr>
            <w:tcW w:w="5529" w:type="dxa"/>
            <w:tcBorders>
              <w:top w:val="single" w:color="000000" w:sz="2" w:space="0"/>
              <w:left w:val="nil"/>
              <w:bottom w:val="single" w:color="000000" w:sz="6" w:space="0"/>
              <w:right w:val="nil"/>
            </w:tcBorders>
            <w:tcMar>
              <w:top w:w="28" w:type="dxa"/>
              <w:left w:w="0" w:type="dxa"/>
              <w:bottom w:w="57" w:type="dxa"/>
              <w:right w:w="0" w:type="dxa"/>
            </w:tcMar>
          </w:tcPr>
          <w:p w:rsidRPr="008D5852" w:rsidR="008D5852" w:rsidP="008D5852" w:rsidRDefault="008D5852" w14:paraId="2C2C35D1" w14:textId="77777777">
            <w:pPr>
              <w:pStyle w:val="tablebody"/>
            </w:pPr>
            <w:r w:rsidRPr="008D5852">
              <w:t>Director Office of the Secretary</w:t>
            </w:r>
            <w:r w:rsidRPr="008D5852">
              <w:rPr>
                <w:vertAlign w:val="superscript"/>
              </w:rPr>
              <w:t xml:space="preserve"> (iv)</w:t>
            </w:r>
          </w:p>
        </w:tc>
        <w:tc>
          <w:tcPr>
            <w:tcW w:w="1417" w:type="dxa"/>
            <w:tcBorders>
              <w:top w:val="single" w:color="000000" w:sz="2" w:space="0"/>
              <w:left w:val="nil"/>
              <w:bottom w:val="single" w:color="000000" w:sz="6" w:space="0"/>
              <w:right w:val="nil"/>
            </w:tcBorders>
            <w:tcMar>
              <w:top w:w="28" w:type="dxa"/>
              <w:left w:w="0" w:type="dxa"/>
              <w:bottom w:w="57" w:type="dxa"/>
              <w:right w:w="0" w:type="dxa"/>
            </w:tcMar>
          </w:tcPr>
          <w:p w:rsidRPr="008D5852" w:rsidR="008D5852" w:rsidP="008D5852" w:rsidRDefault="008D5852" w14:paraId="37196A98" w14:textId="77777777">
            <w:pPr>
              <w:pStyle w:val="tablebody"/>
            </w:pPr>
            <w:r w:rsidRPr="008D5852">
              <w:t>Andreas Mansour</w:t>
            </w:r>
          </w:p>
        </w:tc>
        <w:tc>
          <w:tcPr>
            <w:tcW w:w="1559" w:type="dxa"/>
            <w:tcBorders>
              <w:top w:val="single" w:color="000000" w:sz="2" w:space="0"/>
              <w:left w:val="nil"/>
              <w:bottom w:val="single" w:color="000000" w:sz="6" w:space="0"/>
              <w:right w:val="nil"/>
            </w:tcBorders>
            <w:tcMar>
              <w:top w:w="28" w:type="dxa"/>
              <w:left w:w="0" w:type="dxa"/>
              <w:bottom w:w="57" w:type="dxa"/>
              <w:right w:w="0" w:type="dxa"/>
            </w:tcMar>
          </w:tcPr>
          <w:p w:rsidRPr="008D5852" w:rsidR="008D5852" w:rsidP="008D5852" w:rsidRDefault="008D5852" w14:paraId="651B10A0" w14:textId="77777777">
            <w:pPr>
              <w:pStyle w:val="tablebody"/>
            </w:pPr>
            <w:r w:rsidRPr="008D5852">
              <w:t>1 July 2018</w:t>
            </w:r>
          </w:p>
        </w:tc>
        <w:tc>
          <w:tcPr>
            <w:tcW w:w="284" w:type="dxa"/>
            <w:tcBorders>
              <w:top w:val="single" w:color="000000" w:sz="2" w:space="0"/>
              <w:left w:val="nil"/>
              <w:bottom w:val="single" w:color="000000" w:sz="6" w:space="0"/>
              <w:right w:val="nil"/>
            </w:tcBorders>
            <w:tcMar>
              <w:top w:w="28" w:type="dxa"/>
              <w:left w:w="0" w:type="dxa"/>
              <w:bottom w:w="57" w:type="dxa"/>
              <w:right w:w="0" w:type="dxa"/>
            </w:tcMar>
          </w:tcPr>
          <w:p w:rsidRPr="008D5852" w:rsidR="008D5852" w:rsidP="008D5852" w:rsidRDefault="008D5852" w14:paraId="5A59A7EF" w14:textId="77777777">
            <w:pPr>
              <w:pStyle w:val="tablebody"/>
            </w:pPr>
            <w:r w:rsidRPr="008D5852">
              <w:t>to</w:t>
            </w:r>
          </w:p>
        </w:tc>
        <w:tc>
          <w:tcPr>
            <w:tcW w:w="1417" w:type="dxa"/>
            <w:tcBorders>
              <w:top w:val="single" w:color="000000" w:sz="2" w:space="0"/>
              <w:left w:val="nil"/>
              <w:bottom w:val="single" w:color="000000" w:sz="6" w:space="0"/>
              <w:right w:val="nil"/>
            </w:tcBorders>
            <w:tcMar>
              <w:top w:w="28" w:type="dxa"/>
              <w:left w:w="0" w:type="dxa"/>
              <w:bottom w:w="57" w:type="dxa"/>
              <w:right w:w="0" w:type="dxa"/>
            </w:tcMar>
          </w:tcPr>
          <w:p w:rsidRPr="008D5852" w:rsidR="008D5852" w:rsidP="008D5852" w:rsidRDefault="008D5852" w14:paraId="3C8C658C" w14:textId="77777777">
            <w:pPr>
              <w:pStyle w:val="tablebody"/>
            </w:pPr>
            <w:r w:rsidRPr="008D5852">
              <w:t>31 January 2019</w:t>
            </w:r>
          </w:p>
        </w:tc>
      </w:tr>
    </w:tbl>
    <w:p w:rsidRPr="008D5852" w:rsidR="008D5852" w:rsidP="008D5852" w:rsidRDefault="008D5852" w14:paraId="762822FB" w14:textId="77777777">
      <w:pPr>
        <w:pStyle w:val="notes"/>
        <w:spacing w:after="0"/>
        <w:ind w:left="284" w:hanging="284"/>
      </w:pPr>
      <w:r w:rsidRPr="008D5852">
        <w:t xml:space="preserve">(i) </w:t>
      </w:r>
      <w:r w:rsidRPr="008D5852">
        <w:tab/>
        <w:t>Position created in 2018-19</w:t>
      </w:r>
    </w:p>
    <w:p w:rsidRPr="008D5852" w:rsidR="008D5852" w:rsidP="008D5852" w:rsidRDefault="008D5852" w14:paraId="7CD2DE95" w14:textId="77777777">
      <w:pPr>
        <w:pStyle w:val="notes"/>
        <w:spacing w:after="0"/>
        <w:ind w:left="284" w:hanging="284"/>
      </w:pPr>
      <w:r w:rsidRPr="008D5852">
        <w:t xml:space="preserve">(ii) </w:t>
      </w:r>
      <w:r w:rsidRPr="008D5852">
        <w:tab/>
        <w:t>Position identified as a KMP in 2018-19</w:t>
      </w:r>
    </w:p>
    <w:p w:rsidRPr="008D5852" w:rsidR="008D5852" w:rsidP="008D5852" w:rsidRDefault="008D5852" w14:paraId="40B1ED72" w14:textId="77777777">
      <w:pPr>
        <w:pStyle w:val="notes"/>
        <w:spacing w:after="0"/>
        <w:ind w:left="284" w:hanging="284"/>
      </w:pPr>
      <w:r w:rsidRPr="008D5852">
        <w:t xml:space="preserve">(iii) </w:t>
      </w:r>
      <w:r w:rsidRPr="008D5852">
        <w:tab/>
        <w:t>Position ceased in 2018-19</w:t>
      </w:r>
    </w:p>
    <w:p w:rsidRPr="008D5852" w:rsidR="008D5852" w:rsidP="008D5852" w:rsidRDefault="008D5852" w14:paraId="04EEF6E0" w14:textId="77777777">
      <w:pPr>
        <w:pStyle w:val="notes"/>
        <w:spacing w:after="0"/>
        <w:ind w:left="284" w:hanging="284"/>
      </w:pPr>
      <w:r w:rsidRPr="008D5852">
        <w:t xml:space="preserve">(iv) </w:t>
      </w:r>
      <w:r w:rsidRPr="008D5852">
        <w:tab/>
        <w:t>Position ceased to be a KMP in 2018-19 upon the creation of the new board of management.</w:t>
      </w:r>
    </w:p>
    <w:p w:rsidRPr="008D5852" w:rsidR="008D5852" w:rsidP="008D5852" w:rsidRDefault="008D5852" w14:paraId="5E81954A" w14:textId="77777777">
      <w:pPr>
        <w:pStyle w:val="notes"/>
        <w:ind w:left="284" w:hanging="284"/>
      </w:pPr>
      <w:r w:rsidRPr="008D5852">
        <w:t xml:space="preserve">(v) </w:t>
      </w:r>
      <w:r w:rsidRPr="008D5852">
        <w:tab/>
        <w:t>Other positions previously disclosed as KMPs in 2017-18 have been excluded in 2018-19 due to a rationalisation of positions considered to be KMPs.</w:t>
      </w:r>
    </w:p>
    <w:p w:rsidRPr="008D5852" w:rsidR="008D5852" w:rsidP="008D5852" w:rsidRDefault="008D5852" w14:paraId="09B57DD5" w14:textId="01CCC7F1">
      <w:r w:rsidRPr="008D5852">
        <w:lastRenderedPageBreak/>
        <w:t xml:space="preserve">The compensation detailed below excludes the salaries and benefits of Portfolio Ministers.  The Ministers’ remuneration and allowances are set by the </w:t>
      </w:r>
      <w:r w:rsidRPr="008D5852">
        <w:rPr>
          <w:i/>
          <w:iCs/>
        </w:rPr>
        <w:t>Parliamentary Salaries and Superannuation Act 1968</w:t>
      </w:r>
      <w:r w:rsidRPr="008D5852">
        <w:t xml:space="preserve"> and are reported within the Department of Parliamentary Services’ Financial Report.</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D70E0F" w:rsidR="008D5852" w:rsidTr="00D70E0F" w14:paraId="086333A8"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12A90529" w14:textId="77777777">
            <w:pPr>
              <w:pStyle w:val="tablebody"/>
              <w:rPr>
                <w:b/>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7937B2E2" w14:textId="77777777">
            <w:pPr>
              <w:pStyle w:val="tablebody"/>
              <w:jc w:val="right"/>
              <w:rPr>
                <w:b/>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68D682C2" w14:textId="77777777">
            <w:pPr>
              <w:pStyle w:val="tablebody"/>
              <w:jc w:val="right"/>
              <w:rPr>
                <w:b/>
              </w:rPr>
            </w:pPr>
            <w:r w:rsidRPr="00D70E0F">
              <w:rPr>
                <w:b/>
              </w:rPr>
              <w:t>($ thousand)</w:t>
            </w:r>
          </w:p>
        </w:tc>
      </w:tr>
      <w:tr w:rsidRPr="00D70E0F" w:rsidR="008D5852" w:rsidTr="00D70E0F" w14:paraId="0426EDA9"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60C16C13" w14:textId="77777777">
            <w:pPr>
              <w:pStyle w:val="tablebody"/>
              <w:rPr>
                <w:b/>
              </w:rPr>
            </w:pPr>
            <w:r w:rsidRPr="00D70E0F">
              <w:rPr>
                <w:b/>
              </w:rPr>
              <w:t>Compensation of KMPs (i)(ii)</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775C1002" w14:textId="77777777">
            <w:pPr>
              <w:pStyle w:val="tablebody"/>
              <w:jc w:val="right"/>
              <w:rPr>
                <w:b/>
              </w:rPr>
            </w:pPr>
            <w:r w:rsidRPr="00D70E0F">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21DF0747" w14:textId="77777777">
            <w:pPr>
              <w:pStyle w:val="tablebody"/>
              <w:jc w:val="right"/>
              <w:rPr>
                <w:b/>
              </w:rPr>
            </w:pPr>
            <w:r w:rsidRPr="00D70E0F">
              <w:rPr>
                <w:b/>
              </w:rPr>
              <w:t>2018</w:t>
            </w:r>
          </w:p>
        </w:tc>
      </w:tr>
      <w:tr w:rsidRPr="00D70E0F" w:rsidR="008D5852" w:rsidTr="00D70E0F" w14:paraId="7BBCAC1D"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64782F14" w14:textId="77777777">
            <w:pPr>
              <w:pStyle w:val="tablebody"/>
            </w:pPr>
            <w:r w:rsidRPr="00D70E0F">
              <w:t>Short-term employee benefits</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71B3056D" w14:textId="77777777">
            <w:pPr>
              <w:pStyle w:val="tablebody"/>
              <w:jc w:val="right"/>
            </w:pPr>
            <w:r w:rsidRPr="00D70E0F">
              <w:t xml:space="preserve">5,890 </w:t>
            </w: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7BE42DC4" w14:textId="77777777">
            <w:pPr>
              <w:pStyle w:val="tablebody"/>
              <w:jc w:val="right"/>
            </w:pPr>
            <w:r w:rsidRPr="00D70E0F">
              <w:t xml:space="preserve">7,020 </w:t>
            </w:r>
          </w:p>
        </w:tc>
      </w:tr>
      <w:tr w:rsidRPr="00D70E0F" w:rsidR="008D5852" w:rsidTr="00D70E0F" w14:paraId="4721752F" w14:textId="77777777">
        <w:tc>
          <w:tcPr>
            <w:tcW w:w="6520"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1023D4BE" w14:textId="77777777">
            <w:pPr>
              <w:pStyle w:val="tablebody"/>
            </w:pPr>
            <w:r w:rsidRPr="00D70E0F">
              <w:t>Post-employment benefits</w:t>
            </w:r>
          </w:p>
        </w:tc>
        <w:tc>
          <w:tcPr>
            <w:tcW w:w="1700"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49A52868" w14:textId="77777777">
            <w:pPr>
              <w:pStyle w:val="tablebody"/>
              <w:jc w:val="right"/>
            </w:pPr>
            <w:r w:rsidRPr="00D70E0F">
              <w:t xml:space="preserve">435 </w:t>
            </w:r>
          </w:p>
        </w:tc>
        <w:tc>
          <w:tcPr>
            <w:tcW w:w="1701"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600BFE23" w14:textId="77777777">
            <w:pPr>
              <w:pStyle w:val="tablebody"/>
              <w:jc w:val="right"/>
            </w:pPr>
            <w:r w:rsidRPr="00D70E0F">
              <w:t xml:space="preserve">552 </w:t>
            </w:r>
          </w:p>
        </w:tc>
      </w:tr>
      <w:tr w:rsidRPr="00D70E0F" w:rsidR="008D5852" w:rsidTr="00D70E0F" w14:paraId="5A1BB410" w14:textId="77777777">
        <w:tc>
          <w:tcPr>
            <w:tcW w:w="6520"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69995833" w14:textId="77777777">
            <w:pPr>
              <w:pStyle w:val="tablebody"/>
            </w:pPr>
            <w:r w:rsidRPr="00D70E0F">
              <w:t>Other long-term benefits</w:t>
            </w:r>
          </w:p>
        </w:tc>
        <w:tc>
          <w:tcPr>
            <w:tcW w:w="1700"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3AD98B59" w14:textId="77777777">
            <w:pPr>
              <w:pStyle w:val="tablebody"/>
              <w:jc w:val="right"/>
            </w:pPr>
            <w:r w:rsidRPr="00D70E0F">
              <w:t xml:space="preserve">286 </w:t>
            </w:r>
          </w:p>
        </w:tc>
        <w:tc>
          <w:tcPr>
            <w:tcW w:w="1701" w:type="dxa"/>
            <w:tcBorders>
              <w:top w:val="nil"/>
              <w:left w:val="nil"/>
              <w:bottom w:val="nil"/>
              <w:right w:val="nil"/>
            </w:tcBorders>
            <w:tcMar>
              <w:top w:w="28" w:type="dxa"/>
              <w:left w:w="0" w:type="dxa"/>
              <w:bottom w:w="57" w:type="dxa"/>
              <w:right w:w="0" w:type="dxa"/>
            </w:tcMar>
            <w:vAlign w:val="bottom"/>
          </w:tcPr>
          <w:p w:rsidRPr="00D70E0F" w:rsidR="008D5852" w:rsidP="00D70E0F" w:rsidRDefault="008D5852" w14:paraId="46C3A19C" w14:textId="77777777">
            <w:pPr>
              <w:pStyle w:val="tablebody"/>
              <w:jc w:val="right"/>
            </w:pPr>
            <w:r w:rsidRPr="00D70E0F">
              <w:t xml:space="preserve">238 </w:t>
            </w:r>
          </w:p>
        </w:tc>
      </w:tr>
      <w:tr w:rsidRPr="00D70E0F" w:rsidR="008D5852" w:rsidTr="00D70E0F" w14:paraId="20C7028C" w14:textId="77777777">
        <w:tc>
          <w:tcPr>
            <w:tcW w:w="652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73D7B435" w14:textId="77777777">
            <w:pPr>
              <w:pStyle w:val="tablebody"/>
            </w:pPr>
            <w:r w:rsidRPr="00D70E0F">
              <w:t>Termination benefits</w:t>
            </w: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352952C3" w14:textId="77777777">
            <w:pPr>
              <w:pStyle w:val="tablebody"/>
              <w:jc w:val="right"/>
            </w:pPr>
            <w:r w:rsidRPr="00D70E0F">
              <w:t xml:space="preserve">154 </w:t>
            </w: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0D58BFE9" w14:textId="77777777">
            <w:pPr>
              <w:pStyle w:val="tablebody"/>
              <w:jc w:val="right"/>
            </w:pPr>
            <w:r w:rsidRPr="00D70E0F">
              <w:t xml:space="preserve">128 </w:t>
            </w:r>
          </w:p>
        </w:tc>
      </w:tr>
      <w:tr w:rsidRPr="00D70E0F" w:rsidR="008D5852" w:rsidTr="00D70E0F" w14:paraId="0D8FAE05"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0DB9717B" w14:textId="77777777">
            <w:pPr>
              <w:pStyle w:val="tablebody"/>
              <w:rPr>
                <w:b/>
              </w:rPr>
            </w:pPr>
            <w:r w:rsidRPr="00D70E0F">
              <w:rPr>
                <w:b/>
              </w:rPr>
              <w:t>Total</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1E432D23" w14:textId="77777777">
            <w:pPr>
              <w:pStyle w:val="tablebody"/>
              <w:jc w:val="right"/>
              <w:rPr>
                <w:b/>
              </w:rPr>
            </w:pPr>
            <w:r w:rsidRPr="00D70E0F">
              <w:rPr>
                <w:b/>
              </w:rPr>
              <w:t xml:space="preserve">6,765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12276D10" w14:textId="77777777">
            <w:pPr>
              <w:pStyle w:val="tablebody"/>
              <w:jc w:val="right"/>
              <w:rPr>
                <w:b/>
              </w:rPr>
            </w:pPr>
            <w:r w:rsidRPr="00D70E0F">
              <w:rPr>
                <w:b/>
              </w:rPr>
              <w:t xml:space="preserve">7,938 </w:t>
            </w:r>
          </w:p>
        </w:tc>
      </w:tr>
    </w:tbl>
    <w:p w:rsidRPr="00D70E0F" w:rsidR="008D5852" w:rsidP="00D70E0F" w:rsidRDefault="008D5852" w14:paraId="7BD09734" w14:textId="281F0EC4">
      <w:pPr>
        <w:pStyle w:val="notes"/>
        <w:spacing w:after="0"/>
        <w:ind w:left="284" w:hanging="284"/>
      </w:pPr>
      <w:r w:rsidRPr="00D70E0F">
        <w:t xml:space="preserve">(i) </w:t>
      </w:r>
      <w:r w:rsidRPr="00D70E0F">
        <w:tab/>
        <w:t>The 2017-18 comparative figures have been updated to amend other long term benefits for people who transferred to other departments and amend termination benefits to exclude leave payments.</w:t>
      </w:r>
    </w:p>
    <w:p w:rsidRPr="00D70E0F" w:rsidR="008D5852" w:rsidP="00D70E0F" w:rsidRDefault="008D5852" w14:paraId="0C45AB7E" w14:textId="77777777">
      <w:pPr>
        <w:pStyle w:val="notes"/>
        <w:ind w:left="284" w:hanging="284"/>
      </w:pPr>
      <w:r w:rsidRPr="00D70E0F">
        <w:t xml:space="preserve">(ii) </w:t>
      </w:r>
      <w:r w:rsidRPr="00D70E0F">
        <w:tab/>
        <w:t>KMPs, excluding the Ministers and Accountable Officer, are also reported in the disclosure of remuneration of executive officers (note 9.7).</w:t>
      </w:r>
    </w:p>
    <w:p w:rsidRPr="008D5852" w:rsidR="008D5852" w:rsidP="008D5852" w:rsidRDefault="008D5852" w14:paraId="4BDC55B7" w14:textId="77777777">
      <w:pPr>
        <w:rPr>
          <w:b/>
          <w:bCs/>
        </w:rPr>
      </w:pPr>
      <w:r w:rsidRPr="008D5852">
        <w:rPr>
          <w:b/>
          <w:bCs/>
        </w:rPr>
        <w:t>Transactions and balances with key management personnel and other related parties</w:t>
      </w:r>
    </w:p>
    <w:p w:rsidRPr="008D5852" w:rsidR="008D5852" w:rsidP="008D5852" w:rsidRDefault="008D5852" w14:paraId="5ED1328F" w14:textId="77777777">
      <w:r w:rsidRPr="008D5852">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8D5852">
        <w:rPr>
          <w:i/>
          <w:iCs/>
        </w:rPr>
        <w:t>Public Administration Act 2004</w:t>
      </w:r>
      <w:r w:rsidRPr="008D5852">
        <w:t xml:space="preserve"> and Codes of Conduct and Standards issued by the Victorian Public Sector Commission.  Procurement processes occur on terms and conditions consistent with the Victorian Government Procurement Board requirements.</w:t>
      </w:r>
    </w:p>
    <w:p w:rsidRPr="008D5852" w:rsidR="008D5852" w:rsidP="008D5852" w:rsidRDefault="008D5852" w14:paraId="1A8D7311" w14:textId="77777777">
      <w:r w:rsidRPr="008D5852">
        <w:t>Outside of normal citizen type transactions with the department, there were no related party transactions that involved key management personnel, their close family members and their personal business interests.  No provision has been required, nor any expense recognised, for impairment of receivables from related parties.</w:t>
      </w:r>
    </w:p>
    <w:p w:rsidRPr="008D5852" w:rsidR="008D5852" w:rsidP="008D5852" w:rsidRDefault="008D5852" w14:paraId="3F8401DB" w14:textId="77777777">
      <w:r w:rsidRPr="008D5852">
        <w:t>The department receives income from government such as the appropriations shown in note 2.2, and income from government-related-entities such as grant income as shown in note 2.5, and other income as shown in note 2.6.  The department pays government-related-entities grants as shown in note 3.3, the capital asset charge as shown in note 3.4, some of the technology services as shown in note 3.5 and for payments into the consolidated fund as shown in note 4.3.</w:t>
      </w:r>
    </w:p>
    <w:p w:rsidRPr="008D5852" w:rsidR="008D5852" w:rsidP="00D70E0F" w:rsidRDefault="008D5852" w14:paraId="556597FE" w14:textId="144FF74C">
      <w:pPr>
        <w:pStyle w:val="Heading3"/>
      </w:pPr>
      <w:r w:rsidRPr="008D5852">
        <w:t>9.9 Remuneration of auditors</w:t>
      </w:r>
    </w:p>
    <w:tbl>
      <w:tblPr>
        <w:tblW w:w="0" w:type="auto"/>
        <w:tblLayout w:type="fixed"/>
        <w:tblCellMar>
          <w:left w:w="0" w:type="dxa"/>
          <w:right w:w="0" w:type="dxa"/>
        </w:tblCellMar>
        <w:tblLook w:firstRow="1" w:lastRow="0" w:firstColumn="0" w:lastColumn="0" w:noHBand="0" w:noVBand="0" w:val="0020"/>
      </w:tblPr>
      <w:tblGrid>
        <w:gridCol w:w="6520"/>
        <w:gridCol w:w="1700"/>
        <w:gridCol w:w="1701"/>
      </w:tblGrid>
      <w:tr w:rsidRPr="00D70E0F" w:rsidR="008D5852" w:rsidTr="00D70E0F" w14:paraId="68B254AB" w14:textId="77777777">
        <w:trPr>
          <w:tblHeader/>
        </w:trPr>
        <w:tc>
          <w:tcPr>
            <w:tcW w:w="652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3584C7E3" w14:textId="77777777">
            <w:pPr>
              <w:pStyle w:val="tablebody"/>
              <w:rPr>
                <w:b/>
                <w:lang w:val="en-US"/>
              </w:rPr>
            </w:pP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41F5166C" w14:textId="77777777">
            <w:pPr>
              <w:pStyle w:val="tablebody"/>
              <w:jc w:val="right"/>
              <w:rPr>
                <w:b/>
                <w:lang w:val="en-US"/>
              </w:rPr>
            </w:pP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726A0798" w14:textId="77777777">
            <w:pPr>
              <w:pStyle w:val="tablebody"/>
              <w:jc w:val="right"/>
              <w:rPr>
                <w:b/>
              </w:rPr>
            </w:pPr>
            <w:r w:rsidRPr="00D70E0F">
              <w:rPr>
                <w:b/>
              </w:rPr>
              <w:t>($ thousand)</w:t>
            </w:r>
          </w:p>
        </w:tc>
      </w:tr>
      <w:tr w:rsidRPr="00D70E0F" w:rsidR="008D5852" w:rsidTr="00D70E0F" w14:paraId="46B89A24" w14:textId="77777777">
        <w:trPr>
          <w:tblHeader/>
        </w:trPr>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1C67071B" w14:textId="77777777">
            <w:pPr>
              <w:pStyle w:val="tablebody"/>
              <w:rPr>
                <w:b/>
                <w:lang w:val="en-US"/>
              </w:rPr>
            </w:pP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37884843" w14:textId="77777777">
            <w:pPr>
              <w:pStyle w:val="tablebody"/>
              <w:jc w:val="right"/>
              <w:rPr>
                <w:b/>
              </w:rPr>
            </w:pPr>
            <w:r w:rsidRPr="00D70E0F">
              <w:rPr>
                <w:b/>
              </w:rPr>
              <w:t>2019</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024907B0" w14:textId="77777777">
            <w:pPr>
              <w:pStyle w:val="tablebody"/>
              <w:jc w:val="right"/>
              <w:rPr>
                <w:b/>
              </w:rPr>
            </w:pPr>
            <w:r w:rsidRPr="00D70E0F">
              <w:rPr>
                <w:b/>
              </w:rPr>
              <w:t>2018</w:t>
            </w:r>
          </w:p>
        </w:tc>
      </w:tr>
      <w:tr w:rsidRPr="00D70E0F" w:rsidR="008D5852" w:rsidTr="00D70E0F" w14:paraId="5BAB51A3" w14:textId="77777777">
        <w:tc>
          <w:tcPr>
            <w:tcW w:w="6520"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32FE418E" w14:textId="77777777">
            <w:pPr>
              <w:pStyle w:val="tablebody"/>
              <w:rPr>
                <w:b/>
              </w:rPr>
            </w:pPr>
            <w:r w:rsidRPr="00D70E0F">
              <w:rPr>
                <w:b/>
              </w:rPr>
              <w:t>Victorian Auditor-General’s Office</w:t>
            </w:r>
          </w:p>
        </w:tc>
        <w:tc>
          <w:tcPr>
            <w:tcW w:w="1700"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5F25B356" w14:textId="77777777">
            <w:pPr>
              <w:pStyle w:val="tablebody"/>
              <w:jc w:val="right"/>
              <w:rPr>
                <w:b/>
                <w:lang w:val="en-US"/>
              </w:rPr>
            </w:pPr>
          </w:p>
        </w:tc>
        <w:tc>
          <w:tcPr>
            <w:tcW w:w="1701" w:type="dxa"/>
            <w:tcBorders>
              <w:top w:val="single" w:color="000000" w:sz="6" w:space="0"/>
              <w:left w:val="nil"/>
              <w:bottom w:val="nil"/>
              <w:right w:val="nil"/>
            </w:tcBorders>
            <w:tcMar>
              <w:top w:w="28" w:type="dxa"/>
              <w:left w:w="0" w:type="dxa"/>
              <w:bottom w:w="57" w:type="dxa"/>
              <w:right w:w="0" w:type="dxa"/>
            </w:tcMar>
            <w:vAlign w:val="bottom"/>
          </w:tcPr>
          <w:p w:rsidRPr="00D70E0F" w:rsidR="008D5852" w:rsidP="00D70E0F" w:rsidRDefault="008D5852" w14:paraId="445DC069" w14:textId="77777777">
            <w:pPr>
              <w:pStyle w:val="tablebody"/>
              <w:jc w:val="right"/>
              <w:rPr>
                <w:b/>
                <w:lang w:val="en-US"/>
              </w:rPr>
            </w:pPr>
          </w:p>
        </w:tc>
      </w:tr>
      <w:tr w:rsidRPr="008D5852" w:rsidR="008D5852" w:rsidTr="00D70E0F" w14:paraId="43DD1A08" w14:textId="77777777">
        <w:tc>
          <w:tcPr>
            <w:tcW w:w="6520" w:type="dxa"/>
            <w:tcBorders>
              <w:top w:val="nil"/>
              <w:left w:val="nil"/>
              <w:bottom w:val="single" w:color="000000" w:sz="6" w:space="0"/>
              <w:right w:val="nil"/>
            </w:tcBorders>
            <w:tcMar>
              <w:top w:w="28" w:type="dxa"/>
              <w:left w:w="0" w:type="dxa"/>
              <w:bottom w:w="57" w:type="dxa"/>
              <w:right w:w="0" w:type="dxa"/>
            </w:tcMar>
            <w:vAlign w:val="bottom"/>
          </w:tcPr>
          <w:p w:rsidRPr="008D5852" w:rsidR="008D5852" w:rsidP="00D70E0F" w:rsidRDefault="008D5852" w14:paraId="5667BDB8" w14:textId="77777777">
            <w:pPr>
              <w:pStyle w:val="tablebody"/>
            </w:pPr>
            <w:r w:rsidRPr="008D5852">
              <w:t>Audit of the financial statements</w:t>
            </w:r>
          </w:p>
        </w:tc>
        <w:tc>
          <w:tcPr>
            <w:tcW w:w="1700" w:type="dxa"/>
            <w:tcBorders>
              <w:top w:val="nil"/>
              <w:left w:val="nil"/>
              <w:bottom w:val="single" w:color="000000" w:sz="6" w:space="0"/>
              <w:right w:val="nil"/>
            </w:tcBorders>
            <w:tcMar>
              <w:top w:w="28" w:type="dxa"/>
              <w:left w:w="0" w:type="dxa"/>
              <w:bottom w:w="57" w:type="dxa"/>
              <w:right w:w="0" w:type="dxa"/>
            </w:tcMar>
            <w:vAlign w:val="bottom"/>
          </w:tcPr>
          <w:p w:rsidRPr="008D5852" w:rsidR="008D5852" w:rsidP="00D70E0F" w:rsidRDefault="008D5852" w14:paraId="64E61E13" w14:textId="77777777">
            <w:pPr>
              <w:pStyle w:val="tablebody"/>
              <w:jc w:val="right"/>
            </w:pPr>
            <w:r w:rsidRPr="008D5852">
              <w:t xml:space="preserve">348 </w:t>
            </w:r>
          </w:p>
        </w:tc>
        <w:tc>
          <w:tcPr>
            <w:tcW w:w="1701" w:type="dxa"/>
            <w:tcBorders>
              <w:top w:val="nil"/>
              <w:left w:val="nil"/>
              <w:bottom w:val="single" w:color="000000" w:sz="6" w:space="0"/>
              <w:right w:val="nil"/>
            </w:tcBorders>
            <w:tcMar>
              <w:top w:w="28" w:type="dxa"/>
              <w:left w:w="0" w:type="dxa"/>
              <w:bottom w:w="57" w:type="dxa"/>
              <w:right w:w="0" w:type="dxa"/>
            </w:tcMar>
            <w:vAlign w:val="bottom"/>
          </w:tcPr>
          <w:p w:rsidRPr="008D5852" w:rsidR="008D5852" w:rsidP="00D70E0F" w:rsidRDefault="008D5852" w14:paraId="6B1C9DC2" w14:textId="77777777">
            <w:pPr>
              <w:pStyle w:val="tablebody"/>
              <w:jc w:val="right"/>
            </w:pPr>
            <w:r w:rsidRPr="008D5852">
              <w:t xml:space="preserve">339 </w:t>
            </w:r>
          </w:p>
        </w:tc>
      </w:tr>
      <w:tr w:rsidRPr="00D70E0F" w:rsidR="008D5852" w:rsidTr="00D70E0F" w14:paraId="0C34B7EA" w14:textId="77777777">
        <w:tc>
          <w:tcPr>
            <w:tcW w:w="652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143C76CE" w14:textId="77777777">
            <w:pPr>
              <w:pStyle w:val="tablebody"/>
              <w:rPr>
                <w:b/>
              </w:rPr>
            </w:pPr>
            <w:r w:rsidRPr="00D70E0F">
              <w:rPr>
                <w:b/>
              </w:rPr>
              <w:t>Total remuneration of auditors</w:t>
            </w:r>
          </w:p>
        </w:tc>
        <w:tc>
          <w:tcPr>
            <w:tcW w:w="1700"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6EA684C4" w14:textId="77777777">
            <w:pPr>
              <w:pStyle w:val="tablebody"/>
              <w:jc w:val="right"/>
              <w:rPr>
                <w:b/>
              </w:rPr>
            </w:pPr>
            <w:r w:rsidRPr="00D70E0F">
              <w:rPr>
                <w:b/>
              </w:rPr>
              <w:t xml:space="preserve">348 </w:t>
            </w:r>
          </w:p>
        </w:tc>
        <w:tc>
          <w:tcPr>
            <w:tcW w:w="1701" w:type="dxa"/>
            <w:tcBorders>
              <w:top w:val="single" w:color="000000" w:sz="6" w:space="0"/>
              <w:left w:val="nil"/>
              <w:bottom w:val="single" w:color="000000" w:sz="6" w:space="0"/>
              <w:right w:val="nil"/>
            </w:tcBorders>
            <w:tcMar>
              <w:top w:w="28" w:type="dxa"/>
              <w:left w:w="0" w:type="dxa"/>
              <w:bottom w:w="57" w:type="dxa"/>
              <w:right w:w="0" w:type="dxa"/>
            </w:tcMar>
            <w:vAlign w:val="bottom"/>
          </w:tcPr>
          <w:p w:rsidRPr="00D70E0F" w:rsidR="008D5852" w:rsidP="00D70E0F" w:rsidRDefault="008D5852" w14:paraId="05403B6F" w14:textId="77777777">
            <w:pPr>
              <w:pStyle w:val="tablebody"/>
              <w:jc w:val="right"/>
              <w:rPr>
                <w:b/>
              </w:rPr>
            </w:pPr>
            <w:r w:rsidRPr="00D70E0F">
              <w:rPr>
                <w:b/>
              </w:rPr>
              <w:t xml:space="preserve">339 </w:t>
            </w:r>
          </w:p>
        </w:tc>
      </w:tr>
    </w:tbl>
    <w:p w:rsidRPr="008D5852" w:rsidR="008D5852" w:rsidP="008D5852" w:rsidRDefault="008D5852" w14:paraId="5D805463" w14:textId="77777777"/>
    <w:p w:rsidRPr="00346A07" w:rsidR="00346A07" w:rsidP="00346A07" w:rsidRDefault="00346A07" w14:paraId="7F2A8658" w14:textId="77777777">
      <w:pPr>
        <w:pStyle w:val="Heading3"/>
      </w:pPr>
      <w:r w:rsidRPr="00346A07">
        <w:t>9.10 Australian Accounting Standards issued that are not yet effective</w:t>
      </w:r>
    </w:p>
    <w:p w:rsidRPr="00346A07" w:rsidR="00346A07" w:rsidP="00346A07" w:rsidRDefault="00346A07" w14:paraId="1D70D867" w14:textId="77777777">
      <w:r w:rsidRPr="00346A07">
        <w:t>The following Australian Accounting Standards (AAS) become effective for annual reporting periods commencing on or after 1 July 2019.</w:t>
      </w:r>
    </w:p>
    <w:p w:rsidRPr="00346A07" w:rsidR="00346A07" w:rsidP="00346A07" w:rsidRDefault="00346A07" w14:paraId="0D2AB9C5" w14:textId="77777777">
      <w:pPr>
        <w:pStyle w:val="Bullet1"/>
        <w:rPr>
          <w:i/>
        </w:rPr>
      </w:pPr>
      <w:r w:rsidRPr="00346A07">
        <w:t xml:space="preserve">AASB 1059 </w:t>
      </w:r>
      <w:r w:rsidRPr="00346A07">
        <w:rPr>
          <w:i/>
        </w:rPr>
        <w:t>Service Concession Arrangements: Grantor</w:t>
      </w:r>
    </w:p>
    <w:p w:rsidRPr="00346A07" w:rsidR="00346A07" w:rsidP="00346A07" w:rsidRDefault="00346A07" w14:paraId="3B255F95" w14:textId="77777777">
      <w:pPr>
        <w:pStyle w:val="Bullet1"/>
      </w:pPr>
      <w:r w:rsidRPr="00346A07">
        <w:t xml:space="preserve">AASB 16 </w:t>
      </w:r>
      <w:r w:rsidRPr="00346A07">
        <w:rPr>
          <w:i/>
        </w:rPr>
        <w:t>Leases</w:t>
      </w:r>
    </w:p>
    <w:p w:rsidRPr="00346A07" w:rsidR="00346A07" w:rsidP="00346A07" w:rsidRDefault="00346A07" w14:paraId="23D0A6A1" w14:textId="77777777">
      <w:pPr>
        <w:pStyle w:val="Bullet1"/>
        <w:rPr>
          <w:i/>
        </w:rPr>
      </w:pPr>
      <w:r w:rsidRPr="00346A07">
        <w:t xml:space="preserve">AASB 15 </w:t>
      </w:r>
      <w:r w:rsidRPr="00346A07">
        <w:rPr>
          <w:i/>
        </w:rPr>
        <w:t>Revenue from Contracts with Customers</w:t>
      </w:r>
    </w:p>
    <w:p w:rsidRPr="00346A07" w:rsidR="00346A07" w:rsidP="00346A07" w:rsidRDefault="00346A07" w14:paraId="16953D9E" w14:textId="77777777">
      <w:pPr>
        <w:pStyle w:val="Bullet1"/>
        <w:rPr>
          <w:i/>
        </w:rPr>
      </w:pPr>
      <w:r w:rsidRPr="00346A07">
        <w:t xml:space="preserve">AASB 1058 </w:t>
      </w:r>
      <w:r w:rsidRPr="00346A07">
        <w:rPr>
          <w:i/>
        </w:rPr>
        <w:t>Income of Not-for-Profit Entities</w:t>
      </w:r>
    </w:p>
    <w:p w:rsidRPr="00346A07" w:rsidR="00346A07" w:rsidP="00346A07" w:rsidRDefault="00346A07" w14:paraId="766982AE" w14:textId="77777777">
      <w:pPr>
        <w:rPr>
          <w:b/>
          <w:bCs/>
        </w:rPr>
      </w:pPr>
      <w:r w:rsidRPr="00346A07">
        <w:rPr>
          <w:b/>
          <w:bCs/>
        </w:rPr>
        <w:t>Service concession arrangements</w:t>
      </w:r>
    </w:p>
    <w:p w:rsidRPr="00346A07" w:rsidR="00346A07" w:rsidP="00346A07" w:rsidRDefault="00346A07" w14:paraId="48C73476" w14:textId="77777777">
      <w:r w:rsidRPr="00346A07">
        <w:t xml:space="preserve">Prior to the issuance of AASB 1059, there was no definitive accounting guidance in Australia for service concession arrangements, which include a number of public private partnership (PPP) arrangements.  The Australian Accounting Standards Board (AASB) issued the new standard to address the lack of specific accounting guidance and based the content broadly on its international equivalent, International Public Sector Accounting Standard 32 </w:t>
      </w:r>
      <w:r w:rsidRPr="00346A07">
        <w:rPr>
          <w:i/>
          <w:iCs/>
        </w:rPr>
        <w:t>Service Concession Arrangements: Grantor</w:t>
      </w:r>
      <w:r w:rsidRPr="00346A07">
        <w:t>.</w:t>
      </w:r>
    </w:p>
    <w:p w:rsidRPr="00346A07" w:rsidR="00346A07" w:rsidP="00346A07" w:rsidRDefault="00346A07" w14:paraId="1D347866" w14:textId="77777777">
      <w:r w:rsidRPr="00346A07">
        <w:t xml:space="preserve">For arrangements within the scope of AASB 1059, the public sector grantor will be required to record the assets used in the service concession arrangement at current replacement cost in accordance with the cost approach to fair value under AASB 13 </w:t>
      </w:r>
      <w:r w:rsidRPr="00346A07">
        <w:rPr>
          <w:i/>
          <w:iCs/>
        </w:rPr>
        <w:t>Fair Value Measurement</w:t>
      </w:r>
      <w:r w:rsidRPr="00346A07">
        <w:t>, with a related financial liability.  The AASB recently announced a one-year deferral on the new accounting requirements for public sector grantors in service concession arrangements.  As a result, AASB 1059 will apply to annual reporting periods beginning on or after 1 January 2020, rather than 1 January 2019.  However, the department intends to early adopt AASB 1059, in line with the original adoption date of 1 January 2019, in the 2019-20 financial year.</w:t>
      </w:r>
    </w:p>
    <w:p w:rsidRPr="00346A07" w:rsidR="00346A07" w:rsidP="00346A07" w:rsidRDefault="00346A07" w14:paraId="00FB9941" w14:textId="77777777">
      <w:r w:rsidRPr="00346A07">
        <w:t>The department will apply the standard using a full retrospective approach to prior reporting periods from the transition date of 1 July 2018.  As a result, all comparative information in the financial statements will be prepared as if AASB 1059 had always been in effect with a cumulative adjustment between the recognition of service concession assets and financial liabilities recognised in accumulated surplus as at 1 July 2018.</w:t>
      </w:r>
    </w:p>
    <w:p w:rsidRPr="00346A07" w:rsidR="00346A07" w:rsidP="00346A07" w:rsidRDefault="00346A07" w14:paraId="4F330EEE" w14:textId="77777777">
      <w:r w:rsidRPr="00346A07">
        <w:lastRenderedPageBreak/>
        <w:t>The department has identified four material service concession arrangements and has estimated the potential impact of AASB 1059 in the initial year of application as follows.</w:t>
      </w:r>
    </w:p>
    <w:p w:rsidRPr="00346A07" w:rsidR="00346A07" w:rsidP="00346A07" w:rsidRDefault="00346A07" w14:paraId="74D0A2C4" w14:textId="77777777">
      <w:pPr>
        <w:pStyle w:val="Bullet1"/>
        <w:spacing w:after="0"/>
      </w:pPr>
      <w:r w:rsidRPr="00346A07">
        <w:t>Increase in service concession assets of $1,016 million</w:t>
      </w:r>
    </w:p>
    <w:p w:rsidRPr="00346A07" w:rsidR="00346A07" w:rsidP="00346A07" w:rsidRDefault="00346A07" w14:paraId="03012A80" w14:textId="77777777">
      <w:pPr>
        <w:pStyle w:val="Bullet1"/>
        <w:spacing w:after="0"/>
      </w:pPr>
      <w:r w:rsidRPr="00346A07">
        <w:t>Decrease in owned assets of $301 million</w:t>
      </w:r>
    </w:p>
    <w:p w:rsidRPr="00346A07" w:rsidR="00346A07" w:rsidP="00346A07" w:rsidRDefault="00346A07" w14:paraId="5EC81630" w14:textId="77777777">
      <w:pPr>
        <w:pStyle w:val="Bullet1"/>
        <w:spacing w:after="0"/>
      </w:pPr>
      <w:r w:rsidRPr="00346A07">
        <w:t>Decrease in finance leased assets of $709 million</w:t>
      </w:r>
    </w:p>
    <w:p w:rsidRPr="00346A07" w:rsidR="00346A07" w:rsidP="00346A07" w:rsidRDefault="00346A07" w14:paraId="3D08174A" w14:textId="77777777">
      <w:pPr>
        <w:pStyle w:val="Bullet1"/>
        <w:spacing w:after="0"/>
      </w:pPr>
      <w:r w:rsidRPr="00346A07">
        <w:t>Increase in financial liabilities of $397 million</w:t>
      </w:r>
    </w:p>
    <w:p w:rsidRPr="00346A07" w:rsidR="00346A07" w:rsidP="00346A07" w:rsidRDefault="00346A07" w14:paraId="7A725948" w14:textId="77777777">
      <w:pPr>
        <w:pStyle w:val="Bullet1"/>
        <w:spacing w:after="0"/>
      </w:pPr>
      <w:r w:rsidRPr="00346A07">
        <w:t>Decrease in finance lease liabilities of $391 million</w:t>
      </w:r>
    </w:p>
    <w:p w:rsidRPr="00346A07" w:rsidR="00346A07" w:rsidP="00346A07" w:rsidRDefault="00346A07" w14:paraId="0FD81279" w14:textId="77777777">
      <w:pPr>
        <w:pStyle w:val="Bullet1"/>
        <w:spacing w:after="0"/>
      </w:pPr>
      <w:r w:rsidRPr="00346A07">
        <w:t>Decrease in supplies and services expense of $3 million</w:t>
      </w:r>
    </w:p>
    <w:p w:rsidRPr="00346A07" w:rsidR="00346A07" w:rsidP="00346A07" w:rsidRDefault="00346A07" w14:paraId="6F497469" w14:textId="77777777">
      <w:pPr>
        <w:pStyle w:val="Bullet1"/>
        <w:spacing w:after="0"/>
      </w:pPr>
      <w:r w:rsidRPr="00346A07">
        <w:t>Increase in depreciation expense of $3 million</w:t>
      </w:r>
    </w:p>
    <w:p w:rsidRPr="00346A07" w:rsidR="00346A07" w:rsidP="00346A07" w:rsidRDefault="00346A07" w14:paraId="7003D2C8" w14:textId="77777777">
      <w:pPr>
        <w:pStyle w:val="Bullet1"/>
      </w:pPr>
      <w:r w:rsidRPr="00346A07">
        <w:t>Increase in interest expense of $0.1 million</w:t>
      </w:r>
    </w:p>
    <w:p w:rsidRPr="00346A07" w:rsidR="00346A07" w:rsidP="00346A07" w:rsidRDefault="00346A07" w14:paraId="5DBA3F8F" w14:textId="77777777">
      <w:pPr>
        <w:rPr>
          <w:b/>
          <w:bCs/>
        </w:rPr>
      </w:pPr>
      <w:r w:rsidRPr="00346A07">
        <w:rPr>
          <w:b/>
          <w:bCs/>
        </w:rPr>
        <w:t>Leases</w:t>
      </w:r>
    </w:p>
    <w:p w:rsidRPr="00346A07" w:rsidR="00346A07" w:rsidP="00346A07" w:rsidRDefault="00346A07" w14:paraId="4D25495C" w14:textId="77777777">
      <w:r w:rsidRPr="00346A07">
        <w:t xml:space="preserve">AASB 16 </w:t>
      </w:r>
      <w:r w:rsidRPr="00346A07">
        <w:rPr>
          <w:i/>
          <w:iCs/>
        </w:rPr>
        <w:t>Leases</w:t>
      </w:r>
      <w:r w:rsidRPr="00346A07">
        <w:t xml:space="preserve"> replaces AASB 117 </w:t>
      </w:r>
      <w:r w:rsidRPr="00346A07">
        <w:rPr>
          <w:i/>
          <w:iCs/>
        </w:rPr>
        <w:t>Leases</w:t>
      </w:r>
      <w:r w:rsidRPr="00346A07">
        <w:t xml:space="preserve">, AASB Interpretation 4 </w:t>
      </w:r>
      <w:r w:rsidRPr="00346A07">
        <w:rPr>
          <w:i/>
          <w:iCs/>
        </w:rPr>
        <w:t>Determining Whether an Arrangement Contains a Lease</w:t>
      </w:r>
      <w:r w:rsidRPr="00346A07">
        <w:t xml:space="preserve">, AASB Interpretation 115 </w:t>
      </w:r>
      <w:r w:rsidRPr="00346A07">
        <w:rPr>
          <w:i/>
          <w:iCs/>
        </w:rPr>
        <w:t>Operating Leases-Incentives</w:t>
      </w:r>
      <w:r w:rsidRPr="00346A07">
        <w:t xml:space="preserve"> and AASB Interpretation 127 </w:t>
      </w:r>
      <w:r w:rsidRPr="00346A07">
        <w:rPr>
          <w:i/>
          <w:iCs/>
        </w:rPr>
        <w:t>Evaluating the Substance of Transactions Involving the Legal Form of a Lease</w:t>
      </w:r>
      <w:r w:rsidRPr="00346A07">
        <w:t>.</w:t>
      </w:r>
    </w:p>
    <w:p w:rsidRPr="00346A07" w:rsidR="00346A07" w:rsidP="00346A07" w:rsidRDefault="00346A07" w14:paraId="2A7C244B" w14:textId="77777777">
      <w:r w:rsidRPr="00346A07">
        <w:t>AASB 16 sets out the principles for the recognition, measurement, presentation and disclosure of leases and requires lessees to account for all leases on the balance sheet by recording a right-of-use asset and a lease liability, except for leases that are shorter than 12 months and leases where the underlying asset is of low value (deemed to be below $10,000).</w:t>
      </w:r>
    </w:p>
    <w:p w:rsidRPr="00346A07" w:rsidR="00346A07" w:rsidP="00346A07" w:rsidRDefault="00346A07" w14:paraId="77890ADD" w14:textId="77777777">
      <w:r w:rsidRPr="00346A07">
        <w:t>AASB 16 also requires the lessees to separately recognise the interest expense on the lease liability and the depreciation expense on the right-of-use asset, and remeasure the lease liability upon the occurrence of certain events (e.g. a change in the lease term, a change in future lease payments resulting from a change in an index or rate used to determine those payments).  The amount of the remeasurement of the lease liability will generally be recognised as an adjustment to the right-of-use asset.</w:t>
      </w:r>
    </w:p>
    <w:p w:rsidRPr="00346A07" w:rsidR="00346A07" w:rsidP="00346A07" w:rsidRDefault="00346A07" w14:paraId="5F72B446" w14:textId="77777777">
      <w:r w:rsidRPr="00346A07">
        <w:t>Lessor accounting under AASB 16 is substantially unchanged from AASB 117.  Lessors will continue to classify all leases using the same classification principle as in AASB 117 and distinguish between two types of leases, operating and finance leases.</w:t>
      </w:r>
    </w:p>
    <w:p w:rsidRPr="00346A07" w:rsidR="00346A07" w:rsidP="00346A07" w:rsidRDefault="00346A07" w14:paraId="4E7AC229" w14:textId="77777777">
      <w:r w:rsidRPr="00346A07">
        <w:t>The effective date is for annual reporting periods beginning on or after 1 January 2019.  The department intends to adopt AASB 16 in the 2019-20 financial year when it becomes effective.</w:t>
      </w:r>
    </w:p>
    <w:p w:rsidRPr="00346A07" w:rsidR="00346A07" w:rsidP="00346A07" w:rsidRDefault="00346A07" w14:paraId="56778BD7" w14:textId="77777777">
      <w:r w:rsidRPr="00346A07">
        <w:t>The department will apply the standard using a modified retrospective approach with the cumulative effect of initial application recognised as an adjustment to the opening balance of accumulated surplus as at 1 July 2019, with no restatement of comparative information.</w:t>
      </w:r>
    </w:p>
    <w:p w:rsidRPr="00346A07" w:rsidR="00346A07" w:rsidP="00346A07" w:rsidRDefault="00346A07" w14:paraId="433C94FE" w14:textId="77777777">
      <w:r w:rsidRPr="00346A07">
        <w:t>Various practical expedients are available on adoption to account for leases previously classified by a lessee as operating leases under AASB 117.  The department will elect to use the exemptions for all short-term leases (lease term less than 12 months) and low value leases (deemed to be below $10,000).</w:t>
      </w:r>
    </w:p>
    <w:p w:rsidRPr="00346A07" w:rsidR="00346A07" w:rsidP="00346A07" w:rsidRDefault="00346A07" w14:paraId="062C9E9B" w14:textId="77777777">
      <w:r w:rsidRPr="00346A07">
        <w:t xml:space="preserve">In addition, AASB 2018-8 </w:t>
      </w:r>
      <w:r w:rsidRPr="00346A07">
        <w:rPr>
          <w:i/>
          <w:iCs/>
        </w:rPr>
        <w:t>Amendments to Australian Accounting Standards - Right-of-Use Assets (ROU) of Not-for-Profit Entities</w:t>
      </w:r>
      <w:r w:rsidRPr="00346A07">
        <w:t xml:space="preserve"> allows a temporary option for not-for-profit entities to not measure right-of-use assets at initial recognition at fair value in respect of leases that have significantly below-market terms, since further guidance is expected to be developed to assist not-for-profit entities in measuring right-of-use assets at fair value.  The standard requires an entity that elects to apply the option (i.e. measures a class or classes of such right-of-use assets at cost rather than fair value) to include additional disclosures.  The department intends to choose the temporary relief to value these right-of-use assets at the present value of the payments required (at cost).</w:t>
      </w:r>
    </w:p>
    <w:p w:rsidRPr="00346A07" w:rsidR="00346A07" w:rsidP="00346A07" w:rsidRDefault="00346A07" w14:paraId="78CD5AF9" w14:textId="77777777">
      <w:r w:rsidRPr="00346A07">
        <w:t>The department has estimated the potential impact of AASB 16 in the initial year of application as follows.</w:t>
      </w:r>
    </w:p>
    <w:p w:rsidRPr="00346A07" w:rsidR="00346A07" w:rsidP="00346A07" w:rsidRDefault="00346A07" w14:paraId="79280B46" w14:textId="77777777">
      <w:pPr>
        <w:pStyle w:val="Bullet1"/>
        <w:spacing w:after="0"/>
      </w:pPr>
      <w:r w:rsidRPr="00346A07">
        <w:t>Increase in right-of-use assets of $846 million</w:t>
      </w:r>
    </w:p>
    <w:p w:rsidRPr="00346A07" w:rsidR="00346A07" w:rsidP="00346A07" w:rsidRDefault="00346A07" w14:paraId="10457059" w14:textId="77777777">
      <w:pPr>
        <w:pStyle w:val="Bullet1"/>
        <w:spacing w:after="0"/>
      </w:pPr>
      <w:r w:rsidRPr="00346A07">
        <w:t>Decrease in finance leased assets of $376 million</w:t>
      </w:r>
    </w:p>
    <w:p w:rsidRPr="00346A07" w:rsidR="00346A07" w:rsidP="00346A07" w:rsidRDefault="00346A07" w14:paraId="52F3B9CF" w14:textId="77777777">
      <w:pPr>
        <w:pStyle w:val="Bullet1"/>
        <w:spacing w:after="0"/>
      </w:pPr>
      <w:r w:rsidRPr="00346A07">
        <w:t>Increase in right-of-use lease liabilities of $635 million</w:t>
      </w:r>
    </w:p>
    <w:p w:rsidRPr="00346A07" w:rsidR="00346A07" w:rsidP="00346A07" w:rsidRDefault="00346A07" w14:paraId="6B2C0BDE" w14:textId="77777777">
      <w:pPr>
        <w:pStyle w:val="Bullet1"/>
        <w:spacing w:after="0"/>
      </w:pPr>
      <w:r w:rsidRPr="00346A07">
        <w:t>Decrease in finance lease liabilities of $166 million</w:t>
      </w:r>
    </w:p>
    <w:p w:rsidRPr="00346A07" w:rsidR="00346A07" w:rsidP="00346A07" w:rsidRDefault="00346A07" w14:paraId="13D04367" w14:textId="77777777">
      <w:pPr>
        <w:pStyle w:val="Bullet1"/>
        <w:spacing w:after="0"/>
      </w:pPr>
      <w:r w:rsidRPr="00346A07">
        <w:t>Decrease in supplies and services expense of $59 million</w:t>
      </w:r>
    </w:p>
    <w:p w:rsidRPr="00346A07" w:rsidR="00346A07" w:rsidP="00346A07" w:rsidRDefault="00346A07" w14:paraId="37B694B8" w14:textId="77777777">
      <w:pPr>
        <w:pStyle w:val="Bullet1"/>
        <w:spacing w:after="0"/>
      </w:pPr>
      <w:r w:rsidRPr="00346A07">
        <w:t>Increase in depreciation expense of $61 million</w:t>
      </w:r>
    </w:p>
    <w:p w:rsidRPr="00346A07" w:rsidR="00346A07" w:rsidP="00346A07" w:rsidRDefault="00346A07" w14:paraId="72742990" w14:textId="77777777">
      <w:pPr>
        <w:pStyle w:val="Bullet1"/>
      </w:pPr>
      <w:r w:rsidRPr="00346A07">
        <w:t>Increase in interest expense of $17 million</w:t>
      </w:r>
    </w:p>
    <w:p w:rsidRPr="00346A07" w:rsidR="00346A07" w:rsidP="00346A07" w:rsidRDefault="00346A07" w14:paraId="6D6B6788" w14:textId="77777777">
      <w:pPr>
        <w:rPr>
          <w:b/>
          <w:bCs/>
        </w:rPr>
      </w:pPr>
      <w:r w:rsidRPr="00346A07">
        <w:rPr>
          <w:b/>
          <w:bCs/>
        </w:rPr>
        <w:t>Revenue and income</w:t>
      </w:r>
    </w:p>
    <w:p w:rsidRPr="00346A07" w:rsidR="00346A07" w:rsidP="00346A07" w:rsidRDefault="00346A07" w14:paraId="4C6FADBD" w14:textId="77777777">
      <w:r w:rsidRPr="00346A07">
        <w:t xml:space="preserve">AASB 15 supersedes AASB 118 </w:t>
      </w:r>
      <w:r w:rsidRPr="00346A07">
        <w:rPr>
          <w:i/>
          <w:iCs/>
        </w:rPr>
        <w:t>Revenue</w:t>
      </w:r>
      <w:r w:rsidRPr="00346A07">
        <w:t xml:space="preserve">, AASB 111 </w:t>
      </w:r>
      <w:r w:rsidRPr="00346A07">
        <w:rPr>
          <w:i/>
          <w:iCs/>
        </w:rPr>
        <w:t>Construction Contracts</w:t>
      </w:r>
      <w:r w:rsidRPr="00346A07">
        <w:t xml:space="preserve"> and related Interpretations and it applies, with limited exceptions, to all revenue arising from contracts with its customers.</w:t>
      </w:r>
    </w:p>
    <w:p w:rsidRPr="00346A07" w:rsidR="00346A07" w:rsidP="00346A07" w:rsidRDefault="00346A07" w14:paraId="736903B3" w14:textId="77777777">
      <w:r w:rsidRPr="00346A07">
        <w:t>AASB 15 establishes a five-step model to account for revenue arising from an enforceable contract that imposes a sufficiently specific performance obligation on an entity to transfer goods or services.  AASB 15 requires entities to only recognise revenue upon the fulfilment of the performance obligation.  Therefore, entities need to allocate the transaction price to each performance obligation in a contract and recognise the revenue only when the related obligation is satisfied.</w:t>
      </w:r>
    </w:p>
    <w:p w:rsidRPr="00346A07" w:rsidR="00346A07" w:rsidP="00346A07" w:rsidRDefault="00346A07" w14:paraId="1EBFD447" w14:textId="77777777">
      <w:r w:rsidRPr="00346A07">
        <w:t>To address specific concerns from the not-for-profit sector in Australia, the AASB also released the following standards and guidance.</w:t>
      </w:r>
    </w:p>
    <w:p w:rsidRPr="00346A07" w:rsidR="00346A07" w:rsidP="00346A07" w:rsidRDefault="00346A07" w14:paraId="403F7126" w14:textId="77777777">
      <w:pPr>
        <w:pStyle w:val="Bullet1"/>
      </w:pPr>
      <w:r w:rsidRPr="00346A07">
        <w:t xml:space="preserve">AASB 2016-8 </w:t>
      </w:r>
      <w:r w:rsidRPr="00346A07">
        <w:rPr>
          <w:i/>
        </w:rPr>
        <w:t>Amendments to Australian Accounting Standards - Australian Implementation Guidance for Not-for-Profit Entities</w:t>
      </w:r>
      <w:r w:rsidRPr="00346A07">
        <w:t>, to provide guidance on the application of revenue recognition principles under AASB 15 in the not-for-profit sector.</w:t>
      </w:r>
    </w:p>
    <w:p w:rsidRPr="00346A07" w:rsidR="00346A07" w:rsidP="00346A07" w:rsidRDefault="00346A07" w14:paraId="5CE491F9" w14:textId="77777777">
      <w:pPr>
        <w:pStyle w:val="Bullet1"/>
      </w:pPr>
      <w:r w:rsidRPr="00346A07">
        <w:lastRenderedPageBreak/>
        <w:t xml:space="preserve">AASB 2018-4 </w:t>
      </w:r>
      <w:r w:rsidRPr="00346A07">
        <w:rPr>
          <w:i/>
        </w:rPr>
        <w:t>Amendments to Australian Accounting Standards - Australian Implementation Guidance for Not-for-Profit Public-Sector Licensors</w:t>
      </w:r>
      <w:r w:rsidRPr="00346A07">
        <w:t>, to provide guidance on distinguishing between a tax and a licence, and on the timing of revenue recognition for non-IP licence payments.</w:t>
      </w:r>
    </w:p>
    <w:p w:rsidRPr="00346A07" w:rsidR="00346A07" w:rsidP="00346A07" w:rsidRDefault="00346A07" w14:paraId="47C0EF20" w14:textId="77777777">
      <w:pPr>
        <w:pStyle w:val="Bullet1"/>
      </w:pPr>
      <w:r w:rsidRPr="00346A07">
        <w:t xml:space="preserve">AASB 1058 </w:t>
      </w:r>
      <w:r w:rsidRPr="00346A07">
        <w:rPr>
          <w:i/>
        </w:rPr>
        <w:t>Income of Not-for-Profit Entities</w:t>
      </w:r>
      <w:r w:rsidRPr="00346A07">
        <w:t xml:space="preserve">, to supplement AASB 15 and provide criteria to be applied by not-for-profit entities in establishing the timing of recognising income for government grants and other types of contributions previously contained within AASB 1004 </w:t>
      </w:r>
      <w:r w:rsidRPr="00346A07">
        <w:rPr>
          <w:i/>
        </w:rPr>
        <w:t>Contributions</w:t>
      </w:r>
      <w:r w:rsidRPr="00346A07">
        <w:t>.</w:t>
      </w:r>
    </w:p>
    <w:p w:rsidRPr="00346A07" w:rsidR="00346A07" w:rsidP="00346A07" w:rsidRDefault="00346A07" w14:paraId="4FA26728" w14:textId="77777777">
      <w:r w:rsidRPr="00346A07">
        <w:t>AASB 15, AASB 1058 and the related guidance will come into effect for not-for-profit entities for annual reporting periods beginning on or after 1 January 2019.  The department intends to adopt these standards in the 2019-20 financial year when it becomes effective.</w:t>
      </w:r>
    </w:p>
    <w:p w:rsidRPr="00346A07" w:rsidR="00346A07" w:rsidP="00346A07" w:rsidRDefault="00346A07" w14:paraId="245C3CC7" w14:textId="77777777">
      <w:r w:rsidRPr="00346A07">
        <w:t>The department will apply the standard using a modified retrospective approach with the cumulative effect of initial application recognised as an adjustment to the opening balance of accumulated surplus at 1 July 2019, with no restatement of comparative information.</w:t>
      </w:r>
    </w:p>
    <w:p w:rsidRPr="008D5852" w:rsidR="008D5852" w:rsidP="00346A07" w:rsidRDefault="00346A07" w14:paraId="1F3245A4" w14:textId="01947092">
      <w:r w:rsidRPr="00346A07">
        <w:t>The department expects AASB 15 and AASB 1058 will have minimal impact on its income.</w:t>
      </w:r>
    </w:p>
    <w:p w:rsidRPr="009977E0" w:rsidR="009977E0" w:rsidP="009977E0" w:rsidRDefault="009977E0" w14:paraId="1603745D" w14:textId="77777777">
      <w:pPr>
        <w:pStyle w:val="Heading3"/>
      </w:pPr>
      <w:r w:rsidRPr="009977E0">
        <w:t>9.11 Glossary of technical terms</w:t>
      </w:r>
    </w:p>
    <w:p w:rsidRPr="009977E0" w:rsidR="009977E0" w:rsidP="009977E0" w:rsidRDefault="009977E0" w14:paraId="1D93DBCB" w14:textId="77777777">
      <w:r w:rsidRPr="009977E0">
        <w:t>The following is a summary of the major technical terms used in this report.</w:t>
      </w:r>
    </w:p>
    <w:p w:rsidRPr="009977E0" w:rsidR="009977E0" w:rsidP="009977E0" w:rsidRDefault="009977E0" w14:paraId="4C63C393" w14:textId="77777777">
      <w:r w:rsidRPr="00442785">
        <w:rPr>
          <w:b/>
        </w:rPr>
        <w:t>Administered item</w:t>
      </w:r>
      <w:r w:rsidRPr="009977E0">
        <w:t xml:space="preserve"> generally refers to a department lacking the capacity to benefit from that item in the pursuit of the entity’s objectives and to deny or regulate the access of others to that benefit.</w:t>
      </w:r>
    </w:p>
    <w:p w:rsidRPr="009977E0" w:rsidR="009977E0" w:rsidP="009977E0" w:rsidRDefault="009977E0" w14:paraId="2A52CD86" w14:textId="77777777">
      <w:r w:rsidRPr="00442785">
        <w:rPr>
          <w:b/>
        </w:rPr>
        <w:t>Amortisation</w:t>
      </w:r>
      <w:r w:rsidRPr="009977E0">
        <w:t xml:space="preserve"> is the expense that results from the consumption, extraction or use over time of a non-produced physical or intangible asset. This expense is classified as </w:t>
      </w:r>
      <w:proofErr w:type="spellStart"/>
      <w:r w:rsidRPr="009977E0">
        <w:t>an other</w:t>
      </w:r>
      <w:proofErr w:type="spellEnd"/>
      <w:r w:rsidRPr="009977E0">
        <w:t xml:space="preserve"> economic flow.</w:t>
      </w:r>
    </w:p>
    <w:p w:rsidRPr="009977E0" w:rsidR="009977E0" w:rsidP="009977E0" w:rsidRDefault="009977E0" w14:paraId="45A34F77" w14:textId="77777777">
      <w:r w:rsidRPr="00442785">
        <w:rPr>
          <w:b/>
        </w:rPr>
        <w:t>Borrowings</w:t>
      </w:r>
      <w:r w:rsidRPr="009977E0">
        <w:t xml:space="preserve"> refers to interest bearing liabilities mainly raised from public borrowings raised through the Treasury Corporation of Victoria, finance leases and other interest-bearing arrangements.  Borrowings also include non-interest bearing advances from government that are acquired for policy purposes.</w:t>
      </w:r>
    </w:p>
    <w:p w:rsidRPr="009977E0" w:rsidR="009977E0" w:rsidP="009977E0" w:rsidRDefault="009977E0" w14:paraId="252C7481" w14:textId="77777777">
      <w:r w:rsidRPr="00442785">
        <w:rPr>
          <w:b/>
        </w:rPr>
        <w:t>Commitments</w:t>
      </w:r>
      <w:r w:rsidRPr="009977E0">
        <w:t xml:space="preserve"> include those operating, capital and other outsourcing commitments arising from non-cancellable contractual or statutory sources.</w:t>
      </w:r>
    </w:p>
    <w:p w:rsidRPr="009977E0" w:rsidR="009977E0" w:rsidP="009977E0" w:rsidRDefault="009977E0" w14:paraId="357E3E66" w14:textId="77777777">
      <w:r w:rsidRPr="00442785">
        <w:rPr>
          <w:b/>
        </w:rPr>
        <w:t>Comprehensive result</w:t>
      </w:r>
      <w:r w:rsidRPr="009977E0">
        <w:t xml:space="preserve"> is the amount included in the operating statement representing total change in net worth other than transactions with owners.</w:t>
      </w:r>
    </w:p>
    <w:p w:rsidRPr="009977E0" w:rsidR="009977E0" w:rsidP="009977E0" w:rsidRDefault="009977E0" w14:paraId="472C981C" w14:textId="77777777">
      <w:r w:rsidRPr="00442785">
        <w:rPr>
          <w:b/>
        </w:rPr>
        <w:t>Controlled item</w:t>
      </w:r>
      <w:r w:rsidRPr="009977E0">
        <w:t xml:space="preserve"> generally refers to the capacity of a department to benefit from that item in the pursuit of the entity’s objectives and to deny or regulate the access of others to that benefit.</w:t>
      </w:r>
    </w:p>
    <w:p w:rsidRPr="009977E0" w:rsidR="009977E0" w:rsidP="009977E0" w:rsidRDefault="009977E0" w14:paraId="14D447D6" w14:textId="77777777">
      <w:r w:rsidRPr="00442785">
        <w:rPr>
          <w:b/>
        </w:rPr>
        <w:t>Current grants</w:t>
      </w:r>
      <w:r w:rsidRPr="009977E0">
        <w:t xml:space="preserve"> are amounts payable or receivable for current purposes for which no economic benefits of equal value are receivable or payable in return.</w:t>
      </w:r>
    </w:p>
    <w:p w:rsidRPr="009977E0" w:rsidR="009977E0" w:rsidP="009977E0" w:rsidRDefault="009977E0" w14:paraId="2ED4922B" w14:textId="77777777">
      <w:r w:rsidRPr="00442785">
        <w:rPr>
          <w:b/>
        </w:rPr>
        <w:t>Depreciation</w:t>
      </w:r>
      <w:r w:rsidRPr="009977E0">
        <w:t xml:space="preserve"> is an expense that arises from the consumption through wear or time of a produced physical or intangible asset. This expense is classified as a ‘transaction’ and so reduces the ‘net result from transactions’.</w:t>
      </w:r>
    </w:p>
    <w:p w:rsidRPr="009977E0" w:rsidR="009977E0" w:rsidP="009977E0" w:rsidRDefault="009977E0" w14:paraId="2BF842A8" w14:textId="77777777">
      <w:r w:rsidRPr="00442785">
        <w:rPr>
          <w:b/>
        </w:rPr>
        <w:t>Effective interest method</w:t>
      </w:r>
      <w:r w:rsidRPr="009977E0">
        <w:t xml:space="preserve"> is used to calculate the amortised cost of a financial asset or liability and of allocating interest income over the relevant period. The effective interest rate is the rate that exactly discounts estimated future cash receipts through the expected life of the financial asset or liability, or, where appropriate, a shorter period.</w:t>
      </w:r>
    </w:p>
    <w:p w:rsidRPr="009977E0" w:rsidR="009977E0" w:rsidP="009977E0" w:rsidRDefault="009977E0" w14:paraId="6E21E1FF" w14:textId="77777777">
      <w:r w:rsidRPr="00442785">
        <w:rPr>
          <w:b/>
        </w:rPr>
        <w:t>Employee benefits expenses</w:t>
      </w:r>
      <w:r w:rsidRPr="009977E0">
        <w:t xml:space="preserve"> include all costs related to employment including wages and salaries, fringe benefits tax, leave entitlements, redundancy payments and superannuation contributions.</w:t>
      </w:r>
    </w:p>
    <w:p w:rsidRPr="009977E0" w:rsidR="009977E0" w:rsidP="009977E0" w:rsidRDefault="009977E0" w14:paraId="24E7F1F8" w14:textId="77777777">
      <w:r w:rsidRPr="00442785">
        <w:rPr>
          <w:b/>
        </w:rPr>
        <w:t>Ex-gratia expenses</w:t>
      </w:r>
      <w:r w:rsidRPr="009977E0">
        <w:t xml:space="preserve"> mean the voluntary payment of money or other non-monetary benefit (e.g. a write off) that is not made either to acquire goods, services or other benefits for the entity or to meet a legal liability, or to settle or resolve a possible legal liability or claim against the entity.</w:t>
      </w:r>
    </w:p>
    <w:p w:rsidRPr="009977E0" w:rsidR="009977E0" w:rsidP="009977E0" w:rsidRDefault="009977E0" w14:paraId="713A7428" w14:textId="77777777">
      <w:r w:rsidRPr="00442785">
        <w:rPr>
          <w:b/>
        </w:rPr>
        <w:t>Financial asset</w:t>
      </w:r>
      <w:r w:rsidRPr="009977E0">
        <w:t xml:space="preserve"> is any asset that is:</w:t>
      </w:r>
    </w:p>
    <w:p w:rsidRPr="00442785" w:rsidR="009977E0" w:rsidP="00442785" w:rsidRDefault="009977E0" w14:paraId="6A872428" w14:textId="77777777">
      <w:pPr>
        <w:pStyle w:val="Bullet1"/>
      </w:pPr>
      <w:r w:rsidRPr="00442785">
        <w:t>cash;</w:t>
      </w:r>
    </w:p>
    <w:p w:rsidRPr="00442785" w:rsidR="009977E0" w:rsidP="00442785" w:rsidRDefault="009977E0" w14:paraId="5D82F5A9" w14:textId="77777777">
      <w:pPr>
        <w:pStyle w:val="Bullet1"/>
      </w:pPr>
      <w:r w:rsidRPr="00442785">
        <w:t>an equity instrument of another entity;</w:t>
      </w:r>
    </w:p>
    <w:p w:rsidRPr="00442785" w:rsidR="009977E0" w:rsidP="00442785" w:rsidRDefault="009977E0" w14:paraId="04173A27" w14:textId="77777777">
      <w:pPr>
        <w:pStyle w:val="Bullet1"/>
      </w:pPr>
      <w:r w:rsidRPr="00442785">
        <w:t>a contractual right: to receive cash or another financial asset from another entity; or to exchange financial assets or financial liabilities with another entity under conditions that are potentially favourable to the entity; or</w:t>
      </w:r>
    </w:p>
    <w:p w:rsidRPr="00442785" w:rsidR="009977E0" w:rsidP="00442785" w:rsidRDefault="009977E0" w14:paraId="0A1E90E9" w14:textId="77777777">
      <w:pPr>
        <w:pStyle w:val="Bullet1"/>
      </w:pPr>
      <w:r w:rsidRPr="00442785">
        <w:t>a contract that will or may be settled in the entity’s own equity instruments and is: a non-derivative for which the entity is or may be obliged to receive a variable number of the entity’s own equity instruments; or a derivative that will or may be settled other than by the exchange of a fixed amount of cash or another financial asset for a fixed number of the entity’s own equity instruments.</w:t>
      </w:r>
    </w:p>
    <w:p w:rsidRPr="009977E0" w:rsidR="009977E0" w:rsidP="009977E0" w:rsidRDefault="009977E0" w14:paraId="51A9EA99" w14:textId="77777777">
      <w:r w:rsidRPr="00442785">
        <w:rPr>
          <w:b/>
        </w:rPr>
        <w:t>Financial instrument</w:t>
      </w:r>
      <w:r w:rsidRPr="009977E0">
        <w:t xml:space="preserve"> is any contract that gives rise to a financial asset of one entity and a financial liability or equity instrument of another entity.</w:t>
      </w:r>
    </w:p>
    <w:p w:rsidRPr="009977E0" w:rsidR="009977E0" w:rsidP="009977E0" w:rsidRDefault="009977E0" w14:paraId="7E99D302" w14:textId="77777777">
      <w:r w:rsidRPr="00442785">
        <w:rPr>
          <w:b/>
        </w:rPr>
        <w:t>Financial liability</w:t>
      </w:r>
      <w:r w:rsidRPr="009977E0">
        <w:t xml:space="preserve"> is any liability that is:</w:t>
      </w:r>
    </w:p>
    <w:p w:rsidRPr="009977E0" w:rsidR="009977E0" w:rsidP="00442785" w:rsidRDefault="009977E0" w14:paraId="6E40F55A" w14:textId="77777777">
      <w:pPr>
        <w:pStyle w:val="Bullet1"/>
      </w:pPr>
      <w:r w:rsidRPr="009977E0">
        <w:t>a contractual obligation: to deliver cash or another financial asset to another entity; or to exchange financial assets or financial liabilities with another entity under conditions that are potentially unfavourable to the entity; or</w:t>
      </w:r>
    </w:p>
    <w:p w:rsidRPr="009977E0" w:rsidR="009977E0" w:rsidP="00442785" w:rsidRDefault="009977E0" w14:paraId="4D1160D3" w14:textId="77777777">
      <w:pPr>
        <w:pStyle w:val="Bullet1"/>
      </w:pPr>
      <w:r w:rsidRPr="009977E0">
        <w:lastRenderedPageBreak/>
        <w:t>a contract that will or may be settled in the entity’s own equity instruments and is: a non-derivative for which the entity is or may be obliged to deliver a variable number of the entity’s own equity instruments; or 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rsidRPr="009977E0" w:rsidR="009977E0" w:rsidP="009977E0" w:rsidRDefault="009977E0" w14:paraId="2EBC647B" w14:textId="77777777">
      <w:r w:rsidRPr="00442785">
        <w:rPr>
          <w:b/>
        </w:rPr>
        <w:t>Financial statements</w:t>
      </w:r>
      <w:r w:rsidRPr="009977E0">
        <w:t xml:space="preserve"> comprises:</w:t>
      </w:r>
    </w:p>
    <w:p w:rsidRPr="009977E0" w:rsidR="009977E0" w:rsidP="00442785" w:rsidRDefault="009977E0" w14:paraId="0C6796C2" w14:textId="77777777">
      <w:pPr>
        <w:pStyle w:val="Bullet1"/>
      </w:pPr>
      <w:r w:rsidRPr="009977E0">
        <w:t>a comprehensive operating statement for the period;</w:t>
      </w:r>
    </w:p>
    <w:p w:rsidRPr="009977E0" w:rsidR="009977E0" w:rsidP="00442785" w:rsidRDefault="009977E0" w14:paraId="7D0F3C4E" w14:textId="77777777">
      <w:pPr>
        <w:pStyle w:val="Bullet1"/>
      </w:pPr>
      <w:r w:rsidRPr="009977E0">
        <w:t>a balance sheet as at the end of the period;</w:t>
      </w:r>
    </w:p>
    <w:p w:rsidRPr="009977E0" w:rsidR="009977E0" w:rsidP="00442785" w:rsidRDefault="009977E0" w14:paraId="4C898681" w14:textId="77777777">
      <w:pPr>
        <w:pStyle w:val="Bullet1"/>
      </w:pPr>
      <w:r w:rsidRPr="009977E0">
        <w:t>a cash flow statement for the period;</w:t>
      </w:r>
    </w:p>
    <w:p w:rsidRPr="009977E0" w:rsidR="009977E0" w:rsidP="00442785" w:rsidRDefault="009977E0" w14:paraId="52F9DA9A" w14:textId="77777777">
      <w:pPr>
        <w:pStyle w:val="Bullet1"/>
      </w:pPr>
      <w:r w:rsidRPr="009977E0">
        <w:t>a statement of changes in equity for the period;</w:t>
      </w:r>
    </w:p>
    <w:p w:rsidRPr="009977E0" w:rsidR="009977E0" w:rsidP="00442785" w:rsidRDefault="009977E0" w14:paraId="56443AAF" w14:textId="77777777">
      <w:pPr>
        <w:pStyle w:val="Bullet1"/>
      </w:pPr>
      <w:r w:rsidRPr="009977E0">
        <w:t>notes, comprising a summary of significant accounting policies and other explanatory information;</w:t>
      </w:r>
    </w:p>
    <w:p w:rsidRPr="009977E0" w:rsidR="009977E0" w:rsidP="00442785" w:rsidRDefault="009977E0" w14:paraId="128C2544" w14:textId="77777777">
      <w:pPr>
        <w:pStyle w:val="Bullet1"/>
      </w:pPr>
      <w:r w:rsidRPr="009977E0">
        <w:t xml:space="preserve">comparative information in respect of the preceding period as specified in paragraph 38 of AASB 101 </w:t>
      </w:r>
      <w:r w:rsidRPr="009977E0">
        <w:rPr>
          <w:i/>
          <w:iCs/>
        </w:rPr>
        <w:t>Presentation of Financial Statements</w:t>
      </w:r>
      <w:r w:rsidRPr="009977E0">
        <w:t>; and</w:t>
      </w:r>
    </w:p>
    <w:p w:rsidRPr="009977E0" w:rsidR="009977E0" w:rsidP="00442785" w:rsidRDefault="009977E0" w14:paraId="257E6571" w14:textId="77777777">
      <w:pPr>
        <w:pStyle w:val="Bullet1"/>
      </w:pPr>
      <w:r w:rsidRPr="009977E0">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 41 of AASB 101.</w:t>
      </w:r>
    </w:p>
    <w:p w:rsidRPr="009977E0" w:rsidR="009977E0" w:rsidP="009977E0" w:rsidRDefault="009977E0" w14:paraId="7D065B51" w14:textId="77777777">
      <w:r w:rsidRPr="00442785">
        <w:rPr>
          <w:b/>
        </w:rPr>
        <w:t>Grant expenses and other transfers</w:t>
      </w:r>
      <w:r w:rsidRPr="009977E0">
        <w:t xml:space="preserve"> are transactions in which one unit provides goods, services, assets (or extinguishes a liability) or labour to another unit without receiving approximately equal value in return. Grants can be either operating or capital in nature.</w:t>
      </w:r>
    </w:p>
    <w:p w:rsidRPr="009977E0" w:rsidR="009977E0" w:rsidP="009977E0" w:rsidRDefault="009977E0" w14:paraId="77EA2643" w14:textId="77777777">
      <w:r w:rsidRPr="009977E0">
        <w:t>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For example, governments are not obliged to provide commensurate benefits, in the form of goods or services, to particular taxpayers in return for their taxes.</w:t>
      </w:r>
    </w:p>
    <w:p w:rsidRPr="009977E0" w:rsidR="009977E0" w:rsidP="009977E0" w:rsidRDefault="009977E0" w14:paraId="6CCAD1A5" w14:textId="77777777">
      <w:r w:rsidRPr="009977E0">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Pr="009977E0" w:rsidR="009977E0" w:rsidP="009977E0" w:rsidRDefault="009977E0" w14:paraId="3BD9AA24" w14:textId="77777777">
      <w:r w:rsidRPr="00442785">
        <w:rPr>
          <w:b/>
        </w:rPr>
        <w:t>Grants for on-passing</w:t>
      </w:r>
      <w:r w:rsidRPr="009977E0">
        <w:t xml:space="preserve"> are grants paid to one institutional sector (e.g. a State general government entity) to be passed on to another institutional sector (e.g. local government or a private non-profit institution).</w:t>
      </w:r>
    </w:p>
    <w:p w:rsidRPr="009977E0" w:rsidR="009977E0" w:rsidP="009977E0" w:rsidRDefault="009977E0" w14:paraId="28610304" w14:textId="77777777">
      <w:r w:rsidRPr="00442785">
        <w:rPr>
          <w:b/>
        </w:rPr>
        <w:t>Interest expense</w:t>
      </w:r>
      <w:r w:rsidRPr="009977E0">
        <w:t xml:space="preserve"> represents costs incurred in connection with borrowings and includes the interest component of finance lease repayments.</w:t>
      </w:r>
    </w:p>
    <w:p w:rsidRPr="009977E0" w:rsidR="009977E0" w:rsidP="009977E0" w:rsidRDefault="009977E0" w14:paraId="2CBD856C" w14:textId="77777777">
      <w:r w:rsidRPr="00442785">
        <w:rPr>
          <w:b/>
        </w:rPr>
        <w:t>Interest income</w:t>
      </w:r>
      <w:r w:rsidRPr="009977E0">
        <w:t xml:space="preserve"> includes interest received on bank term deposits, interest from investments, and other interest received.</w:t>
      </w:r>
    </w:p>
    <w:p w:rsidRPr="009977E0" w:rsidR="009977E0" w:rsidP="009977E0" w:rsidRDefault="009977E0" w14:paraId="7DB45952" w14:textId="77777777">
      <w:r w:rsidRPr="00442785">
        <w:rPr>
          <w:b/>
        </w:rPr>
        <w:t>Leases</w:t>
      </w:r>
      <w:r w:rsidRPr="009977E0">
        <w:t xml:space="preserve"> are rights to use an asset for an agreed period of time in exchange for payment.  Leases are classified at their inception as either operating or finance leases based on the economic substance of the agreement so as to reflect the risks and rewards incidental to ownership.  Leases of property, plant and equipment are classified as finance leases whenever the terms of the lease transfer substantially all the risks and rewards of ownership from the lessor to the lessee.  All other leases are classified as operating leases.</w:t>
      </w:r>
    </w:p>
    <w:p w:rsidRPr="009977E0" w:rsidR="009977E0" w:rsidP="009977E0" w:rsidRDefault="009977E0" w14:paraId="0AD39DDF" w14:textId="77777777">
      <w:r w:rsidRPr="00442785">
        <w:rPr>
          <w:b/>
        </w:rPr>
        <w:t>Net result</w:t>
      </w:r>
      <w:r w:rsidRPr="009977E0">
        <w:t xml:space="preserve"> is a measure of financial performance of the operations for the period.  It is the net result of items of income, gains and expenses (including losses) recognised for the period, excluding those that are classified as ‘other economic flows - other comprehensive income’.</w:t>
      </w:r>
    </w:p>
    <w:p w:rsidRPr="009977E0" w:rsidR="009977E0" w:rsidP="009977E0" w:rsidRDefault="009977E0" w14:paraId="735C29E2" w14:textId="77777777">
      <w:r w:rsidRPr="00442785">
        <w:rPr>
          <w:b/>
        </w:rPr>
        <w:t>Net result from transactions or net operating balance</w:t>
      </w:r>
      <w:r w:rsidRPr="009977E0">
        <w:t xml:space="preserv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Pr="009977E0" w:rsidR="009977E0" w:rsidP="009977E0" w:rsidRDefault="009977E0" w14:paraId="31BFB3F2" w14:textId="77777777">
      <w:r w:rsidRPr="00442785">
        <w:rPr>
          <w:b/>
        </w:rPr>
        <w:t>Net worth</w:t>
      </w:r>
      <w:r w:rsidRPr="009977E0">
        <w:t xml:space="preserve"> is calculated as assets less liabilities, which is an economic measure of wealth.</w:t>
      </w:r>
    </w:p>
    <w:p w:rsidRPr="009977E0" w:rsidR="009977E0" w:rsidP="009977E0" w:rsidRDefault="009977E0" w14:paraId="226713AC" w14:textId="77777777">
      <w:r w:rsidRPr="00442785">
        <w:rPr>
          <w:b/>
        </w:rPr>
        <w:t>Non-financial assets</w:t>
      </w:r>
      <w:r w:rsidRPr="009977E0">
        <w:t xml:space="preserve"> are all assets that are not financial assets . It includes inventories, land, buildings, plant and equipment, cultural and heritage assets and intangible assets.</w:t>
      </w:r>
    </w:p>
    <w:p w:rsidRPr="009977E0" w:rsidR="009977E0" w:rsidP="009977E0" w:rsidRDefault="009977E0" w14:paraId="676A6F45" w14:textId="77777777">
      <w:r w:rsidRPr="00442785">
        <w:rPr>
          <w:b/>
        </w:rPr>
        <w:t>Non-produced assets</w:t>
      </w:r>
      <w:r w:rsidRPr="009977E0">
        <w:t xml:space="preserve"> are assets needed for production that have not themselves been produced. They include land, subsoil assets, and certain intangible assets such as patents.</w:t>
      </w:r>
    </w:p>
    <w:p w:rsidRPr="009977E0" w:rsidR="009977E0" w:rsidP="009977E0" w:rsidRDefault="009977E0" w14:paraId="793B9656" w14:textId="77777777">
      <w:r w:rsidRPr="00442785">
        <w:rPr>
          <w:b/>
        </w:rPr>
        <w:t>Other economic flows included in net result</w:t>
      </w:r>
      <w:r w:rsidRPr="009977E0">
        <w:t xml:space="preserve"> are changes in the volume or value of an asset or liability that do not result from transactions.  In simple terms, other economic flows are changes arising from market remeasurements.  They include gains and losses from disposals, revaluations and impairments of non-financial physical and intangible assets; and fair value changes of financial instruments.</w:t>
      </w:r>
    </w:p>
    <w:p w:rsidRPr="009977E0" w:rsidR="009977E0" w:rsidP="009977E0" w:rsidRDefault="009977E0" w14:paraId="7E034D23" w14:textId="77777777">
      <w:r w:rsidRPr="00442785">
        <w:rPr>
          <w:b/>
        </w:rPr>
        <w:t>Other economic flows - other comprehensive income</w:t>
      </w:r>
      <w:r w:rsidRPr="009977E0">
        <w:t xml:space="preserve"> comprises items (including reclassification adjustments) that are not recognised in net result as required or permitted by other Australian Accounting Standards.  They include changes in physical asset revaluation surplus.</w:t>
      </w:r>
    </w:p>
    <w:p w:rsidRPr="009977E0" w:rsidR="009977E0" w:rsidP="009977E0" w:rsidRDefault="009977E0" w14:paraId="5FB32722" w14:textId="77777777">
      <w:r w:rsidRPr="00442785">
        <w:rPr>
          <w:b/>
        </w:rPr>
        <w:t>Payables</w:t>
      </w:r>
      <w:r w:rsidRPr="009977E0">
        <w:t xml:space="preserve"> include short and long-term trade debt and accounts payable, grants and interest payable.</w:t>
      </w:r>
    </w:p>
    <w:p w:rsidRPr="009977E0" w:rsidR="009977E0" w:rsidP="009977E0" w:rsidRDefault="009977E0" w14:paraId="76F12115" w14:textId="77777777">
      <w:r w:rsidRPr="00442785">
        <w:rPr>
          <w:b/>
        </w:rPr>
        <w:lastRenderedPageBreak/>
        <w:t>Produced assets</w:t>
      </w:r>
      <w:r w:rsidRPr="009977E0">
        <w:t xml:space="preserve"> include buildings, plant and equipment, inventories, cultivated assets and certain intangible assets. Intangible produced assets may include computer software, and research and development costs (which does not include the start-up costs associated with capital projects).</w:t>
      </w:r>
    </w:p>
    <w:p w:rsidRPr="009977E0" w:rsidR="009977E0" w:rsidP="009977E0" w:rsidRDefault="009977E0" w14:paraId="1B8F2BC0" w14:textId="77777777">
      <w:r w:rsidRPr="00442785">
        <w:rPr>
          <w:b/>
        </w:rPr>
        <w:t>Receivables</w:t>
      </w:r>
      <w:r w:rsidRPr="009977E0">
        <w:t xml:space="preserve"> include amounts owing from government through appropriation receivable, short and long-term trade credit and accounts receivable, accrued investment income, grants, taxes and interest receivable.</w:t>
      </w:r>
    </w:p>
    <w:p w:rsidRPr="009977E0" w:rsidR="009977E0" w:rsidP="009977E0" w:rsidRDefault="009977E0" w14:paraId="5E8E27CF" w14:textId="77777777">
      <w:r w:rsidRPr="00442785">
        <w:rPr>
          <w:b/>
        </w:rPr>
        <w:t>Sales of goods and services</w:t>
      </w:r>
      <w:r w:rsidRPr="009977E0">
        <w:t xml:space="preserve"> refers to income from the direct provision of goods and services and includes fees and charges for services rendered, sales of goods and services, fees from regulatory services, and work done as an agent for private enterprises. User charges includes sale of goods and services income.</w:t>
      </w:r>
    </w:p>
    <w:p w:rsidRPr="009977E0" w:rsidR="009977E0" w:rsidP="009977E0" w:rsidRDefault="009977E0" w14:paraId="0E9A1FD9" w14:textId="77777777">
      <w:r w:rsidRPr="00442785">
        <w:rPr>
          <w:b/>
        </w:rPr>
        <w:t>Supplies and services</w:t>
      </w:r>
      <w:r w:rsidRPr="009977E0">
        <w:t xml:space="preserve"> generally represent cost of goods sold and the day-to-day running costs, including maintenance costs, incurred in the normal operations of the department.</w:t>
      </w:r>
    </w:p>
    <w:p w:rsidRPr="009977E0" w:rsidR="009977E0" w:rsidP="009977E0" w:rsidRDefault="009977E0" w14:paraId="49C46DAC" w14:textId="77777777">
      <w:r w:rsidRPr="00442785">
        <w:rPr>
          <w:b/>
        </w:rPr>
        <w:t>Taxation income</w:t>
      </w:r>
      <w:r w:rsidRPr="009977E0">
        <w:t xml:space="preserve"> represents income received from the State’s taxpayers and includes: gambling taxes levied mainly on private lotteries, electronic gaming machines, casino operations and racing; and other taxes, including licence fees.</w:t>
      </w:r>
    </w:p>
    <w:p w:rsidRPr="009977E0" w:rsidR="009977E0" w:rsidP="009977E0" w:rsidRDefault="009977E0" w14:paraId="0FB02EE9" w14:textId="77777777">
      <w:r w:rsidRPr="00442785">
        <w:rPr>
          <w:b/>
        </w:rPr>
        <w:t>Transactions</w:t>
      </w:r>
      <w:r w:rsidRPr="009977E0">
        <w:t xml:space="preserve">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Pr="00442785" w:rsidR="009977E0" w:rsidP="00442785" w:rsidRDefault="009977E0" w14:paraId="750468CC" w14:textId="77777777">
      <w:pPr>
        <w:pStyle w:val="Heading3"/>
      </w:pPr>
      <w:r w:rsidRPr="00442785">
        <w:t>9.12 Style conventions</w:t>
      </w:r>
    </w:p>
    <w:p w:rsidRPr="009977E0" w:rsidR="009977E0" w:rsidP="009977E0" w:rsidRDefault="009977E0" w14:paraId="4535573D" w14:textId="77777777">
      <w:r w:rsidRPr="009977E0">
        <w:t>Figures in the tables and text have been rounded.  Discrepancies in tables between totals and sums of components reflect rounding.  Percentage variations in all tables are based on the underlying unrounded amounts.</w:t>
      </w:r>
    </w:p>
    <w:p w:rsidRPr="009977E0" w:rsidR="009977E0" w:rsidP="009977E0" w:rsidRDefault="009977E0" w14:paraId="2A60A630" w14:textId="77777777">
      <w:r w:rsidRPr="009977E0">
        <w:t>The notation used in the tables is as follows:</w:t>
      </w:r>
    </w:p>
    <w:p w:rsidRPr="009977E0" w:rsidR="009977E0" w:rsidP="00442785" w:rsidRDefault="009977E0" w14:paraId="58D44FE9" w14:textId="77777777">
      <w:pPr>
        <w:spacing w:after="0"/>
      </w:pPr>
      <w:r w:rsidRPr="009977E0">
        <w:t>(</w:t>
      </w:r>
      <w:proofErr w:type="spellStart"/>
      <w:r w:rsidRPr="009977E0">
        <w:t>xxx.x</w:t>
      </w:r>
      <w:proofErr w:type="spellEnd"/>
      <w:r w:rsidRPr="009977E0">
        <w:t xml:space="preserve">) </w:t>
      </w:r>
      <w:r w:rsidRPr="009977E0">
        <w:tab/>
        <w:t>negative numbers</w:t>
      </w:r>
    </w:p>
    <w:p w:rsidRPr="009977E0" w:rsidR="009977E0" w:rsidP="00442785" w:rsidRDefault="009977E0" w14:paraId="640A7AA1" w14:textId="77777777">
      <w:pPr>
        <w:spacing w:after="0"/>
      </w:pPr>
      <w:r w:rsidRPr="009977E0">
        <w:t>201x</w:t>
      </w:r>
      <w:r w:rsidRPr="009977E0">
        <w:tab/>
        <w:t>year period</w:t>
      </w:r>
    </w:p>
    <w:p w:rsidRPr="009977E0" w:rsidR="009977E0" w:rsidP="009977E0" w:rsidRDefault="009977E0" w14:paraId="010F5C4B" w14:textId="77777777">
      <w:r w:rsidRPr="009977E0">
        <w:t>201x-1x</w:t>
      </w:r>
      <w:r w:rsidRPr="009977E0">
        <w:tab/>
        <w:t>year period</w:t>
      </w:r>
    </w:p>
    <w:p w:rsidRPr="009977E0" w:rsidR="009977E0" w:rsidP="009977E0" w:rsidRDefault="009977E0" w14:paraId="455448A4" w14:textId="77777777">
      <w:r w:rsidRPr="009977E0">
        <w:t xml:space="preserve">The financial statements and notes are presented based on the illustration for a government department in the 2018-19 </w:t>
      </w:r>
      <w:r w:rsidRPr="009977E0">
        <w:rPr>
          <w:i/>
          <w:iCs/>
        </w:rPr>
        <w:t>Model Report for Victorian Government Departments</w:t>
      </w:r>
      <w:r w:rsidRPr="009977E0">
        <w:t>.</w:t>
      </w:r>
    </w:p>
    <w:p w:rsidRPr="001A64D7" w:rsidR="005B25E7" w:rsidP="008A375C" w:rsidRDefault="005B25E7" w14:paraId="288EAC19" w14:textId="046CF694">
      <w:pPr>
        <w:rPr>
          <w:lang w:val="en-AU"/>
        </w:rPr>
      </w:pPr>
    </w:p>
    <w:sectPr w:rsidRPr="001A64D7" w:rsidR="005B25E7" w:rsidSect="005F28BF">
      <w:headerReference r:id="rId15" w:type="default"/>
      <w:pgSz w:w="11900" w:h="16840"/>
      <w:pgMar w:top="1701" w:right="851" w:bottom="851" w:left="851" w:header="0" w:footer="284" w:gutter="0"/>
      <w:cols w:space="720"/>
      <w:docGrid w:linePitch="360"/>
      <w15:footnoteColumns w:val="1"/>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E21C3C" w:rsidP="00AD6E2B" w:rsidRDefault="00E21C3C" w14:paraId="4C3D9D33" w14:textId="77777777">
      <w:pPr>
        <w:spacing w:after="0"/>
      </w:pPr>
      <w:r>
        <w:separator/>
      </w:r>
    </w:p>
  </w:endnote>
  <w:endnote w:type="continuationSeparator" w:id="0">
    <w:p w:rsidR="00E21C3C" w:rsidP="00AD6E2B" w:rsidRDefault="00E21C3C" w14:paraId="79AC45C1"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02FF" w:usb1="5000205A" w:usb2="00000000" w:usb3="00000000" w:csb0="0000019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sdt>
    <w:sdtPr>
      <w:rPr>
        <w:rStyle w:val="PageNumber"/>
      </w:rPr>
      <w:id w:val="1761250069"/>
      <w:docPartObj>
        <w:docPartGallery w:val="Page Numbers (Bottom of Page)"/>
        <w:docPartUnique/>
      </w:docPartObj>
    </w:sdtPr>
    <w:sdtEndPr>
      <w:rPr>
        <w:rStyle w:val="PageNumber"/>
      </w:rPr>
    </w:sdtEndPr>
    <w:sdtContent>
      <w:p w:rsidR="00313386" w:rsidP="00113B05" w:rsidRDefault="00313386" w14:paraId="045B798C" w14:textId="32705EF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3386" w:rsidP="00313386" w:rsidRDefault="00313386" w14:paraId="7364FD6F"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sdt>
    <w:sdtPr>
      <w:rPr>
        <w:rStyle w:val="PageNumber"/>
      </w:rPr>
      <w:id w:val="457682589"/>
      <w:docPartObj>
        <w:docPartGallery w:val="Page Numbers (Bottom of Page)"/>
        <w:docPartUnique/>
      </w:docPartObj>
    </w:sdtPr>
    <w:sdtEndPr>
      <w:rPr>
        <w:rStyle w:val="PageNumber"/>
      </w:rPr>
    </w:sdtEndPr>
    <w:sdtContent>
      <w:p w:rsidR="00313386" w:rsidP="00113B05" w:rsidRDefault="00313386" w14:paraId="3A50EB58" w14:textId="6D20978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13386" w:rsidP="00313386" w:rsidRDefault="00313386" w14:paraId="754384F7" w14:textId="77777777">
    <w:pPr>
      <w:pStyle w:val="Footer"/>
      <w:ind w:right="360"/>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E21C3C" w:rsidP="00AD6E2B" w:rsidRDefault="00E21C3C" w14:paraId="5C8F60DA" w14:textId="77777777">
      <w:pPr>
        <w:spacing w:after="0"/>
      </w:pPr>
      <w:r>
        <w:separator/>
      </w:r>
    </w:p>
  </w:footnote>
  <w:footnote w:type="continuationSeparator" w:id="0">
    <w:p w:rsidR="00E21C3C" w:rsidP="00AD6E2B" w:rsidRDefault="00E21C3C" w14:paraId="63B0B177"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D5852" w:rsidP="00AD6E2B" w:rsidRDefault="008D5852" w14:paraId="408C3F6D" w14:textId="3AAB6250">
    <w:pPr>
      <w:pStyle w:val="Header"/>
      <w:ind w:left="-851"/>
    </w:pPr>
    <w:r>
      <w:rPr>
        <w:noProof/>
      </w:rPr>
      <w:drawing>
        <wp:inline distT="0" distB="0" distL="0" distR="0">
          <wp:extent cx="7560000" cy="546352"/>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Picture 6">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6" name="header_report of operations.jpg"/>
                  <pic:cNvPicPr/>
                </pic:nvPicPr>
                <pic:blipFill>
                  <a:blip r:embed="rId1">
                    <a:extLst>
                      <a:ext uri="{28A0092B-C50C-407E-A947-70E740481C1C}">
                        <a14:useLocalDpi val="false"/>
                      </a:ext>
                    </a:extLst>
                  </a:blip>
                  <a:stretch>
                    <a:fillRect/>
                  </a:stretch>
                </pic:blipFill>
                <pic:spPr>
                  <a:xfrm>
                    <a:off x="0" y="0"/>
                    <a:ext cx="7560000" cy="546352"/>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D5852" w:rsidP="00AD6E2B" w:rsidRDefault="008D5852" w14:paraId="6953F692" w14:textId="3585B5EB">
    <w:pPr>
      <w:pStyle w:val="Header"/>
      <w:ind w:left="-851" w:right="-851"/>
    </w:pPr>
    <w:r>
      <w:rPr>
        <w:noProof/>
      </w:rPr>
      <w:drawing>
        <wp:inline distT="0" distB="0" distL="0" distR="0">
          <wp:extent cx="7560000" cy="6975839"/>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descr="Cover image showing the Melbourne Justice Service Centre at 50 Franklin Street which officially opened on Friday 12 April 2019. Services include Adult Parole Board, Births Deaths and Marriages, Consumer Affairs Victoria, Community Corrections Services, Corrections Victoria, Post Sentence Authority and Sheriff’s Office Victoria."/>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cover.jpg"/>
                  <pic:cNvPicPr/>
                </pic:nvPicPr>
                <pic:blipFill>
                  <a:blip r:embed="rId1">
                    <a:extLst>
                      <a:ext uri="{28A0092B-C50C-407E-A947-70E740481C1C}">
                        <a14:useLocalDpi val="false"/>
                      </a:ext>
                    </a:extLst>
                  </a:blip>
                  <a:stretch>
                    <a:fillRect/>
                  </a:stretch>
                </pic:blipFill>
                <pic:spPr>
                  <a:xfrm>
                    <a:off x="0" y="0"/>
                    <a:ext cx="7560000" cy="6975839"/>
                  </a:xfrm>
                  <a:prstGeom prst="rect">
                    <a:avLst/>
                  </a:prstGeom>
                </pic:spPr>
              </pic:pic>
            </a:graphicData>
          </a:graphic>
        </wp:inline>
      </w:drawing>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D5852" w:rsidP="00AD6E2B" w:rsidRDefault="008D5852" w14:paraId="50886E79" w14:textId="62E77056">
    <w:pPr>
      <w:pStyle w:val="Header"/>
      <w:ind w:left="-851" w:right="-851"/>
    </w:pPr>
    <w:r>
      <w:rPr>
        <w:noProof/>
      </w:rPr>
      <w:drawing>
        <wp:inline distT="0" distB="0" distL="0" distR="0">
          <wp:extent cx="7560000" cy="546354"/>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 name="Picture 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4" name="header_report of operations.jpg"/>
                  <pic:cNvPicPr/>
                </pic:nvPicPr>
                <pic:blipFill>
                  <a:blip r:embed="rId1">
                    <a:extLst>
                      <a:ext uri="{28A0092B-C50C-407E-A947-70E740481C1C}">
                        <a14:useLocalDpi val="false"/>
                      </a:ext>
                    </a:extLst>
                  </a:blip>
                  <a:stretch>
                    <a:fillRect/>
                  </a:stretch>
                </pic:blipFill>
                <pic:spPr>
                  <a:xfrm>
                    <a:off x="0" y="0"/>
                    <a:ext cx="7560000" cy="546354"/>
                  </a:xfrm>
                  <a:prstGeom prst="rect">
                    <a:avLst/>
                  </a:prstGeom>
                </pic:spPr>
              </pic:pic>
            </a:graphicData>
          </a:graphic>
        </wp:inline>
      </w:drawing>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D5852" w:rsidP="00045808" w:rsidRDefault="008D5852" w14:paraId="2AED7233" w14:textId="77777777">
    <w:pPr>
      <w:pStyle w:val="Header"/>
      <w:ind w:left="-1701"/>
    </w:pPr>
    <w:r>
      <w:rPr>
        <w:noProof/>
      </w:rPr>
      <w:drawing>
        <wp:inline distT="0" distB="0" distL="0" distR="0">
          <wp:extent cx="10692000" cy="546027"/>
          <wp:effectExtent l="0" t="0" r="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 name="Picture 24">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6" name="header_report of operations.jpg"/>
                  <pic:cNvPicPr/>
                </pic:nvPicPr>
                <pic:blipFill>
                  <a:blip r:embed="rId1">
                    <a:extLst>
                      <a:ext uri="{28A0092B-C50C-407E-A947-70E740481C1C}">
                        <a14:useLocalDpi val="false"/>
                      </a:ext>
                    </a:extLst>
                  </a:blip>
                  <a:stretch>
                    <a:fillRect/>
                  </a:stretch>
                </pic:blipFill>
                <pic:spPr>
                  <a:xfrm>
                    <a:off x="0" y="0"/>
                    <a:ext cx="10692000" cy="546027"/>
                  </a:xfrm>
                  <a:prstGeom prst="rect">
                    <a:avLst/>
                  </a:prstGeom>
                </pic:spPr>
              </pic:pic>
            </a:graphicData>
          </a:graphic>
        </wp:inline>
      </w:drawing>
    </w: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D5852" w:rsidP="00045808" w:rsidRDefault="008D5852" w14:paraId="38EAD648" w14:textId="77777777">
    <w:pPr>
      <w:pStyle w:val="Header"/>
      <w:ind w:left="-851"/>
    </w:pPr>
    <w:r>
      <w:rPr>
        <w:noProof/>
      </w:rPr>
      <w:drawing>
        <wp:inline distT="0" distB="0" distL="0" distR="0">
          <wp:extent cx="7560000" cy="546353"/>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7" name="Picture 27">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6" name="header_report of operations.jpg"/>
                  <pic:cNvPicPr/>
                </pic:nvPicPr>
                <pic:blipFill>
                  <a:blip r:embed="rId1">
                    <a:extLst>
                      <a:ext uri="{28A0092B-C50C-407E-A947-70E740481C1C}">
                        <a14:useLocalDpi val="false"/>
                      </a:ext>
                    </a:extLst>
                  </a:blip>
                  <a:stretch>
                    <a:fillRect/>
                  </a:stretch>
                </pic:blipFill>
                <pic:spPr>
                  <a:xfrm>
                    <a:off x="0" y="0"/>
                    <a:ext cx="7560000" cy="546353"/>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6D34E79"/>
    <w:multiLevelType w:val="hybridMultilevel"/>
    <w:tmpl w:val="220ECC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7D98"/>
    <w:multiLevelType w:val="hybridMultilevel"/>
    <w:tmpl w:val="EF588A30"/>
    <w:lvl w:ilvl="0" w:tplc="FBF457EE">
      <w:start w:val="1"/>
      <w:numFmt w:val="bullet"/>
      <w:pStyle w:val="Bullet2"/>
      <w:lvlText w:val="o"/>
      <w:lvlJc w:val="left"/>
      <w:pPr>
        <w:ind w:left="720" w:hanging="360"/>
      </w:pPr>
      <w:rPr>
        <w:rFonts w:hint="default" w:ascii="Courier New" w:hAnsi="Courier New" w:cs="Courier New"/>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23193B6E"/>
    <w:multiLevelType w:val="multilevel"/>
    <w:tmpl w:val="D1A8A6B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2901515D"/>
    <w:multiLevelType w:val="hybridMultilevel"/>
    <w:tmpl w:val="9FE23906"/>
    <w:lvl w:ilvl="0" w:tplc="18B66650">
      <w:start w:val="1"/>
      <w:numFmt w:val="lowerRoman"/>
      <w:lvlText w:val="(%1)"/>
      <w:lvlJc w:val="left"/>
      <w:pPr>
        <w:ind w:left="-556" w:hanging="720"/>
      </w:pPr>
      <w:rPr>
        <w:rFonts w:hint="default"/>
      </w:rPr>
    </w:lvl>
    <w:lvl w:ilvl="1" w:tplc="04090019" w:tentative="true">
      <w:start w:val="1"/>
      <w:numFmt w:val="lowerLetter"/>
      <w:lvlText w:val="%2."/>
      <w:lvlJc w:val="left"/>
      <w:pPr>
        <w:ind w:left="-196" w:hanging="360"/>
      </w:pPr>
    </w:lvl>
    <w:lvl w:ilvl="2" w:tplc="0409001B" w:tentative="true">
      <w:start w:val="1"/>
      <w:numFmt w:val="lowerRoman"/>
      <w:lvlText w:val="%3."/>
      <w:lvlJc w:val="right"/>
      <w:pPr>
        <w:ind w:left="524" w:hanging="180"/>
      </w:pPr>
    </w:lvl>
    <w:lvl w:ilvl="3" w:tplc="0409000F" w:tentative="true">
      <w:start w:val="1"/>
      <w:numFmt w:val="decimal"/>
      <w:lvlText w:val="%4."/>
      <w:lvlJc w:val="left"/>
      <w:pPr>
        <w:ind w:left="1244" w:hanging="360"/>
      </w:pPr>
    </w:lvl>
    <w:lvl w:ilvl="4" w:tplc="04090019" w:tentative="true">
      <w:start w:val="1"/>
      <w:numFmt w:val="lowerLetter"/>
      <w:lvlText w:val="%5."/>
      <w:lvlJc w:val="left"/>
      <w:pPr>
        <w:ind w:left="1964" w:hanging="360"/>
      </w:pPr>
    </w:lvl>
    <w:lvl w:ilvl="5" w:tplc="0409001B" w:tentative="true">
      <w:start w:val="1"/>
      <w:numFmt w:val="lowerRoman"/>
      <w:lvlText w:val="%6."/>
      <w:lvlJc w:val="right"/>
      <w:pPr>
        <w:ind w:left="2684" w:hanging="180"/>
      </w:pPr>
    </w:lvl>
    <w:lvl w:ilvl="6" w:tplc="0409000F" w:tentative="true">
      <w:start w:val="1"/>
      <w:numFmt w:val="decimal"/>
      <w:lvlText w:val="%7."/>
      <w:lvlJc w:val="left"/>
      <w:pPr>
        <w:ind w:left="3404" w:hanging="360"/>
      </w:pPr>
    </w:lvl>
    <w:lvl w:ilvl="7" w:tplc="04090019" w:tentative="true">
      <w:start w:val="1"/>
      <w:numFmt w:val="lowerLetter"/>
      <w:lvlText w:val="%8."/>
      <w:lvlJc w:val="left"/>
      <w:pPr>
        <w:ind w:left="4124" w:hanging="360"/>
      </w:pPr>
    </w:lvl>
    <w:lvl w:ilvl="8" w:tplc="0409001B" w:tentative="true">
      <w:start w:val="1"/>
      <w:numFmt w:val="lowerRoman"/>
      <w:lvlText w:val="%9."/>
      <w:lvlJc w:val="right"/>
      <w:pPr>
        <w:ind w:left="4844" w:hanging="180"/>
      </w:pPr>
    </w:lvl>
  </w:abstractNum>
  <w:abstractNum w:abstractNumId="4">
    <w:nsid w:val="2BA35373"/>
    <w:multiLevelType w:val="hybridMultilevel"/>
    <w:tmpl w:val="467A483A"/>
    <w:lvl w:ilvl="0" w:tplc="1F323846">
      <w:start w:val="1"/>
      <w:numFmt w:val="decimal"/>
      <w:pStyle w:val="Numberlist"/>
      <w:lvlText w:val="%1."/>
      <w:lvlJc w:val="left"/>
      <w:pPr>
        <w:ind w:left="720" w:hanging="360"/>
      </w:p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5">
    <w:nsid w:val="2D967DCE"/>
    <w:multiLevelType w:val="hybridMultilevel"/>
    <w:tmpl w:val="1F7C51BC"/>
    <w:lvl w:ilvl="0" w:tplc="04090003">
      <w:start w:val="1"/>
      <w:numFmt w:val="bullet"/>
      <w:lvlText w:val="o"/>
      <w:lvlJc w:val="left"/>
      <w:pPr>
        <w:ind w:left="720" w:hanging="360"/>
      </w:pPr>
      <w:rPr>
        <w:rFonts w:hint="default" w:ascii="Courier New" w:hAnsi="Courier New" w:cs="Courier New"/>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6">
    <w:nsid w:val="33E356EB"/>
    <w:multiLevelType w:val="multilevel"/>
    <w:tmpl w:val="1F7C51BC"/>
    <w:lvl w:ilvl="0">
      <w:start w:val="1"/>
      <w:numFmt w:val="bullet"/>
      <w:lvlText w:val="o"/>
      <w:lvlJc w:val="left"/>
      <w:pPr>
        <w:ind w:left="720" w:hanging="360"/>
      </w:pPr>
      <w:rPr>
        <w:rFonts w:hint="default" w:ascii="Courier New" w:hAnsi="Courier New" w:cs="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nsid w:val="3A807E85"/>
    <w:multiLevelType w:val="hybridMultilevel"/>
    <w:tmpl w:val="3878BB7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8">
    <w:nsid w:val="64B36AF8"/>
    <w:multiLevelType w:val="hybridMultilevel"/>
    <w:tmpl w:val="D1A8A6B2"/>
    <w:lvl w:ilvl="0" w:tplc="9A0C54C0">
      <w:start w:val="1"/>
      <w:numFmt w:val="bullet"/>
      <w:pStyle w:val="Bullet1"/>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removePersonalInformation/>
  <w:removeDateAndTime/>
  <w:proofState w:spelling="clean"/>
  <w:stylePaneFormatFilter w:val="3F21"/>
  <w:defaultTabStop w:val="720"/>
  <w:characterSpacingControl w:val="doNotCompress"/>
  <w:hdrShapeDefaults>
    <o:shapedefaults xmlns:o="urn:schemas-microsoft-com:office:office" xmlns:v="urn:schemas-microsoft-com:vml"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2B"/>
    <w:rsid w:val="00040D3A"/>
    <w:rsid w:val="00045808"/>
    <w:rsid w:val="00047807"/>
    <w:rsid w:val="00056E91"/>
    <w:rsid w:val="00077C80"/>
    <w:rsid w:val="00080B04"/>
    <w:rsid w:val="0009545B"/>
    <w:rsid w:val="00107046"/>
    <w:rsid w:val="00121DEB"/>
    <w:rsid w:val="00157D7F"/>
    <w:rsid w:val="00171400"/>
    <w:rsid w:val="001A1621"/>
    <w:rsid w:val="001A64D7"/>
    <w:rsid w:val="001B39EB"/>
    <w:rsid w:val="001D781A"/>
    <w:rsid w:val="001F0679"/>
    <w:rsid w:val="001F598A"/>
    <w:rsid w:val="00202BBF"/>
    <w:rsid w:val="00243D33"/>
    <w:rsid w:val="00264095"/>
    <w:rsid w:val="00283E3D"/>
    <w:rsid w:val="00293DB6"/>
    <w:rsid w:val="002A3B62"/>
    <w:rsid w:val="00313386"/>
    <w:rsid w:val="003357E8"/>
    <w:rsid w:val="0034497D"/>
    <w:rsid w:val="00346A07"/>
    <w:rsid w:val="00372C27"/>
    <w:rsid w:val="0038524F"/>
    <w:rsid w:val="00431DF4"/>
    <w:rsid w:val="004339B0"/>
    <w:rsid w:val="00442785"/>
    <w:rsid w:val="00443749"/>
    <w:rsid w:val="0045322A"/>
    <w:rsid w:val="00453CD1"/>
    <w:rsid w:val="004E2A91"/>
    <w:rsid w:val="00532267"/>
    <w:rsid w:val="00535DCC"/>
    <w:rsid w:val="00547CE1"/>
    <w:rsid w:val="00583078"/>
    <w:rsid w:val="005B25E7"/>
    <w:rsid w:val="005C33E6"/>
    <w:rsid w:val="005C7C82"/>
    <w:rsid w:val="005F28BF"/>
    <w:rsid w:val="00604D35"/>
    <w:rsid w:val="006623A9"/>
    <w:rsid w:val="00670C77"/>
    <w:rsid w:val="0068138F"/>
    <w:rsid w:val="006830D1"/>
    <w:rsid w:val="006B3276"/>
    <w:rsid w:val="006C2E63"/>
    <w:rsid w:val="006F485B"/>
    <w:rsid w:val="0071330B"/>
    <w:rsid w:val="00741566"/>
    <w:rsid w:val="00810DEB"/>
    <w:rsid w:val="00820A42"/>
    <w:rsid w:val="00823156"/>
    <w:rsid w:val="008753BA"/>
    <w:rsid w:val="0088782A"/>
    <w:rsid w:val="008910FB"/>
    <w:rsid w:val="00892E50"/>
    <w:rsid w:val="008A375C"/>
    <w:rsid w:val="008D5852"/>
    <w:rsid w:val="00912894"/>
    <w:rsid w:val="009137BB"/>
    <w:rsid w:val="0094558F"/>
    <w:rsid w:val="009672DB"/>
    <w:rsid w:val="0098017E"/>
    <w:rsid w:val="00991B57"/>
    <w:rsid w:val="009977E0"/>
    <w:rsid w:val="00997E94"/>
    <w:rsid w:val="00A244E0"/>
    <w:rsid w:val="00A52A09"/>
    <w:rsid w:val="00A95E9D"/>
    <w:rsid w:val="00A96D3F"/>
    <w:rsid w:val="00AA0E65"/>
    <w:rsid w:val="00AB0A8A"/>
    <w:rsid w:val="00AC09D9"/>
    <w:rsid w:val="00AD6E2B"/>
    <w:rsid w:val="00B32DBF"/>
    <w:rsid w:val="00B63EC3"/>
    <w:rsid w:val="00BE2B79"/>
    <w:rsid w:val="00CB3B7F"/>
    <w:rsid w:val="00CC015F"/>
    <w:rsid w:val="00CC210C"/>
    <w:rsid w:val="00D4134E"/>
    <w:rsid w:val="00D55DDB"/>
    <w:rsid w:val="00D70E0F"/>
    <w:rsid w:val="00D952FE"/>
    <w:rsid w:val="00DA3850"/>
    <w:rsid w:val="00DB5436"/>
    <w:rsid w:val="00DC27B6"/>
    <w:rsid w:val="00DE34E5"/>
    <w:rsid w:val="00E0412F"/>
    <w:rsid w:val="00E21C3C"/>
    <w:rsid w:val="00E61383"/>
    <w:rsid w:val="00E705D1"/>
    <w:rsid w:val="00E72D22"/>
    <w:rsid w:val="00EB6DB9"/>
    <w:rsid w:val="00EC1B0B"/>
    <w:rsid w:val="00EC4848"/>
    <w:rsid w:val="00F0351D"/>
    <w:rsid w:val="00F33645"/>
    <w:rsid w:val="00F40F10"/>
    <w:rsid w:val="00F5271E"/>
    <w:rsid w:val="00F91919"/>
    <w:rsid w:val="00F97213"/>
    <w:rsid w:val="00FA1671"/>
    <w:rsid w:val="00FB6CD2"/>
    <w:rsid w:val="00FC038D"/>
    <w:rsid w:val="00FD06D8"/>
    <w:rsid w:val="00FE7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6145" v:ext="edit"/>
    <o:shapelayout xmlns:o="urn:schemas-microsoft-com:office:office" xmlns:v="urn:schemas-microsoft-com:vml" v:ext="edit">
      <o:idmap data="1" v:ext="edit"/>
    </o:shapelayout>
  </w:shapeDefaults>
  <w:decimalSymbol w:val="."/>
  <w:listSeparator w:val=","/>
  <w15:chartTrackingRefBased/>
  <w14:docId w14:val="5423BFB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8753BA"/>
    <w:pPr>
      <w:spacing w:after="120"/>
    </w:pPr>
    <w:rPr>
      <w:rFonts w:ascii="Arial" w:hAnsi="Arial"/>
      <w:sz w:val="18"/>
      <w:lang w:val="en-GB"/>
    </w:rPr>
  </w:style>
  <w:style w:type="paragraph" w:styleId="Heading1">
    <w:name w:val="heading 1"/>
    <w:basedOn w:val="Normal"/>
    <w:next w:val="Normal"/>
    <w:link w:val="Heading1Char"/>
    <w:uiPriority w:val="9"/>
    <w:qFormat/>
    <w:rsid w:val="00FE79AD"/>
    <w:pPr>
      <w:keepNext/>
      <w:keepLines/>
      <w:outlineLvl w:val="0"/>
    </w:pPr>
    <w:rPr>
      <w:rFonts w:cs="Times New Roman (Headings CS)" w:eastAsiaTheme="majorEastAsia"/>
      <w:b/>
      <w:color w:val="55575A"/>
      <w:sz w:val="36"/>
      <w:szCs w:val="32"/>
    </w:rPr>
  </w:style>
  <w:style w:type="paragraph" w:styleId="Heading2">
    <w:name w:val="heading 2"/>
    <w:basedOn w:val="Normal"/>
    <w:next w:val="Normal"/>
    <w:link w:val="Heading2Char"/>
    <w:uiPriority w:val="9"/>
    <w:unhideWhenUsed/>
    <w:qFormat/>
    <w:rsid w:val="00F33645"/>
    <w:pPr>
      <w:keepNext/>
      <w:keepLines/>
      <w:spacing w:before="120" w:after="60"/>
      <w:outlineLvl w:val="1"/>
    </w:pPr>
    <w:rPr>
      <w:rFonts w:eastAsiaTheme="majorEastAsia" w:cstheme="majorBidi"/>
      <w:b/>
      <w:color w:val="55575A"/>
      <w:sz w:val="24"/>
      <w:szCs w:val="26"/>
    </w:rPr>
  </w:style>
  <w:style w:type="paragraph" w:styleId="Heading3">
    <w:name w:val="heading 3"/>
    <w:basedOn w:val="Normal"/>
    <w:next w:val="Normal"/>
    <w:link w:val="Heading3Char"/>
    <w:uiPriority w:val="9"/>
    <w:unhideWhenUsed/>
    <w:qFormat/>
    <w:rsid w:val="00F33645"/>
    <w:pPr>
      <w:keepNext/>
      <w:keepLines/>
      <w:spacing w:before="120" w:after="60"/>
      <w:outlineLvl w:val="2"/>
    </w:pPr>
    <w:rPr>
      <w:rFonts w:eastAsiaTheme="majorEastAsia" w:cstheme="majorBidi"/>
      <w:b/>
      <w:color w:val="55575A"/>
      <w:sz w:val="21"/>
    </w:rPr>
  </w:style>
  <w:style w:type="paragraph" w:styleId="Heading4">
    <w:name w:val="heading 4"/>
    <w:basedOn w:val="Normal"/>
    <w:next w:val="Normal"/>
    <w:link w:val="Heading4Char"/>
    <w:uiPriority w:val="9"/>
    <w:unhideWhenUsed/>
    <w:qFormat/>
    <w:rsid w:val="008910FB"/>
    <w:pPr>
      <w:keepNext/>
      <w:keepLines/>
      <w:spacing w:before="120" w:after="60"/>
      <w:outlineLvl w:val="3"/>
    </w:pPr>
    <w:rPr>
      <w:rFonts w:eastAsiaTheme="majorEastAsia" w:cstheme="majorBidi"/>
      <w:b/>
      <w:iCs/>
      <w:color w:val="55575A"/>
    </w:rPr>
  </w:style>
  <w:style w:type="paragraph" w:styleId="Heading5">
    <w:name w:val="heading 5"/>
    <w:basedOn w:val="Normal"/>
    <w:next w:val="Normal"/>
    <w:link w:val="Heading5Char"/>
    <w:uiPriority w:val="9"/>
    <w:unhideWhenUsed/>
    <w:qFormat/>
    <w:rsid w:val="00F33645"/>
    <w:pPr>
      <w:keepNext/>
      <w:keepLines/>
      <w:spacing w:before="40" w:after="0"/>
      <w:outlineLvl w:val="4"/>
    </w:pPr>
    <w:rPr>
      <w:rFonts w:eastAsiaTheme="majorEastAsia" w:cstheme="majorBidi"/>
      <w:i/>
      <w:color w:val="00AAB9"/>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AD6E2B"/>
    <w:pPr>
      <w:tabs>
        <w:tab w:val="center" w:pos="4680"/>
        <w:tab w:val="right" w:pos="9360"/>
      </w:tabs>
      <w:spacing w:after="0"/>
    </w:pPr>
  </w:style>
  <w:style w:type="character" w:styleId="HeaderChar" w:customStyle="true">
    <w:name w:val="Header Char"/>
    <w:basedOn w:val="DefaultParagraphFont"/>
    <w:link w:val="Header"/>
    <w:uiPriority w:val="99"/>
    <w:rsid w:val="00AD6E2B"/>
    <w:rPr>
      <w:sz w:val="18"/>
      <w:lang w:val="en-GB"/>
    </w:rPr>
  </w:style>
  <w:style w:type="paragraph" w:styleId="Footer">
    <w:name w:val="footer"/>
    <w:basedOn w:val="Normal"/>
    <w:link w:val="FooterChar"/>
    <w:uiPriority w:val="99"/>
    <w:unhideWhenUsed/>
    <w:rsid w:val="00AD6E2B"/>
    <w:pPr>
      <w:tabs>
        <w:tab w:val="center" w:pos="4680"/>
        <w:tab w:val="right" w:pos="9360"/>
      </w:tabs>
      <w:spacing w:after="0"/>
    </w:pPr>
  </w:style>
  <w:style w:type="character" w:styleId="FooterChar" w:customStyle="true">
    <w:name w:val="Footer Char"/>
    <w:basedOn w:val="DefaultParagraphFont"/>
    <w:link w:val="Footer"/>
    <w:uiPriority w:val="99"/>
    <w:rsid w:val="00AD6E2B"/>
    <w:rPr>
      <w:sz w:val="18"/>
      <w:lang w:val="en-GB"/>
    </w:rPr>
  </w:style>
  <w:style w:type="character" w:styleId="Heading1Char" w:customStyle="true">
    <w:name w:val="Heading 1 Char"/>
    <w:basedOn w:val="DefaultParagraphFont"/>
    <w:link w:val="Heading1"/>
    <w:uiPriority w:val="9"/>
    <w:rsid w:val="00FE79AD"/>
    <w:rPr>
      <w:rFonts w:ascii="Arial" w:hAnsi="Arial" w:cs="Times New Roman (Headings CS)" w:eastAsiaTheme="majorEastAsia"/>
      <w:b/>
      <w:color w:val="55575A"/>
      <w:sz w:val="36"/>
      <w:szCs w:val="32"/>
      <w:lang w:val="en-GB"/>
    </w:rPr>
  </w:style>
  <w:style w:type="character" w:styleId="Heading2Char" w:customStyle="true">
    <w:name w:val="Heading 2 Char"/>
    <w:basedOn w:val="DefaultParagraphFont"/>
    <w:link w:val="Heading2"/>
    <w:uiPriority w:val="9"/>
    <w:rsid w:val="00F33645"/>
    <w:rPr>
      <w:rFonts w:ascii="Arial" w:hAnsi="Arial" w:eastAsiaTheme="majorEastAsia" w:cstheme="majorBidi"/>
      <w:b/>
      <w:color w:val="55575A"/>
      <w:szCs w:val="26"/>
      <w:lang w:val="en-GB"/>
    </w:rPr>
  </w:style>
  <w:style w:type="character" w:styleId="IntenseEmphasis">
    <w:name w:val="Intense Emphasis"/>
    <w:basedOn w:val="DefaultParagraphFont"/>
    <w:uiPriority w:val="21"/>
    <w:qFormat/>
    <w:rsid w:val="0045322A"/>
    <w:rPr>
      <w:rFonts w:ascii="Arial" w:hAnsi="Arial"/>
      <w:b w:val="false"/>
      <w:i/>
      <w:iCs/>
      <w:color w:val="00A9B6"/>
      <w:sz w:val="22"/>
      <w:bdr w:val="none" w:color="auto" w:sz="0" w:space="0"/>
      <w:shd w:val="clear" w:color="00A9B6" w:fill="auto"/>
    </w:rPr>
  </w:style>
  <w:style w:type="character" w:styleId="Heading3Char" w:customStyle="true">
    <w:name w:val="Heading 3 Char"/>
    <w:basedOn w:val="DefaultParagraphFont"/>
    <w:link w:val="Heading3"/>
    <w:uiPriority w:val="9"/>
    <w:rsid w:val="00F33645"/>
    <w:rPr>
      <w:rFonts w:ascii="Arial" w:hAnsi="Arial" w:eastAsiaTheme="majorEastAsia" w:cstheme="majorBidi"/>
      <w:b/>
      <w:color w:val="55575A"/>
      <w:sz w:val="21"/>
      <w:lang w:val="en-GB"/>
    </w:rPr>
  </w:style>
  <w:style w:type="paragraph" w:styleId="Bullet1" w:customStyle="true">
    <w:name w:val="Bullet 1"/>
    <w:basedOn w:val="Normal"/>
    <w:next w:val="Normal"/>
    <w:qFormat/>
    <w:rsid w:val="0045322A"/>
    <w:pPr>
      <w:numPr>
        <w:numId w:val="1"/>
      </w:numPr>
      <w:spacing w:after="60"/>
      <w:ind w:left="284" w:hanging="284"/>
    </w:pPr>
    <w:rPr>
      <w:lang w:val="en-AU"/>
    </w:rPr>
  </w:style>
  <w:style w:type="character" w:styleId="Heading4Char" w:customStyle="true">
    <w:name w:val="Heading 4 Char"/>
    <w:basedOn w:val="DefaultParagraphFont"/>
    <w:link w:val="Heading4"/>
    <w:uiPriority w:val="9"/>
    <w:rsid w:val="008910FB"/>
    <w:rPr>
      <w:rFonts w:ascii="Arial" w:hAnsi="Arial" w:eastAsiaTheme="majorEastAsia" w:cstheme="majorBidi"/>
      <w:b/>
      <w:iCs/>
      <w:color w:val="55575A"/>
      <w:sz w:val="18"/>
      <w:lang w:val="en-GB"/>
    </w:rPr>
  </w:style>
  <w:style w:type="table" w:styleId="TableGrid">
    <w:name w:val="Table Grid"/>
    <w:aliases w:val="DJCS"/>
    <w:basedOn w:val="TableNormal"/>
    <w:uiPriority w:val="39"/>
    <w:rsid w:val="00F97213"/>
    <w:pPr>
      <w:jc w:val="right"/>
    </w:pPr>
    <w:rPr>
      <w:rFonts w:ascii="Arial" w:hAnsi="Arial"/>
      <w:sz w:val="16"/>
      <w:lang w:val="en-GB"/>
    </w:rPr>
    <w:tblPr>
      <w:tblBorders>
        <w:insideH w:val="dotted" w:color="00A9B6" w:sz="4" w:space="0"/>
      </w:tblBorders>
    </w:tblPr>
    <w:tcPr>
      <w:shd w:val="clear" w:color="auto" w:fill="auto"/>
      <w:tcMar>
        <w:top w:w="57" w:type="dxa"/>
        <w:bottom w:w="57" w:type="dxa"/>
      </w:tcMar>
    </w:tcPr>
    <w:tblStylePr w:type="firstRow">
      <w:pPr>
        <w:wordWrap/>
        <w:spacing w:before="0" w:beforeLines="0" w:beforeAutospacing="false" w:after="0" w:afterLines="0" w:afterAutospacing="false" w:line="240" w:lineRule="auto"/>
        <w:jc w:val="right"/>
      </w:pPr>
      <w:rPr>
        <w:rFonts w:ascii="Arial" w:hAnsi="Arial"/>
        <w:b/>
        <w:color w:val="55575A"/>
        <w:sz w:val="16"/>
      </w:rPr>
      <w:tblPr/>
      <w:tcPr>
        <w:tcBorders>
          <w:bottom w:val="single" w:color="00A9B6" w:sz="4" w:space="0"/>
        </w:tcBorders>
        <w:shd w:val="clear" w:color="auto" w:fill="E1F3F6"/>
        <w:vAlign w:val="bottom"/>
      </w:tcPr>
    </w:tblStylePr>
    <w:tblStylePr w:type="lastRow">
      <w:pPr>
        <w:wordWrap/>
        <w:spacing w:before="0" w:beforeLines="0" w:beforeAutospacing="false" w:after="0" w:afterLines="0" w:afterAutospacing="false" w:line="240" w:lineRule="auto"/>
      </w:pPr>
      <w:rPr>
        <w:rFonts w:ascii="Arial" w:hAnsi="Arial"/>
        <w:sz w:val="16"/>
      </w:rPr>
      <w:tblPr/>
      <w:tcPr>
        <w:tcBorders>
          <w:bottom w:val="single" w:color="00A9B6" w:sz="4" w:space="0"/>
        </w:tcBorders>
        <w:shd w:val="clear" w:color="auto" w:fill="auto"/>
      </w:tcPr>
    </w:tblStylePr>
    <w:tblStylePr w:type="firstCol">
      <w:pPr>
        <w:jc w:val="left"/>
      </w:pPr>
      <w:rPr>
        <w:color w:val="auto"/>
      </w:rPr>
    </w:tblStylePr>
  </w:style>
  <w:style w:type="paragraph" w:styleId="Numberlist" w:customStyle="true">
    <w:name w:val="Number list"/>
    <w:basedOn w:val="Normal"/>
    <w:next w:val="Normal"/>
    <w:qFormat/>
    <w:rsid w:val="006B3276"/>
    <w:pPr>
      <w:numPr>
        <w:numId w:val="2"/>
      </w:numPr>
      <w:ind w:left="284" w:hanging="284"/>
    </w:pPr>
    <w:rPr>
      <w:lang w:val="en-AU"/>
    </w:rPr>
  </w:style>
  <w:style w:type="paragraph" w:styleId="tabletitle" w:customStyle="true">
    <w:name w:val="table title"/>
    <w:basedOn w:val="Normal"/>
    <w:qFormat/>
    <w:rsid w:val="006B3276"/>
    <w:rPr>
      <w:b/>
      <w:i/>
      <w:color w:val="55575A"/>
    </w:rPr>
  </w:style>
  <w:style w:type="paragraph" w:styleId="bodycopytabletable" w:customStyle="true">
    <w:name w:val="body copy table  (table)"/>
    <w:basedOn w:val="Normal"/>
    <w:uiPriority w:val="99"/>
    <w:rsid w:val="006B3276"/>
    <w:pPr>
      <w:suppressAutoHyphens/>
      <w:autoSpaceDE w:val="false"/>
      <w:autoSpaceDN w:val="false"/>
      <w:adjustRightInd w:val="false"/>
      <w:spacing w:after="113" w:line="200" w:lineRule="atLeast"/>
      <w:textAlignment w:val="center"/>
    </w:pPr>
    <w:rPr>
      <w:rFonts w:ascii="VIC Light" w:hAnsi="VIC Light" w:cs="VIC Light"/>
      <w:color w:val="000000"/>
      <w:sz w:val="16"/>
      <w:szCs w:val="16"/>
    </w:rPr>
  </w:style>
  <w:style w:type="paragraph" w:styleId="tableheadingstable" w:customStyle="true">
    <w:name w:val="table headings (table)"/>
    <w:basedOn w:val="bodycopytabletable"/>
    <w:uiPriority w:val="99"/>
    <w:rsid w:val="006B3276"/>
    <w:rPr>
      <w:rFonts w:ascii="VIC SemiBold" w:hAnsi="VIC SemiBold" w:cs="VIC SemiBold"/>
      <w:b/>
      <w:bCs/>
      <w:color w:val="0D2332"/>
    </w:rPr>
  </w:style>
  <w:style w:type="paragraph" w:styleId="tablehead" w:customStyle="true">
    <w:name w:val="table head"/>
    <w:basedOn w:val="Normal"/>
    <w:qFormat/>
    <w:rsid w:val="00A52A09"/>
    <w:pPr>
      <w:spacing w:after="0"/>
    </w:pPr>
    <w:rPr>
      <w:b/>
      <w:bCs/>
      <w:color w:val="55575A"/>
      <w:sz w:val="16"/>
    </w:rPr>
  </w:style>
  <w:style w:type="paragraph" w:styleId="tablebody" w:customStyle="true">
    <w:name w:val="table body"/>
    <w:basedOn w:val="Normal"/>
    <w:qFormat/>
    <w:rsid w:val="00283E3D"/>
    <w:pPr>
      <w:spacing w:after="0"/>
    </w:pPr>
    <w:rPr>
      <w:sz w:val="16"/>
      <w:szCs w:val="16"/>
    </w:rPr>
  </w:style>
  <w:style w:type="paragraph" w:styleId="notes" w:customStyle="true">
    <w:name w:val="notes"/>
    <w:basedOn w:val="Normal"/>
    <w:qFormat/>
    <w:rsid w:val="00E61383"/>
    <w:rPr>
      <w:sz w:val="15"/>
      <w:szCs w:val="15"/>
    </w:rPr>
  </w:style>
  <w:style w:type="character" w:styleId="Hyperlink">
    <w:name w:val="Hyperlink"/>
    <w:basedOn w:val="DefaultParagraphFont"/>
    <w:uiPriority w:val="99"/>
    <w:unhideWhenUsed/>
    <w:rsid w:val="00E61383"/>
    <w:rPr>
      <w:color w:val="0563C1" w:themeColor="hyperlink"/>
      <w:u w:val="single"/>
    </w:rPr>
  </w:style>
  <w:style w:type="character" w:styleId="UnresolvedMention">
    <w:name w:val="Unresolved Mention"/>
    <w:basedOn w:val="DefaultParagraphFont"/>
    <w:uiPriority w:val="99"/>
    <w:semiHidden/>
    <w:unhideWhenUsed/>
    <w:rsid w:val="00E61383"/>
    <w:rPr>
      <w:color w:val="605E5C"/>
      <w:shd w:val="clear" w:color="auto" w:fill="E1DFDD"/>
    </w:rPr>
  </w:style>
  <w:style w:type="character" w:styleId="medium" w:customStyle="true">
    <w:name w:val="medium"/>
    <w:uiPriority w:val="99"/>
    <w:rsid w:val="00670C77"/>
    <w:rPr>
      <w:color w:val="000000"/>
    </w:rPr>
  </w:style>
  <w:style w:type="paragraph" w:styleId="footnote" w:customStyle="true">
    <w:name w:val="footnote"/>
    <w:basedOn w:val="Normal"/>
    <w:uiPriority w:val="99"/>
    <w:rsid w:val="00FD06D8"/>
    <w:pPr>
      <w:suppressAutoHyphens/>
      <w:autoSpaceDE w:val="false"/>
      <w:autoSpaceDN w:val="false"/>
      <w:adjustRightInd w:val="false"/>
      <w:spacing w:after="0" w:line="288" w:lineRule="auto"/>
      <w:ind w:left="227" w:hanging="227"/>
      <w:textAlignment w:val="center"/>
    </w:pPr>
    <w:rPr>
      <w:rFonts w:ascii="VIC Light" w:hAnsi="VIC Light" w:cs="VIC Light"/>
      <w:color w:val="000000"/>
      <w:sz w:val="14"/>
      <w:szCs w:val="14"/>
    </w:rPr>
  </w:style>
  <w:style w:type="character" w:styleId="Heading5Char" w:customStyle="true">
    <w:name w:val="Heading 5 Char"/>
    <w:basedOn w:val="DefaultParagraphFont"/>
    <w:link w:val="Heading5"/>
    <w:uiPriority w:val="9"/>
    <w:rsid w:val="00F33645"/>
    <w:rPr>
      <w:rFonts w:ascii="Arial" w:hAnsi="Arial" w:eastAsiaTheme="majorEastAsia" w:cstheme="majorBidi"/>
      <w:i/>
      <w:color w:val="00AAB9"/>
      <w:sz w:val="18"/>
      <w:lang w:val="en-GB"/>
    </w:rPr>
  </w:style>
  <w:style w:type="paragraph" w:styleId="Bullet2" w:customStyle="true">
    <w:name w:val="Bullet 2"/>
    <w:basedOn w:val="Normal"/>
    <w:qFormat/>
    <w:rsid w:val="004E2A91"/>
    <w:pPr>
      <w:numPr>
        <w:numId w:val="4"/>
      </w:numPr>
      <w:ind w:left="567" w:hanging="283"/>
    </w:pPr>
  </w:style>
  <w:style w:type="paragraph" w:styleId="TOC2">
    <w:name w:val="toc 2"/>
    <w:basedOn w:val="Normal"/>
    <w:next w:val="Normal"/>
    <w:autoRedefine/>
    <w:uiPriority w:val="39"/>
    <w:unhideWhenUsed/>
    <w:rsid w:val="00F91919"/>
    <w:pPr>
      <w:spacing w:after="100"/>
      <w:ind w:left="180"/>
    </w:pPr>
  </w:style>
  <w:style w:type="character" w:styleId="Superscript" w:customStyle="true">
    <w:name w:val="Superscript"/>
    <w:uiPriority w:val="99"/>
    <w:rsid w:val="001A1621"/>
    <w:rPr>
      <w:vertAlign w:val="superscript"/>
    </w:rPr>
  </w:style>
  <w:style w:type="paragraph" w:styleId="TOC1">
    <w:name w:val="toc 1"/>
    <w:basedOn w:val="Normal"/>
    <w:next w:val="Normal"/>
    <w:autoRedefine/>
    <w:uiPriority w:val="39"/>
    <w:unhideWhenUsed/>
    <w:rsid w:val="00AC09D9"/>
    <w:pPr>
      <w:spacing w:after="100"/>
    </w:pPr>
  </w:style>
  <w:style w:type="paragraph" w:styleId="notebullets" w:customStyle="true">
    <w:name w:val="note bullets"/>
    <w:basedOn w:val="Bullet2"/>
    <w:qFormat/>
    <w:rsid w:val="00157D7F"/>
    <w:pPr>
      <w:spacing w:after="0"/>
      <w:ind w:left="568" w:hanging="284"/>
    </w:pPr>
    <w:rPr>
      <w:sz w:val="15"/>
      <w:szCs w:val="15"/>
    </w:rPr>
  </w:style>
  <w:style w:type="paragraph" w:styleId="smallsub" w:customStyle="true">
    <w:name w:val="small sub"/>
    <w:basedOn w:val="Normal"/>
    <w:uiPriority w:val="99"/>
    <w:rsid w:val="00A96D3F"/>
    <w:pPr>
      <w:suppressAutoHyphens/>
      <w:autoSpaceDE w:val="false"/>
      <w:autoSpaceDN w:val="false"/>
      <w:adjustRightInd w:val="false"/>
      <w:spacing w:before="57" w:after="57" w:line="288" w:lineRule="auto"/>
      <w:textAlignment w:val="center"/>
    </w:pPr>
    <w:rPr>
      <w:rFonts w:ascii="VIC SemiBold" w:hAnsi="VIC SemiBold" w:cs="VIC SemiBold"/>
      <w:b/>
      <w:bCs/>
      <w:color w:val="000000"/>
      <w:sz w:val="19"/>
      <w:szCs w:val="19"/>
    </w:rPr>
  </w:style>
  <w:style w:type="paragraph" w:styleId="Bodycopy" w:customStyle="true">
    <w:name w:val="Body copy"/>
    <w:basedOn w:val="Normal"/>
    <w:uiPriority w:val="99"/>
    <w:rsid w:val="00442785"/>
    <w:pPr>
      <w:suppressAutoHyphens/>
      <w:autoSpaceDE w:val="false"/>
      <w:autoSpaceDN w:val="false"/>
      <w:adjustRightInd w:val="false"/>
      <w:spacing w:after="113" w:line="288" w:lineRule="auto"/>
      <w:textAlignment w:val="center"/>
    </w:pPr>
    <w:rPr>
      <w:rFonts w:ascii="VIC Light" w:hAnsi="VIC Light" w:cs="VIC Light"/>
      <w:color w:val="000000"/>
      <w:szCs w:val="18"/>
    </w:rPr>
  </w:style>
  <w:style w:type="paragraph" w:styleId="notestable" w:customStyle="true">
    <w:name w:val="notes (table)"/>
    <w:basedOn w:val="Normal"/>
    <w:uiPriority w:val="99"/>
    <w:rsid w:val="00442785"/>
    <w:pPr>
      <w:tabs>
        <w:tab w:val="left" w:pos="283"/>
      </w:tabs>
      <w:suppressAutoHyphens/>
      <w:autoSpaceDE w:val="false"/>
      <w:autoSpaceDN w:val="false"/>
      <w:adjustRightInd w:val="false"/>
      <w:spacing w:after="28" w:line="170" w:lineRule="atLeast"/>
      <w:textAlignment w:val="center"/>
    </w:pPr>
    <w:rPr>
      <w:rFonts w:ascii="VIC Light" w:hAnsi="VIC Light" w:cs="VIC Light"/>
      <w:color w:val="000000"/>
      <w:sz w:val="14"/>
      <w:szCs w:val="14"/>
    </w:rPr>
  </w:style>
  <w:style w:type="paragraph" w:styleId="bodytableLtable" w:customStyle="true">
    <w:name w:val="body table L (table)"/>
    <w:basedOn w:val="Bodycopy"/>
    <w:uiPriority w:val="99"/>
    <w:rsid w:val="00A96D3F"/>
    <w:pPr>
      <w:spacing w:line="200" w:lineRule="atLeast"/>
    </w:pPr>
    <w:rPr>
      <w:sz w:val="16"/>
      <w:szCs w:val="16"/>
    </w:rPr>
  </w:style>
  <w:style w:type="paragraph" w:styleId="bodytableRtable" w:customStyle="true">
    <w:name w:val="body table R (table)"/>
    <w:basedOn w:val="bodytableLtable"/>
    <w:uiPriority w:val="99"/>
    <w:rsid w:val="00A96D3F"/>
    <w:pPr>
      <w:jc w:val="right"/>
    </w:pPr>
  </w:style>
  <w:style w:type="character" w:styleId="italic" w:customStyle="true">
    <w:name w:val="italic"/>
    <w:uiPriority w:val="99"/>
    <w:rsid w:val="00A96D3F"/>
    <w:rPr>
      <w:i/>
      <w:iCs/>
    </w:rPr>
  </w:style>
  <w:style w:type="character" w:styleId="PageNumber">
    <w:name w:val="page number"/>
    <w:basedOn w:val="DefaultParagraphFont"/>
    <w:uiPriority w:val="99"/>
    <w:semiHidden/>
    <w:unhideWhenUsed/>
    <w:rsid w:val="00313386"/>
  </w:style>
  <w:style w:type="paragraph" w:styleId="BalloonText">
    <w:name w:val="Balloon Text"/>
    <w:basedOn w:val="Normal"/>
    <w:link w:val="BalloonTextChar"/>
    <w:uiPriority w:val="99"/>
    <w:semiHidden/>
    <w:unhideWhenUsed/>
    <w:rsid w:val="00DE34E5"/>
    <w:pPr>
      <w:spacing w:after="0"/>
    </w:pPr>
    <w:rPr>
      <w:rFonts w:ascii="Segoe UI" w:hAnsi="Segoe UI" w:cs="Segoe UI"/>
      <w:szCs w:val="18"/>
    </w:rPr>
  </w:style>
  <w:style w:type="character" w:styleId="BalloonTextChar" w:customStyle="true">
    <w:name w:val="Balloon Text Char"/>
    <w:basedOn w:val="DefaultParagraphFont"/>
    <w:link w:val="BalloonText"/>
    <w:uiPriority w:val="99"/>
    <w:semiHidden/>
    <w:rsid w:val="00DE34E5"/>
    <w:rPr>
      <w:rFonts w:ascii="Segoe UI" w:hAnsi="Segoe UI" w:cs="Segoe UI"/>
      <w:sz w:val="18"/>
      <w:szCs w:val="18"/>
      <w:lang w:val="en-GB"/>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media/image3.jpeg" Type="http://schemas.openxmlformats.org/officeDocument/2006/relationships/image"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header5.xml" Type="http://schemas.openxmlformats.org/officeDocument/2006/relationships/header" Id="rId1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header4.xml" Type="http://schemas.openxmlformats.org/officeDocument/2006/relationships/header" Id="rId14"/>
</Relationships>

</file>

<file path=word/_rels/header1.xml.rels><?xml version="1.0" encoding="UTF-8"?>
<Relationships xmlns="http://schemas.openxmlformats.org/package/2006/relationships">
   <Relationship Target="media/image1.jpg" Type="http://schemas.openxmlformats.org/officeDocument/2006/relationships/image" Id="rId1"/>
</Relationships>

</file>

<file path=word/_rels/header2.xml.rels><?xml version="1.0" encoding="UTF-8"?>
<Relationships xmlns="http://schemas.openxmlformats.org/package/2006/relationships">
   <Relationship Target="media/image2.jpg" Type="http://schemas.openxmlformats.org/officeDocument/2006/relationships/image" Id="rId1"/>
</Relationships>

</file>

<file path=word/_rels/header3.xml.rels><?xml version="1.0" encoding="UTF-8"?>
<Relationships xmlns="http://schemas.openxmlformats.org/package/2006/relationships">
   <Relationship Target="media/image4.jpg" Type="http://schemas.openxmlformats.org/officeDocument/2006/relationships/image" Id="rId1"/>
</Relationships>

</file>

<file path=word/_rels/header4.xml.rels><?xml version="1.0" encoding="UTF-8"?>
<Relationships xmlns="http://schemas.openxmlformats.org/package/2006/relationships">
   <Relationship Target="media/image5.jpg" Type="http://schemas.openxmlformats.org/officeDocument/2006/relationships/image" Id="rId1"/>
</Relationships>

</file>

<file path=word/_rels/header5.xml.rels><?xml version="1.0" encoding="UTF-8"?>
<Relationships xmlns="http://schemas.openxmlformats.org/package/2006/relationships">
   <Relationship Target="media/image1.jp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152E4D56-A841-4BE2-80FB-2174226B9AE7}">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Manager/>
  <properties:Company/>
  <properties:Pages>53</properties:Pages>
  <properties:Words>26136</properties:Words>
  <properties:Characters>148978</properties:Characters>
  <properties:Lines>1241</properties:Lines>
  <properties:Paragraphs>349</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174765</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2019-10-16T22:57:00Z</dcterms:created>
  <dc:creator/>
  <dc:description/>
  <cp:keywords/>
  <cp:lastModifiedBy/>
  <dcterms:modified xmlns:xsi="http://www.w3.org/2001/XMLSchema-instance" xsi:type="dcterms:W3CDTF">2019-10-16T22:57:00Z</dcterms:modified>
  <cp:revision>1</cp:revision>
  <dc:subject/>
  <dc:title/>
</cp:coreProperties>
</file>