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1.4 (Apache licensed) using ECLIPSELINK_MOXy JAXB in Oracle Java 1.8.0_161 on Linux -->
    <w:p w:rsidR="00C12C7E" w:rsidP="00C12C7E" w:rsidRDefault="00C12C7E">
      <w:pPr>
        <w:pStyle w:val="Bodycopy"/>
        <w:rPr>
          <w:color w:val="542F8E"/>
          <w:sz w:val="36"/>
          <w:szCs w:val="36"/>
        </w:rPr>
      </w:pPr>
      <w:bookmarkStart w:id="0" w:name="_Toc525290058"/>
      <w:r w:rsidRPr="00C12C7E">
        <w:rPr>
          <w:color w:val="542F8E"/>
          <w:sz w:val="36"/>
          <w:szCs w:val="36"/>
        </w:rPr>
        <w:t>Department of Justice and Regulation</w:t>
      </w:r>
      <w:r>
        <w:rPr>
          <w:color w:val="542F8E"/>
          <w:sz w:val="36"/>
          <w:szCs w:val="36"/>
        </w:rPr>
        <w:br/>
        <w:t>Annual Report 2017-18</w:t>
      </w:r>
    </w:p>
    <w:p w:rsidRPr="00C12C7E" w:rsidR="00C12C7E" w:rsidP="00C12C7E" w:rsidRDefault="00C12C7E">
      <w:pPr>
        <w:pStyle w:val="Bodycopy"/>
        <w:rPr>
          <w:color w:val="542F8E"/>
          <w:sz w:val="36"/>
          <w:szCs w:val="36"/>
        </w:rPr>
      </w:pPr>
    </w:p>
    <w:p w:rsidRPr="001415B5" w:rsidR="00F423CA" w:rsidP="00F30FA5" w:rsidRDefault="004E2DCE">
      <w:pPr>
        <w:pStyle w:val="H1"/>
        <w:spacing w:after="0"/>
        <w:ind w:right="51"/>
        <w:rPr>
          <w:sz w:val="56"/>
          <w:szCs w:val="56"/>
        </w:rPr>
      </w:pPr>
      <w:r w:rsidRPr="001415B5">
        <w:rPr>
          <w:sz w:val="56"/>
          <w:szCs w:val="56"/>
        </w:rPr>
        <w:t>Annual Financial Statements</w:t>
      </w:r>
      <w:bookmarkEnd w:id="0"/>
    </w:p>
    <w:p w:rsidR="00C12C7E" w:rsidP="001415B5" w:rsidRDefault="00C12C7E">
      <w:pPr>
        <w:pStyle w:val="Bodycopy"/>
      </w:pPr>
    </w:p>
    <w:p w:rsidR="00F423CA" w:rsidP="001415B5" w:rsidRDefault="001415B5">
      <w:pPr>
        <w:pStyle w:val="Bodycopy"/>
      </w:pPr>
      <w:r>
        <w:rPr>
          <w:noProof/>
        </w:rPr>
        <w:drawing>
          <wp:inline distT="0" distB="0" distL="0" distR="0">
            <wp:extent cx="1137765" cy="651462"/>
            <wp:effectExtent l="0" t="0" r="5715"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descr="Department of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vic gov logo.jpg"/>
                    <pic:cNvPicPr/>
                  </pic:nvPicPr>
                  <pic:blipFill>
                    <a:blip r:embed="rId5"/>
                    <a:stretch>
                      <a:fillRect/>
                    </a:stretch>
                  </pic:blipFill>
                  <pic:spPr>
                    <a:xfrm>
                      <a:off x="0" y="0"/>
                      <a:ext cx="1151781" cy="659487"/>
                    </a:xfrm>
                    <a:prstGeom prst="rect">
                      <a:avLst/>
                    </a:prstGeom>
                  </pic:spPr>
                </pic:pic>
              </a:graphicData>
            </a:graphic>
          </wp:inline>
        </w:drawing>
      </w:r>
    </w:p>
    <w:p w:rsidR="00B572FB" w:rsidRDefault="001415B5">
      <w:r>
        <w:br w:type="page"/>
      </w:r>
      <w:bookmarkStart w:id="1" w:name="_GoBack"/>
      <w:bookmarkEnd w:id="1"/>
    </w:p>
    <w:p w:rsidRPr="00E65D93" w:rsidR="00E65D93" w:rsidRDefault="00E65D93">
      <w:pPr>
        <w:pStyle w:val="TOC1"/>
        <w:tabs>
          <w:tab w:val="right" w:leader="dot" w:pos="10196"/>
        </w:tabs>
        <w:rPr>
          <w:rFonts w:cs="Arial"/>
          <w:noProof/>
          <w:szCs w:val="18"/>
        </w:rPr>
      </w:pPr>
      <w:r>
        <w:lastRenderedPageBreak/>
        <w:fldChar w:fldCharType="begin"/>
      </w:r>
      <w:r>
        <w:instrText xml:space="preserve"> TOC \h \z \t "H1,1,H2,2" </w:instrText>
      </w:r>
      <w:r>
        <w:fldChar w:fldCharType="separate"/>
      </w:r>
      <w:hyperlink w:history="true" w:anchor="_Toc525290060">
        <w:r w:rsidRPr="00E65D93">
          <w:rPr>
            <w:rStyle w:val="Hyperlink"/>
            <w:rFonts w:cs="Arial"/>
            <w:noProof/>
            <w:szCs w:val="18"/>
          </w:rPr>
          <w:t>Report structure</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_Toc525290060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3</w:t>
        </w:r>
        <w:r w:rsidRPr="00E65D93">
          <w:rPr>
            <w:rFonts w:cs="Arial"/>
            <w:noProof/>
            <w:webHidden/>
            <w:szCs w:val="18"/>
          </w:rPr>
          <w:fldChar w:fldCharType="end"/>
        </w:r>
      </w:hyperlink>
    </w:p>
    <w:p w:rsidRPr="00E65D93" w:rsidR="00E65D93" w:rsidRDefault="00E65D93">
      <w:pPr>
        <w:pStyle w:val="TOC1"/>
        <w:tabs>
          <w:tab w:val="right" w:leader="dot" w:pos="10196"/>
        </w:tabs>
        <w:rPr>
          <w:rFonts w:cs="Arial"/>
          <w:noProof/>
          <w:szCs w:val="18"/>
        </w:rPr>
      </w:pPr>
      <w:hyperlink w:history="true" w:anchor="_Toc525290061">
        <w:r w:rsidRPr="00E65D93">
          <w:rPr>
            <w:rStyle w:val="Hyperlink"/>
            <w:rFonts w:cs="Arial"/>
            <w:noProof/>
            <w:szCs w:val="18"/>
          </w:rPr>
          <w:t>Declaration in financial statements</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_Toc525290061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5</w:t>
        </w:r>
        <w:r w:rsidRPr="00E65D93">
          <w:rPr>
            <w:rFonts w:cs="Arial"/>
            <w:noProof/>
            <w:webHidden/>
            <w:szCs w:val="18"/>
          </w:rPr>
          <w:fldChar w:fldCharType="end"/>
        </w:r>
      </w:hyperlink>
    </w:p>
    <w:p w:rsidRPr="00E65D93" w:rsidR="00E65D93" w:rsidRDefault="00E65D93">
      <w:pPr>
        <w:pStyle w:val="TOC1"/>
        <w:tabs>
          <w:tab w:val="right" w:leader="dot" w:pos="10196"/>
        </w:tabs>
        <w:rPr>
          <w:rFonts w:cs="Arial"/>
          <w:noProof/>
          <w:szCs w:val="18"/>
        </w:rPr>
      </w:pPr>
      <w:hyperlink w:history="true" w:anchor="_Toc525290062">
        <w:r w:rsidRPr="00E65D93">
          <w:rPr>
            <w:rStyle w:val="Hyperlink"/>
            <w:rFonts w:cs="Arial"/>
            <w:noProof/>
            <w:szCs w:val="18"/>
          </w:rPr>
          <w:t>VAGO</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_Toc525290062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6</w:t>
        </w:r>
        <w:r w:rsidRPr="00E65D93">
          <w:rPr>
            <w:rFonts w:cs="Arial"/>
            <w:noProof/>
            <w:webHidden/>
            <w:szCs w:val="18"/>
          </w:rPr>
          <w:fldChar w:fldCharType="end"/>
        </w:r>
      </w:hyperlink>
    </w:p>
    <w:p w:rsidRPr="00E65D93" w:rsidR="00E65D93" w:rsidRDefault="00E65D93">
      <w:pPr>
        <w:pStyle w:val="TOC1"/>
        <w:tabs>
          <w:tab w:val="right" w:leader="dot" w:pos="10196"/>
        </w:tabs>
        <w:rPr>
          <w:rFonts w:cs="Arial"/>
          <w:noProof/>
          <w:szCs w:val="18"/>
        </w:rPr>
      </w:pPr>
      <w:hyperlink w:history="true" w:anchor="_Toc525290063">
        <w:r w:rsidRPr="00E65D93">
          <w:rPr>
            <w:rStyle w:val="Hyperlink"/>
            <w:rFonts w:cs="Arial"/>
            <w:noProof/>
            <w:szCs w:val="18"/>
          </w:rPr>
          <w:t>Comprehensive operating statement</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_Toc525290063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8</w:t>
        </w:r>
        <w:r w:rsidRPr="00E65D93">
          <w:rPr>
            <w:rFonts w:cs="Arial"/>
            <w:noProof/>
            <w:webHidden/>
            <w:szCs w:val="18"/>
          </w:rPr>
          <w:fldChar w:fldCharType="end"/>
        </w:r>
      </w:hyperlink>
    </w:p>
    <w:p w:rsidRPr="00E65D93" w:rsidR="00E65D93" w:rsidRDefault="00E65D93">
      <w:pPr>
        <w:pStyle w:val="TOC1"/>
        <w:tabs>
          <w:tab w:val="right" w:leader="dot" w:pos="10196"/>
        </w:tabs>
        <w:rPr>
          <w:rFonts w:cs="Arial"/>
          <w:noProof/>
          <w:szCs w:val="18"/>
        </w:rPr>
      </w:pPr>
      <w:hyperlink w:history="true" w:anchor="_Toc525290064">
        <w:r w:rsidRPr="00E65D93">
          <w:rPr>
            <w:rStyle w:val="Hyperlink"/>
            <w:rFonts w:cs="Arial"/>
            <w:noProof/>
            <w:szCs w:val="18"/>
          </w:rPr>
          <w:t>Balance sheet</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_Toc525290064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9</w:t>
        </w:r>
        <w:r w:rsidRPr="00E65D93">
          <w:rPr>
            <w:rFonts w:cs="Arial"/>
            <w:noProof/>
            <w:webHidden/>
            <w:szCs w:val="18"/>
          </w:rPr>
          <w:fldChar w:fldCharType="end"/>
        </w:r>
      </w:hyperlink>
    </w:p>
    <w:p w:rsidRPr="00E65D93" w:rsidR="00E65D93" w:rsidRDefault="00E65D93">
      <w:pPr>
        <w:pStyle w:val="TOC1"/>
        <w:tabs>
          <w:tab w:val="right" w:leader="dot" w:pos="10196"/>
        </w:tabs>
        <w:rPr>
          <w:rFonts w:cs="Arial"/>
          <w:noProof/>
          <w:szCs w:val="18"/>
        </w:rPr>
      </w:pPr>
      <w:hyperlink w:history="true" w:anchor="_Toc525290065">
        <w:r w:rsidRPr="00E65D93">
          <w:rPr>
            <w:rStyle w:val="Hyperlink"/>
            <w:rFonts w:cs="Arial"/>
            <w:noProof/>
            <w:szCs w:val="18"/>
          </w:rPr>
          <w:t>Cash flow statement</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_Toc525290065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10</w:t>
        </w:r>
        <w:r w:rsidRPr="00E65D93">
          <w:rPr>
            <w:rFonts w:cs="Arial"/>
            <w:noProof/>
            <w:webHidden/>
            <w:szCs w:val="18"/>
          </w:rPr>
          <w:fldChar w:fldCharType="end"/>
        </w:r>
      </w:hyperlink>
    </w:p>
    <w:p w:rsidRPr="00E65D93" w:rsidR="00E65D93" w:rsidRDefault="00E65D93">
      <w:pPr>
        <w:pStyle w:val="TOC1"/>
        <w:tabs>
          <w:tab w:val="right" w:leader="dot" w:pos="10196"/>
        </w:tabs>
        <w:rPr>
          <w:rFonts w:cs="Arial"/>
          <w:noProof/>
          <w:szCs w:val="18"/>
        </w:rPr>
      </w:pPr>
      <w:hyperlink w:history="true" w:anchor="_Toc525290066">
        <w:r w:rsidRPr="00E65D93">
          <w:rPr>
            <w:rStyle w:val="Hyperlink"/>
            <w:rFonts w:cs="Arial"/>
            <w:noProof/>
            <w:szCs w:val="18"/>
          </w:rPr>
          <w:t>Statement of changes in equity</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_Toc525290066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11</w:t>
        </w:r>
        <w:r w:rsidRPr="00E65D93">
          <w:rPr>
            <w:rFonts w:cs="Arial"/>
            <w:noProof/>
            <w:webHidden/>
            <w:szCs w:val="18"/>
          </w:rPr>
          <w:fldChar w:fldCharType="end"/>
        </w:r>
      </w:hyperlink>
    </w:p>
    <w:p w:rsidRPr="00E65D93" w:rsidR="00E65D93" w:rsidRDefault="00E65D93">
      <w:pPr>
        <w:pStyle w:val="TOC1"/>
        <w:tabs>
          <w:tab w:val="right" w:leader="dot" w:pos="10196"/>
        </w:tabs>
        <w:rPr>
          <w:rFonts w:cs="Arial"/>
          <w:noProof/>
          <w:szCs w:val="18"/>
        </w:rPr>
      </w:pPr>
      <w:hyperlink w:history="true" w:anchor="_Toc525290067">
        <w:r w:rsidRPr="00E65D93">
          <w:rPr>
            <w:rStyle w:val="Hyperlink"/>
            <w:rFonts w:cs="Arial"/>
            <w:noProof/>
            <w:szCs w:val="18"/>
          </w:rPr>
          <w:t>Notes to the financial statements</w:t>
        </w:r>
        <w:r w:rsidRPr="00E65D93">
          <w:rPr>
            <w:rFonts w:cs="Arial"/>
            <w:noProof/>
            <w:webHidden/>
            <w:szCs w:val="18"/>
          </w:rPr>
          <w:tab/>
        </w:r>
        <w:r w:rsidRPr="00E65D93">
          <w:rPr>
            <w:rFonts w:cs="Arial"/>
            <w:noProof/>
            <w:webHidden/>
            <w:szCs w:val="18"/>
          </w:rPr>
          <w:fldChar w:fldCharType="begin"/>
        </w:r>
        <w:r w:rsidRPr="00E65D93">
          <w:rPr>
            <w:rFonts w:cs="Arial"/>
            <w:noProof/>
            <w:webHidden/>
            <w:szCs w:val="18"/>
          </w:rPr>
          <w:instrText xml:space="preserve"> PAGEREF _Toc525290067 \h </w:instrText>
        </w:r>
        <w:r w:rsidRPr="00E65D93">
          <w:rPr>
            <w:rFonts w:cs="Arial"/>
            <w:noProof/>
            <w:webHidden/>
            <w:szCs w:val="18"/>
          </w:rPr>
        </w:r>
        <w:r w:rsidRPr="00E65D93">
          <w:rPr>
            <w:rFonts w:cs="Arial"/>
            <w:noProof/>
            <w:webHidden/>
            <w:szCs w:val="18"/>
          </w:rPr>
          <w:fldChar w:fldCharType="separate"/>
        </w:r>
        <w:r w:rsidRPr="00E65D93">
          <w:rPr>
            <w:rFonts w:cs="Arial"/>
            <w:noProof/>
            <w:webHidden/>
            <w:szCs w:val="18"/>
          </w:rPr>
          <w:t>12</w:t>
        </w:r>
        <w:r w:rsidRPr="00E65D93">
          <w:rPr>
            <w:rFonts w:cs="Arial"/>
            <w:noProof/>
            <w:webHidden/>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68">
        <w:r w:rsidRPr="00E65D93">
          <w:rPr>
            <w:rStyle w:val="Hyperlink"/>
            <w:rFonts w:ascii="Arial" w:hAnsi="Arial" w:cs="Arial"/>
            <w:noProof/>
            <w:sz w:val="18"/>
            <w:szCs w:val="18"/>
          </w:rPr>
          <w:t>1. About this report</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_Toc525290068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12</w:t>
        </w:r>
        <w:r w:rsidRPr="00E65D93">
          <w:rPr>
            <w:rFonts w:ascii="Arial" w:hAnsi="Arial" w:cs="Arial"/>
            <w:noProof/>
            <w:webHidden/>
            <w:sz w:val="18"/>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69">
        <w:r w:rsidRPr="00E65D93">
          <w:rPr>
            <w:rStyle w:val="Hyperlink"/>
            <w:rFonts w:ascii="Arial" w:hAnsi="Arial" w:cs="Arial"/>
            <w:noProof/>
            <w:sz w:val="18"/>
            <w:szCs w:val="18"/>
          </w:rPr>
          <w:t>2. Funding delivery of services</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_Toc525290069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13</w:t>
        </w:r>
        <w:r w:rsidRPr="00E65D93">
          <w:rPr>
            <w:rFonts w:ascii="Arial" w:hAnsi="Arial" w:cs="Arial"/>
            <w:noProof/>
            <w:webHidden/>
            <w:sz w:val="18"/>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70">
        <w:r w:rsidRPr="00E65D93">
          <w:rPr>
            <w:rStyle w:val="Hyperlink"/>
            <w:rFonts w:ascii="Arial" w:hAnsi="Arial" w:cs="Arial"/>
            <w:noProof/>
            <w:sz w:val="18"/>
            <w:szCs w:val="18"/>
          </w:rPr>
          <w:t>3. Cost of delivering services</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_Toc525290070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17</w:t>
        </w:r>
        <w:r w:rsidRPr="00E65D93">
          <w:rPr>
            <w:rFonts w:ascii="Arial" w:hAnsi="Arial" w:cs="Arial"/>
            <w:noProof/>
            <w:webHidden/>
            <w:sz w:val="18"/>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71">
        <w:r w:rsidRPr="00E65D93">
          <w:rPr>
            <w:rStyle w:val="Hyperlink"/>
            <w:rFonts w:ascii="Arial" w:hAnsi="Arial" w:cs="Arial"/>
            <w:noProof/>
            <w:sz w:val="18"/>
            <w:szCs w:val="18"/>
          </w:rPr>
          <w:t>4. Disaggregated financial information by output</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_Toc525290071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20</w:t>
        </w:r>
        <w:r w:rsidRPr="00E65D93">
          <w:rPr>
            <w:rFonts w:ascii="Arial" w:hAnsi="Arial" w:cs="Arial"/>
            <w:noProof/>
            <w:webHidden/>
            <w:sz w:val="18"/>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72">
        <w:r w:rsidRPr="00E65D93">
          <w:rPr>
            <w:rStyle w:val="Hyperlink"/>
            <w:rFonts w:ascii="Arial" w:hAnsi="Arial" w:cs="Arial"/>
            <w:noProof/>
            <w:sz w:val="18"/>
            <w:szCs w:val="18"/>
          </w:rPr>
          <w:t>5. Key assets available to support output delivery</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_Toc525290072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23</w:t>
        </w:r>
        <w:r w:rsidRPr="00E65D93">
          <w:rPr>
            <w:rFonts w:ascii="Arial" w:hAnsi="Arial" w:cs="Arial"/>
            <w:noProof/>
            <w:webHidden/>
            <w:sz w:val="18"/>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73">
        <w:r w:rsidRPr="00E65D93">
          <w:rPr>
            <w:rStyle w:val="Hyperlink"/>
            <w:rFonts w:ascii="Arial" w:hAnsi="Arial" w:cs="Arial"/>
            <w:noProof/>
            <w:sz w:val="18"/>
            <w:szCs w:val="18"/>
          </w:rPr>
          <w:t>6. Other assets and liabilities</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_Toc525290073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26</w:t>
        </w:r>
        <w:r w:rsidRPr="00E65D93">
          <w:rPr>
            <w:rFonts w:ascii="Arial" w:hAnsi="Arial" w:cs="Arial"/>
            <w:noProof/>
            <w:webHidden/>
            <w:sz w:val="18"/>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74">
        <w:r w:rsidRPr="00E65D93">
          <w:rPr>
            <w:rStyle w:val="Hyperlink"/>
            <w:rFonts w:ascii="Arial" w:hAnsi="Arial" w:cs="Arial"/>
            <w:noProof/>
            <w:sz w:val="18"/>
            <w:szCs w:val="18"/>
          </w:rPr>
          <w:t>7. Financing operations</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_Toc525290074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28</w:t>
        </w:r>
        <w:r w:rsidRPr="00E65D93">
          <w:rPr>
            <w:rFonts w:ascii="Arial" w:hAnsi="Arial" w:cs="Arial"/>
            <w:noProof/>
            <w:webHidden/>
            <w:sz w:val="18"/>
            <w:szCs w:val="18"/>
          </w:rPr>
          <w:fldChar w:fldCharType="end"/>
        </w:r>
      </w:hyperlink>
    </w:p>
    <w:p w:rsidRPr="00E65D93" w:rsidR="00E65D93" w:rsidRDefault="00E65D93">
      <w:pPr>
        <w:pStyle w:val="TOC2"/>
        <w:tabs>
          <w:tab w:val="right" w:leader="dot" w:pos="10196"/>
        </w:tabs>
        <w:rPr>
          <w:rFonts w:ascii="Arial" w:hAnsi="Arial" w:cs="Arial"/>
          <w:noProof/>
          <w:sz w:val="18"/>
          <w:szCs w:val="18"/>
        </w:rPr>
      </w:pPr>
      <w:hyperlink w:history="true" w:anchor="_Toc525290075">
        <w:r w:rsidRPr="00E65D93">
          <w:rPr>
            <w:rStyle w:val="Hyperlink"/>
            <w:rFonts w:ascii="Arial" w:hAnsi="Arial" w:cs="Arial"/>
            <w:noProof/>
            <w:sz w:val="18"/>
            <w:szCs w:val="18"/>
          </w:rPr>
          <w:t>8. Risks, contingencies and valuation judgements</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_Toc525290075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33</w:t>
        </w:r>
        <w:r w:rsidRPr="00E65D93">
          <w:rPr>
            <w:rFonts w:ascii="Arial" w:hAnsi="Arial" w:cs="Arial"/>
            <w:noProof/>
            <w:webHidden/>
            <w:sz w:val="18"/>
            <w:szCs w:val="18"/>
          </w:rPr>
          <w:fldChar w:fldCharType="end"/>
        </w:r>
      </w:hyperlink>
    </w:p>
    <w:p w:rsidR="00E65D93" w:rsidRDefault="00E65D93">
      <w:pPr>
        <w:pStyle w:val="TOC2"/>
        <w:tabs>
          <w:tab w:val="right" w:leader="dot" w:pos="10196"/>
        </w:tabs>
        <w:rPr>
          <w:noProof/>
        </w:rPr>
      </w:pPr>
      <w:hyperlink w:history="true" w:anchor="_Toc525290076">
        <w:r w:rsidRPr="00E65D93">
          <w:rPr>
            <w:rStyle w:val="Hyperlink"/>
            <w:rFonts w:ascii="Arial" w:hAnsi="Arial" w:cs="Arial"/>
            <w:noProof/>
            <w:sz w:val="18"/>
            <w:szCs w:val="18"/>
          </w:rPr>
          <w:t>9. Other disclosures</w:t>
        </w:r>
        <w:r w:rsidRPr="00E65D93">
          <w:rPr>
            <w:rFonts w:ascii="Arial" w:hAnsi="Arial" w:cs="Arial"/>
            <w:noProof/>
            <w:webHidden/>
            <w:sz w:val="18"/>
            <w:szCs w:val="18"/>
          </w:rPr>
          <w:tab/>
        </w:r>
        <w:r w:rsidRPr="00E65D93">
          <w:rPr>
            <w:rFonts w:ascii="Arial" w:hAnsi="Arial" w:cs="Arial"/>
            <w:noProof/>
            <w:webHidden/>
            <w:sz w:val="18"/>
            <w:szCs w:val="18"/>
          </w:rPr>
          <w:fldChar w:fldCharType="begin"/>
        </w:r>
        <w:r w:rsidRPr="00E65D93">
          <w:rPr>
            <w:rFonts w:ascii="Arial" w:hAnsi="Arial" w:cs="Arial"/>
            <w:noProof/>
            <w:webHidden/>
            <w:sz w:val="18"/>
            <w:szCs w:val="18"/>
          </w:rPr>
          <w:instrText xml:space="preserve"> PAGEREF _Toc525290076 \h </w:instrText>
        </w:r>
        <w:r w:rsidRPr="00E65D93">
          <w:rPr>
            <w:rFonts w:ascii="Arial" w:hAnsi="Arial" w:cs="Arial"/>
            <w:noProof/>
            <w:webHidden/>
            <w:sz w:val="18"/>
            <w:szCs w:val="18"/>
          </w:rPr>
        </w:r>
        <w:r w:rsidRPr="00E65D93">
          <w:rPr>
            <w:rFonts w:ascii="Arial" w:hAnsi="Arial" w:cs="Arial"/>
            <w:noProof/>
            <w:webHidden/>
            <w:sz w:val="18"/>
            <w:szCs w:val="18"/>
          </w:rPr>
          <w:fldChar w:fldCharType="separate"/>
        </w:r>
        <w:r w:rsidRPr="00E65D93">
          <w:rPr>
            <w:rFonts w:ascii="Arial" w:hAnsi="Arial" w:cs="Arial"/>
            <w:noProof/>
            <w:webHidden/>
            <w:sz w:val="18"/>
            <w:szCs w:val="18"/>
          </w:rPr>
          <w:t>39</w:t>
        </w:r>
        <w:r w:rsidRPr="00E65D93">
          <w:rPr>
            <w:rFonts w:ascii="Arial" w:hAnsi="Arial" w:cs="Arial"/>
            <w:noProof/>
            <w:webHidden/>
            <w:sz w:val="18"/>
            <w:szCs w:val="18"/>
          </w:rPr>
          <w:fldChar w:fldCharType="end"/>
        </w:r>
      </w:hyperlink>
    </w:p>
    <w:p w:rsidR="00B572FB" w:rsidRDefault="00E65D93">
      <w:r>
        <w:fldChar w:fldCharType="end"/>
      </w:r>
      <w:r w:rsidR="00B572FB">
        <w:br w:type="page"/>
      </w:r>
    </w:p>
    <w:p w:rsidR="001415B5" w:rsidRDefault="001415B5">
      <w:pPr>
        <w:rPr>
          <w:rFonts w:ascii="Arial" w:hAnsi="Arial" w:cs="Arial"/>
          <w:color w:val="000000"/>
          <w:sz w:val="18"/>
          <w:szCs w:val="18"/>
          <w:lang w:val="en-GB"/>
        </w:rPr>
      </w:pPr>
    </w:p>
    <w:p w:rsidR="00F423CA" w:rsidP="001415B5" w:rsidRDefault="004E2DCE">
      <w:pPr>
        <w:pStyle w:val="H1"/>
      </w:pPr>
      <w:bookmarkStart w:id="2" w:name="_Toc525290060"/>
      <w:r>
        <w:t>Report structure</w:t>
      </w:r>
      <w:bookmarkEnd w:id="2"/>
    </w:p>
    <w:p w:rsidR="00F423CA" w:rsidP="001415B5" w:rsidRDefault="004E2DCE">
      <w:pPr>
        <w:pStyle w:val="Bodycopy"/>
      </w:pPr>
      <w:r>
        <w:t>The Department of Justice and Regulation (department) has presented its audited general purpose financial statements for the financial year ended 30 June 2018 in the following structure to provide users with information about the department’s stewardship of resources entrusted to it.</w:t>
      </w:r>
    </w:p>
    <w:p w:rsidR="00F423CA" w:rsidRDefault="004E2DCE">
      <w:pPr>
        <w:pStyle w:val="H4"/>
        <w:ind w:right="51"/>
      </w:pPr>
      <w:r>
        <w:t>Certifications</w:t>
      </w:r>
    </w:p>
    <w:p w:rsidR="00F423CA" w:rsidRDefault="004E2DCE">
      <w:pPr>
        <w:pStyle w:val="Bodycopy"/>
        <w:tabs>
          <w:tab w:val="left" w:pos="0"/>
          <w:tab w:val="left" w:pos="300"/>
          <w:tab w:val="left" w:pos="720"/>
          <w:tab w:val="right" w:leader="dot" w:pos="9000"/>
        </w:tabs>
        <w:spacing w:before="57" w:after="57"/>
        <w:ind w:right="51"/>
      </w:pPr>
      <w:r>
        <w:t>Declaration in financial statements</w:t>
      </w:r>
      <w:r>
        <w:tab/>
        <w:t>96</w:t>
      </w:r>
    </w:p>
    <w:p w:rsidR="00F423CA" w:rsidRDefault="004E2DCE">
      <w:pPr>
        <w:pStyle w:val="Bodycopy"/>
        <w:tabs>
          <w:tab w:val="left" w:pos="0"/>
          <w:tab w:val="left" w:pos="300"/>
          <w:tab w:val="left" w:pos="720"/>
          <w:tab w:val="right" w:leader="dot" w:pos="9000"/>
        </w:tabs>
        <w:spacing w:before="57" w:after="57"/>
        <w:ind w:right="51"/>
      </w:pPr>
      <w:r>
        <w:t>Independent auditor’s report</w:t>
      </w:r>
      <w:r>
        <w:tab/>
        <w:t>97</w:t>
      </w:r>
    </w:p>
    <w:p w:rsidR="00F423CA" w:rsidRDefault="004E2DCE">
      <w:pPr>
        <w:pStyle w:val="H4"/>
        <w:ind w:right="51"/>
      </w:pPr>
      <w:r>
        <w:t>Financial statements</w:t>
      </w:r>
    </w:p>
    <w:p w:rsidR="00F423CA" w:rsidRDefault="004E2DCE">
      <w:pPr>
        <w:pStyle w:val="Bodycopy"/>
        <w:tabs>
          <w:tab w:val="left" w:pos="0"/>
          <w:tab w:val="left" w:pos="300"/>
          <w:tab w:val="left" w:pos="720"/>
          <w:tab w:val="right" w:leader="dot" w:pos="9000"/>
        </w:tabs>
        <w:spacing w:before="57" w:after="57"/>
        <w:ind w:right="51"/>
      </w:pPr>
      <w:r>
        <w:t>Comprehensive operating statement</w:t>
      </w:r>
      <w:r>
        <w:tab/>
        <w:t>99</w:t>
      </w:r>
    </w:p>
    <w:p w:rsidR="00F423CA" w:rsidRDefault="004E2DCE">
      <w:pPr>
        <w:pStyle w:val="Bodycopy"/>
        <w:tabs>
          <w:tab w:val="left" w:pos="0"/>
          <w:tab w:val="left" w:pos="300"/>
          <w:tab w:val="left" w:pos="720"/>
          <w:tab w:val="right" w:leader="dot" w:pos="9000"/>
        </w:tabs>
        <w:spacing w:before="57" w:after="57"/>
        <w:ind w:right="51"/>
      </w:pPr>
      <w:r>
        <w:t>Balance sheet</w:t>
      </w:r>
      <w:r>
        <w:tab/>
        <w:t>100</w:t>
      </w:r>
    </w:p>
    <w:p w:rsidR="00F423CA" w:rsidRDefault="004E2DCE">
      <w:pPr>
        <w:pStyle w:val="Bodycopy"/>
        <w:tabs>
          <w:tab w:val="left" w:pos="0"/>
          <w:tab w:val="left" w:pos="300"/>
          <w:tab w:val="left" w:pos="720"/>
          <w:tab w:val="right" w:leader="dot" w:pos="9000"/>
        </w:tabs>
        <w:spacing w:before="57" w:after="57"/>
        <w:ind w:right="51"/>
      </w:pPr>
      <w:r>
        <w:t>Cash flow statement</w:t>
      </w:r>
      <w:r>
        <w:tab/>
        <w:t>101</w:t>
      </w:r>
    </w:p>
    <w:p w:rsidR="00F423CA" w:rsidRDefault="004E2DCE">
      <w:pPr>
        <w:pStyle w:val="Bodycopy"/>
        <w:tabs>
          <w:tab w:val="left" w:pos="0"/>
          <w:tab w:val="left" w:pos="300"/>
          <w:tab w:val="left" w:pos="720"/>
          <w:tab w:val="right" w:leader="dot" w:pos="9000"/>
        </w:tabs>
        <w:spacing w:before="57" w:after="57"/>
        <w:ind w:right="51"/>
      </w:pPr>
      <w:r>
        <w:t>Statement of changes in equity</w:t>
      </w:r>
      <w:r>
        <w:tab/>
        <w:t>102</w:t>
      </w:r>
    </w:p>
    <w:p w:rsidR="00F423CA" w:rsidRDefault="004E2DCE">
      <w:pPr>
        <w:pStyle w:val="H4"/>
        <w:ind w:right="51"/>
      </w:pPr>
      <w:r>
        <w:t>Notes to financial statements</w:t>
      </w:r>
    </w:p>
    <w:p w:rsidR="00F423CA" w:rsidRDefault="004E2DCE">
      <w:pPr>
        <w:pStyle w:val="Bodycopy"/>
        <w:tabs>
          <w:tab w:val="left" w:pos="0"/>
          <w:tab w:val="left" w:pos="300"/>
          <w:tab w:val="left" w:pos="720"/>
          <w:tab w:val="right" w:leader="dot" w:pos="9000"/>
        </w:tabs>
        <w:spacing w:before="57" w:after="57"/>
        <w:ind w:right="51"/>
      </w:pPr>
      <w:r>
        <w:t>1</w:t>
      </w:r>
      <w:r>
        <w:tab/>
        <w:t>About this report</w:t>
      </w:r>
      <w:r>
        <w:tab/>
        <w:t>103</w:t>
      </w:r>
    </w:p>
    <w:p w:rsidR="00F423CA" w:rsidRDefault="004E2DCE">
      <w:pPr>
        <w:pStyle w:val="Bodycopy"/>
        <w:tabs>
          <w:tab w:val="left" w:pos="0"/>
          <w:tab w:val="left" w:pos="300"/>
          <w:tab w:val="left" w:pos="720"/>
          <w:tab w:val="right" w:leader="dot" w:pos="9000"/>
        </w:tabs>
        <w:ind w:right="51"/>
      </w:pPr>
      <w:r>
        <w:tab/>
      </w:r>
      <w:r>
        <w:br/>
        <w:t xml:space="preserve">The basis on which the financial statements have been prepared and </w:t>
      </w:r>
      <w:r>
        <w:br/>
        <w:t>compliance with reporting regulations</w:t>
      </w:r>
      <w:r>
        <w:tab/>
        <w:t>103</w:t>
      </w:r>
    </w:p>
    <w:p w:rsidR="00F423CA" w:rsidRDefault="004E2DCE">
      <w:pPr>
        <w:pStyle w:val="Bodycopy"/>
        <w:tabs>
          <w:tab w:val="left" w:pos="0"/>
          <w:tab w:val="left" w:pos="300"/>
          <w:tab w:val="left" w:pos="720"/>
          <w:tab w:val="right" w:leader="dot" w:pos="9000"/>
        </w:tabs>
        <w:spacing w:before="57" w:after="57"/>
        <w:ind w:right="51"/>
      </w:pPr>
      <w:r>
        <w:t>2</w:t>
      </w:r>
      <w:r>
        <w:tab/>
        <w:t>Funding delivery of services</w:t>
      </w:r>
      <w:r>
        <w:tab/>
        <w:t>104</w:t>
      </w:r>
    </w:p>
    <w:p w:rsidR="00F423CA" w:rsidRDefault="004E2DCE">
      <w:pPr>
        <w:pStyle w:val="Bodycopy"/>
        <w:tabs>
          <w:tab w:val="left" w:pos="0"/>
          <w:tab w:val="left" w:pos="300"/>
          <w:tab w:val="left" w:pos="720"/>
          <w:tab w:val="right" w:leader="dot" w:pos="9000"/>
        </w:tabs>
        <w:spacing w:after="57"/>
        <w:ind w:right="51"/>
      </w:pPr>
      <w:r>
        <w:tab/>
        <w:t>2.1 Introduction</w:t>
      </w:r>
      <w:r>
        <w:tab/>
        <w:t>104</w:t>
      </w:r>
    </w:p>
    <w:p w:rsidR="00F423CA" w:rsidRDefault="004E2DCE">
      <w:pPr>
        <w:pStyle w:val="Bodycopy"/>
        <w:tabs>
          <w:tab w:val="left" w:pos="0"/>
          <w:tab w:val="left" w:pos="300"/>
          <w:tab w:val="left" w:pos="720"/>
          <w:tab w:val="right" w:leader="dot" w:pos="9000"/>
        </w:tabs>
        <w:spacing w:before="57" w:after="57"/>
        <w:ind w:right="51"/>
      </w:pPr>
      <w:r>
        <w:tab/>
        <w:t>2.2 Summary of compliance with annual parliamentary appropriations</w:t>
      </w:r>
      <w:r>
        <w:tab/>
        <w:t>105</w:t>
      </w:r>
    </w:p>
    <w:p w:rsidR="00F423CA" w:rsidRDefault="004E2DCE">
      <w:pPr>
        <w:pStyle w:val="Bodycopy"/>
        <w:tabs>
          <w:tab w:val="left" w:pos="0"/>
          <w:tab w:val="left" w:pos="300"/>
          <w:tab w:val="left" w:pos="720"/>
          <w:tab w:val="right" w:leader="dot" w:pos="9000"/>
        </w:tabs>
        <w:spacing w:before="57" w:after="57"/>
        <w:ind w:right="51"/>
      </w:pPr>
      <w:r>
        <w:tab/>
        <w:t>2.3 Summary of compliance with special appropriations</w:t>
      </w:r>
      <w:r>
        <w:tab/>
        <w:t>108</w:t>
      </w:r>
    </w:p>
    <w:p w:rsidR="00F423CA" w:rsidRDefault="004E2DCE">
      <w:pPr>
        <w:pStyle w:val="Bodycopy"/>
        <w:tabs>
          <w:tab w:val="left" w:pos="0"/>
          <w:tab w:val="left" w:pos="300"/>
          <w:tab w:val="left" w:pos="720"/>
          <w:tab w:val="right" w:leader="dot" w:pos="9000"/>
        </w:tabs>
        <w:spacing w:before="57" w:after="57"/>
        <w:ind w:right="51"/>
      </w:pPr>
      <w:r>
        <w:tab/>
        <w:t>2.4 Interest income</w:t>
      </w:r>
      <w:r>
        <w:tab/>
        <w:t>108</w:t>
      </w:r>
    </w:p>
    <w:p w:rsidR="00F423CA" w:rsidRDefault="004E2DCE">
      <w:pPr>
        <w:pStyle w:val="Bodycopy"/>
        <w:tabs>
          <w:tab w:val="left" w:pos="0"/>
          <w:tab w:val="left" w:pos="300"/>
          <w:tab w:val="left" w:pos="720"/>
          <w:tab w:val="right" w:leader="dot" w:pos="9000"/>
        </w:tabs>
        <w:spacing w:before="57" w:after="57"/>
        <w:ind w:right="51"/>
      </w:pPr>
      <w:r>
        <w:tab/>
        <w:t>2.5 Grant income</w:t>
      </w:r>
      <w:r>
        <w:tab/>
        <w:t>109</w:t>
      </w:r>
    </w:p>
    <w:p w:rsidR="00F423CA" w:rsidRDefault="004E2DCE">
      <w:pPr>
        <w:pStyle w:val="Bodycopy"/>
        <w:tabs>
          <w:tab w:val="left" w:pos="0"/>
          <w:tab w:val="left" w:pos="300"/>
          <w:tab w:val="left" w:pos="720"/>
          <w:tab w:val="right" w:leader="dot" w:pos="9000"/>
        </w:tabs>
        <w:spacing w:before="57" w:after="57"/>
        <w:ind w:right="51"/>
      </w:pPr>
      <w:r>
        <w:tab/>
        <w:t>2.6 Other income</w:t>
      </w:r>
      <w:r>
        <w:tab/>
        <w:t>109</w:t>
      </w:r>
    </w:p>
    <w:p w:rsidR="00F423CA" w:rsidRDefault="004E2DCE">
      <w:pPr>
        <w:pStyle w:val="Bodycopy"/>
        <w:tabs>
          <w:tab w:val="left" w:pos="0"/>
          <w:tab w:val="left" w:pos="300"/>
          <w:tab w:val="left" w:pos="720"/>
          <w:tab w:val="right" w:leader="dot" w:pos="9000"/>
        </w:tabs>
        <w:spacing w:before="57"/>
        <w:ind w:right="51"/>
      </w:pPr>
      <w:r>
        <w:tab/>
        <w:t>2.7 Annotated income agreements</w:t>
      </w:r>
      <w:r>
        <w:tab/>
        <w:t>110</w:t>
      </w:r>
    </w:p>
    <w:p w:rsidR="00F423CA" w:rsidRDefault="004E2DCE">
      <w:pPr>
        <w:pStyle w:val="Bodycopy"/>
        <w:tabs>
          <w:tab w:val="left" w:pos="0"/>
          <w:tab w:val="left" w:pos="300"/>
          <w:tab w:val="left" w:pos="720"/>
          <w:tab w:val="right" w:leader="dot" w:pos="9000"/>
        </w:tabs>
        <w:spacing w:before="57" w:after="57"/>
        <w:ind w:right="51"/>
      </w:pPr>
      <w:r>
        <w:t>3</w:t>
      </w:r>
      <w:r>
        <w:tab/>
        <w:t>Cost of delivering services</w:t>
      </w:r>
      <w:r>
        <w:tab/>
        <w:t>111</w:t>
      </w:r>
    </w:p>
    <w:p w:rsidR="00F423CA" w:rsidRDefault="004E2DCE">
      <w:pPr>
        <w:pStyle w:val="Bodycopy"/>
        <w:tabs>
          <w:tab w:val="left" w:pos="0"/>
          <w:tab w:val="left" w:pos="300"/>
          <w:tab w:val="left" w:pos="720"/>
          <w:tab w:val="right" w:leader="dot" w:pos="9000"/>
        </w:tabs>
        <w:spacing w:before="57" w:after="57"/>
        <w:ind w:right="51"/>
      </w:pPr>
      <w:r>
        <w:tab/>
        <w:t>3.1 Introduction</w:t>
      </w:r>
      <w:r>
        <w:tab/>
        <w:t>111</w:t>
      </w:r>
    </w:p>
    <w:p w:rsidR="00F423CA" w:rsidRDefault="004E2DCE">
      <w:pPr>
        <w:pStyle w:val="Bodycopy"/>
        <w:tabs>
          <w:tab w:val="left" w:pos="0"/>
          <w:tab w:val="left" w:pos="300"/>
          <w:tab w:val="left" w:pos="720"/>
          <w:tab w:val="right" w:leader="dot" w:pos="9000"/>
        </w:tabs>
        <w:spacing w:before="57" w:after="57"/>
        <w:ind w:right="51"/>
      </w:pPr>
      <w:r>
        <w:tab/>
        <w:t>3.2 Employee benefits</w:t>
      </w:r>
      <w:r>
        <w:tab/>
        <w:t>111</w:t>
      </w:r>
    </w:p>
    <w:p w:rsidR="00F423CA" w:rsidRDefault="004E2DCE">
      <w:pPr>
        <w:pStyle w:val="Bodycopy"/>
        <w:tabs>
          <w:tab w:val="left" w:pos="0"/>
          <w:tab w:val="left" w:pos="300"/>
          <w:tab w:val="left" w:pos="720"/>
          <w:tab w:val="right" w:leader="dot" w:pos="9000"/>
        </w:tabs>
        <w:spacing w:before="57" w:after="57"/>
        <w:ind w:right="51"/>
      </w:pPr>
      <w:r>
        <w:tab/>
        <w:t>3.3 Grant expense</w:t>
      </w:r>
      <w:r>
        <w:tab/>
        <w:t>114</w:t>
      </w:r>
    </w:p>
    <w:p w:rsidR="00F423CA" w:rsidRDefault="004E2DCE">
      <w:pPr>
        <w:pStyle w:val="Bodycopy"/>
        <w:tabs>
          <w:tab w:val="left" w:pos="0"/>
          <w:tab w:val="left" w:pos="300"/>
          <w:tab w:val="left" w:pos="720"/>
          <w:tab w:val="right" w:leader="dot" w:pos="9000"/>
        </w:tabs>
        <w:spacing w:before="57" w:after="57"/>
        <w:ind w:right="51"/>
      </w:pPr>
      <w:r>
        <w:tab/>
        <w:t>3.4 Capital asset charge</w:t>
      </w:r>
      <w:r>
        <w:tab/>
        <w:t>114</w:t>
      </w:r>
    </w:p>
    <w:p w:rsidR="00F423CA" w:rsidRDefault="004E2DCE">
      <w:pPr>
        <w:pStyle w:val="Bodycopy"/>
        <w:tabs>
          <w:tab w:val="left" w:pos="0"/>
          <w:tab w:val="left" w:pos="300"/>
          <w:tab w:val="left" w:pos="720"/>
          <w:tab w:val="right" w:leader="dot" w:pos="9000"/>
        </w:tabs>
        <w:spacing w:before="57"/>
        <w:ind w:right="51"/>
      </w:pPr>
      <w:r>
        <w:tab/>
        <w:t>3.5 Supplies and services</w:t>
      </w:r>
      <w:r>
        <w:tab/>
        <w:t>115</w:t>
      </w:r>
    </w:p>
    <w:p w:rsidR="00F423CA" w:rsidRDefault="004E2DCE">
      <w:pPr>
        <w:pStyle w:val="Bodycopy"/>
        <w:tabs>
          <w:tab w:val="left" w:pos="0"/>
          <w:tab w:val="left" w:pos="300"/>
          <w:tab w:val="left" w:pos="720"/>
          <w:tab w:val="right" w:leader="dot" w:pos="9000"/>
        </w:tabs>
        <w:spacing w:before="57" w:after="57"/>
        <w:ind w:right="51"/>
      </w:pPr>
      <w:r>
        <w:t>4</w:t>
      </w:r>
      <w:r>
        <w:tab/>
        <w:t>Disaggregated financial information by output</w:t>
      </w:r>
      <w:r>
        <w:tab/>
        <w:t>116</w:t>
      </w:r>
    </w:p>
    <w:p w:rsidR="00F423CA" w:rsidRDefault="004E2DCE">
      <w:pPr>
        <w:pStyle w:val="Bodycopy"/>
        <w:tabs>
          <w:tab w:val="left" w:pos="0"/>
          <w:tab w:val="left" w:pos="300"/>
          <w:tab w:val="left" w:pos="720"/>
          <w:tab w:val="right" w:leader="dot" w:pos="9000"/>
        </w:tabs>
        <w:spacing w:before="57" w:after="57"/>
        <w:ind w:right="51"/>
      </w:pPr>
      <w:r>
        <w:tab/>
        <w:t>4.1 Introduction</w:t>
      </w:r>
      <w:r>
        <w:tab/>
        <w:t>116</w:t>
      </w:r>
    </w:p>
    <w:p w:rsidR="00F423CA" w:rsidRDefault="004E2DCE">
      <w:pPr>
        <w:pStyle w:val="Bodycopy"/>
        <w:tabs>
          <w:tab w:val="left" w:pos="0"/>
          <w:tab w:val="left" w:pos="300"/>
          <w:tab w:val="left" w:pos="720"/>
          <w:tab w:val="right" w:leader="dot" w:pos="9000"/>
        </w:tabs>
        <w:spacing w:before="57" w:after="57"/>
        <w:ind w:right="51"/>
      </w:pPr>
      <w:r>
        <w:tab/>
        <w:t>4.2 Department outputs - descriptions and objectives</w:t>
      </w:r>
      <w:r>
        <w:tab/>
        <w:t>116</w:t>
      </w:r>
    </w:p>
    <w:p w:rsidR="00F423CA" w:rsidRDefault="004E2DCE">
      <w:pPr>
        <w:pStyle w:val="Bodycopy"/>
        <w:tabs>
          <w:tab w:val="left" w:pos="0"/>
          <w:tab w:val="left" w:pos="300"/>
          <w:tab w:val="left" w:pos="720"/>
          <w:tab w:val="right" w:leader="dot" w:pos="9000"/>
        </w:tabs>
        <w:spacing w:before="57" w:after="57"/>
        <w:ind w:right="51"/>
      </w:pPr>
      <w:r>
        <w:tab/>
        <w:t>4.3 Administered items</w:t>
      </w:r>
      <w:r>
        <w:tab/>
        <w:t>120</w:t>
      </w:r>
    </w:p>
    <w:p w:rsidR="00F423CA" w:rsidRDefault="004E2DCE">
      <w:pPr>
        <w:pStyle w:val="Bodycopy"/>
        <w:tabs>
          <w:tab w:val="left" w:pos="0"/>
          <w:tab w:val="left" w:pos="300"/>
          <w:tab w:val="left" w:pos="720"/>
          <w:tab w:val="right" w:leader="dot" w:pos="9000"/>
        </w:tabs>
        <w:spacing w:before="57" w:after="57"/>
        <w:ind w:right="51"/>
      </w:pPr>
      <w:r>
        <w:t>5</w:t>
      </w:r>
      <w:r>
        <w:tab/>
        <w:t>Key assets available to support output delivery</w:t>
      </w:r>
      <w:r>
        <w:tab/>
        <w:t>122</w:t>
      </w:r>
    </w:p>
    <w:p w:rsidR="00F423CA" w:rsidRDefault="004E2DCE">
      <w:pPr>
        <w:pStyle w:val="Bodycopy"/>
        <w:tabs>
          <w:tab w:val="left" w:pos="0"/>
          <w:tab w:val="left" w:pos="300"/>
          <w:tab w:val="left" w:pos="720"/>
          <w:tab w:val="right" w:leader="dot" w:pos="9000"/>
        </w:tabs>
        <w:spacing w:before="57" w:after="57"/>
        <w:ind w:right="51"/>
      </w:pPr>
      <w:r>
        <w:tab/>
        <w:t>5.1 Introduction</w:t>
      </w:r>
      <w:r>
        <w:tab/>
        <w:t>122</w:t>
      </w:r>
    </w:p>
    <w:p w:rsidR="00F423CA" w:rsidRDefault="004E2DCE">
      <w:pPr>
        <w:pStyle w:val="Bodycopy"/>
        <w:tabs>
          <w:tab w:val="left" w:pos="0"/>
          <w:tab w:val="left" w:pos="300"/>
          <w:tab w:val="left" w:pos="720"/>
          <w:tab w:val="right" w:leader="dot" w:pos="9000"/>
        </w:tabs>
        <w:spacing w:before="57" w:after="57"/>
        <w:ind w:right="51"/>
      </w:pPr>
      <w:r>
        <w:tab/>
        <w:t>5.2 Property, plant and equipment</w:t>
      </w:r>
      <w:r>
        <w:tab/>
        <w:t>122</w:t>
      </w:r>
    </w:p>
    <w:p w:rsidR="00F423CA" w:rsidRDefault="004E2DCE">
      <w:pPr>
        <w:pStyle w:val="Bodycopy"/>
        <w:tabs>
          <w:tab w:val="left" w:pos="0"/>
          <w:tab w:val="left" w:pos="300"/>
          <w:tab w:val="left" w:pos="720"/>
          <w:tab w:val="right" w:leader="dot" w:pos="9000"/>
        </w:tabs>
        <w:spacing w:before="57" w:after="57"/>
        <w:ind w:right="51"/>
      </w:pPr>
      <w:r>
        <w:tab/>
        <w:t>5.3 Intangible assets</w:t>
      </w:r>
      <w:r>
        <w:tab/>
        <w:t>126</w:t>
      </w:r>
    </w:p>
    <w:p w:rsidR="00F423CA" w:rsidRDefault="004E2DCE">
      <w:pPr>
        <w:pStyle w:val="Bodycopy"/>
        <w:tabs>
          <w:tab w:val="left" w:pos="0"/>
          <w:tab w:val="left" w:pos="300"/>
          <w:tab w:val="left" w:pos="720"/>
          <w:tab w:val="right" w:leader="dot" w:pos="9000"/>
        </w:tabs>
        <w:spacing w:before="57"/>
        <w:ind w:right="51"/>
      </w:pPr>
      <w:r>
        <w:tab/>
        <w:t>5.4 Investments and other financial assets</w:t>
      </w:r>
      <w:r>
        <w:tab/>
        <w:t>126</w:t>
      </w:r>
    </w:p>
    <w:p w:rsidR="00F423CA" w:rsidRDefault="004E2DCE">
      <w:pPr>
        <w:pStyle w:val="Bodycopy"/>
        <w:tabs>
          <w:tab w:val="left" w:pos="0"/>
          <w:tab w:val="left" w:pos="300"/>
          <w:tab w:val="left" w:pos="720"/>
          <w:tab w:val="right" w:leader="dot" w:pos="9000"/>
        </w:tabs>
        <w:spacing w:before="57" w:after="57"/>
        <w:ind w:right="51"/>
      </w:pPr>
      <w:r>
        <w:t>6</w:t>
      </w:r>
      <w:r>
        <w:tab/>
        <w:t>Other assets and liabilities</w:t>
      </w:r>
      <w:r>
        <w:tab/>
        <w:t>127</w:t>
      </w:r>
    </w:p>
    <w:p w:rsidR="00F423CA" w:rsidRDefault="004E2DCE">
      <w:pPr>
        <w:pStyle w:val="Bodycopy"/>
        <w:tabs>
          <w:tab w:val="left" w:pos="0"/>
          <w:tab w:val="left" w:pos="300"/>
          <w:tab w:val="left" w:pos="720"/>
          <w:tab w:val="right" w:leader="dot" w:pos="9000"/>
        </w:tabs>
        <w:spacing w:before="57" w:after="57"/>
        <w:ind w:right="51"/>
      </w:pPr>
      <w:r>
        <w:tab/>
        <w:t>6.1 Introduction</w:t>
      </w:r>
      <w:r>
        <w:tab/>
        <w:t>127</w:t>
      </w:r>
    </w:p>
    <w:p w:rsidR="00F423CA" w:rsidRDefault="004E2DCE">
      <w:pPr>
        <w:pStyle w:val="Bodycopy"/>
        <w:tabs>
          <w:tab w:val="left" w:pos="0"/>
          <w:tab w:val="left" w:pos="300"/>
          <w:tab w:val="left" w:pos="720"/>
          <w:tab w:val="right" w:leader="dot" w:pos="9000"/>
        </w:tabs>
        <w:spacing w:before="57" w:after="57"/>
        <w:ind w:right="51"/>
      </w:pPr>
      <w:r>
        <w:tab/>
        <w:t>6.2 Receivables</w:t>
      </w:r>
      <w:r>
        <w:tab/>
        <w:t>127</w:t>
      </w:r>
    </w:p>
    <w:p w:rsidR="00F423CA" w:rsidRDefault="004E2DCE">
      <w:pPr>
        <w:pStyle w:val="Bodycopy"/>
        <w:tabs>
          <w:tab w:val="left" w:pos="0"/>
          <w:tab w:val="left" w:pos="300"/>
          <w:tab w:val="left" w:pos="720"/>
          <w:tab w:val="right" w:leader="dot" w:pos="9000"/>
        </w:tabs>
        <w:spacing w:before="57"/>
        <w:ind w:right="51"/>
      </w:pPr>
      <w:r>
        <w:tab/>
        <w:t>6.3 Payables</w:t>
      </w:r>
      <w:r>
        <w:tab/>
        <w:t>128</w:t>
      </w:r>
    </w:p>
    <w:p w:rsidR="00F423CA" w:rsidRDefault="004E2DCE">
      <w:pPr>
        <w:pStyle w:val="Bodycopy"/>
        <w:tabs>
          <w:tab w:val="left" w:pos="0"/>
          <w:tab w:val="left" w:pos="300"/>
          <w:tab w:val="left" w:pos="720"/>
          <w:tab w:val="right" w:leader="dot" w:pos="9000"/>
        </w:tabs>
        <w:spacing w:before="57" w:after="57"/>
        <w:ind w:right="51"/>
      </w:pPr>
      <w:r>
        <w:t>7</w:t>
      </w:r>
      <w:r>
        <w:tab/>
        <w:t>Financing operations</w:t>
      </w:r>
      <w:r>
        <w:tab/>
        <w:t>129</w:t>
      </w:r>
    </w:p>
    <w:p w:rsidR="00F423CA" w:rsidRDefault="004E2DCE">
      <w:pPr>
        <w:pStyle w:val="Bodycopy"/>
        <w:tabs>
          <w:tab w:val="left" w:pos="0"/>
          <w:tab w:val="left" w:pos="300"/>
          <w:tab w:val="left" w:pos="720"/>
          <w:tab w:val="right" w:leader="dot" w:pos="9000"/>
        </w:tabs>
        <w:spacing w:after="57"/>
        <w:ind w:right="51"/>
      </w:pPr>
      <w:r>
        <w:tab/>
        <w:t>7.1 Introduction</w:t>
      </w:r>
      <w:r>
        <w:tab/>
        <w:t>129</w:t>
      </w:r>
    </w:p>
    <w:p w:rsidR="00F423CA" w:rsidRDefault="004E2DCE">
      <w:pPr>
        <w:pStyle w:val="Bodycopy"/>
        <w:tabs>
          <w:tab w:val="left" w:pos="0"/>
          <w:tab w:val="left" w:pos="300"/>
          <w:tab w:val="left" w:pos="720"/>
          <w:tab w:val="right" w:leader="dot" w:pos="9000"/>
        </w:tabs>
        <w:spacing w:before="57" w:after="57"/>
        <w:ind w:right="51"/>
      </w:pPr>
      <w:r>
        <w:lastRenderedPageBreak/>
        <w:tab/>
        <w:t>7.2 Borrowings (finance lease liabilities)</w:t>
      </w:r>
      <w:r>
        <w:tab/>
        <w:t>129</w:t>
      </w:r>
    </w:p>
    <w:p w:rsidR="00F423CA" w:rsidRDefault="004E2DCE">
      <w:pPr>
        <w:pStyle w:val="Bodycopy"/>
        <w:tabs>
          <w:tab w:val="left" w:pos="0"/>
          <w:tab w:val="left" w:pos="300"/>
          <w:tab w:val="left" w:pos="720"/>
          <w:tab w:val="right" w:leader="dot" w:pos="9000"/>
        </w:tabs>
        <w:spacing w:before="57" w:after="57"/>
        <w:ind w:right="51"/>
      </w:pPr>
      <w:r>
        <w:tab/>
        <w:t>7.3 Cash flow information and balances</w:t>
      </w:r>
      <w:r>
        <w:tab/>
        <w:t>131</w:t>
      </w:r>
    </w:p>
    <w:p w:rsidR="00F423CA" w:rsidRDefault="004E2DCE">
      <w:pPr>
        <w:pStyle w:val="Bodycopy"/>
        <w:tabs>
          <w:tab w:val="left" w:pos="0"/>
          <w:tab w:val="left" w:pos="300"/>
          <w:tab w:val="left" w:pos="720"/>
          <w:tab w:val="right" w:leader="dot" w:pos="9000"/>
        </w:tabs>
        <w:spacing w:before="57" w:after="57"/>
        <w:ind w:right="51"/>
      </w:pPr>
      <w:r>
        <w:tab/>
        <w:t>7.4 Trust account balances</w:t>
      </w:r>
      <w:r>
        <w:tab/>
        <w:t>132</w:t>
      </w:r>
    </w:p>
    <w:p w:rsidR="00F423CA" w:rsidRDefault="004E2DCE">
      <w:pPr>
        <w:pStyle w:val="Bodycopy"/>
        <w:tabs>
          <w:tab w:val="left" w:pos="0"/>
          <w:tab w:val="left" w:pos="300"/>
          <w:tab w:val="left" w:pos="720"/>
          <w:tab w:val="right" w:leader="dot" w:pos="9000"/>
        </w:tabs>
        <w:spacing w:before="57"/>
        <w:ind w:right="51"/>
      </w:pPr>
      <w:r>
        <w:tab/>
        <w:t>7.5 Commitments for expenditure</w:t>
      </w:r>
      <w:r>
        <w:tab/>
        <w:t>135</w:t>
      </w:r>
    </w:p>
    <w:p w:rsidR="00F423CA" w:rsidRDefault="004E2DCE">
      <w:pPr>
        <w:pStyle w:val="Bodycopy"/>
        <w:tabs>
          <w:tab w:val="left" w:pos="0"/>
          <w:tab w:val="left" w:pos="300"/>
          <w:tab w:val="left" w:pos="720"/>
          <w:tab w:val="right" w:leader="dot" w:pos="9000"/>
        </w:tabs>
        <w:spacing w:before="57" w:after="57"/>
        <w:ind w:right="51"/>
      </w:pPr>
      <w:r>
        <w:t>8</w:t>
      </w:r>
      <w:r>
        <w:tab/>
        <w:t>Risks, contingencies and valuation judgements</w:t>
      </w:r>
      <w:r>
        <w:tab/>
        <w:t>137</w:t>
      </w:r>
    </w:p>
    <w:p w:rsidR="00F423CA" w:rsidRDefault="004E2DCE">
      <w:pPr>
        <w:pStyle w:val="Bodycopy"/>
        <w:tabs>
          <w:tab w:val="left" w:pos="0"/>
          <w:tab w:val="left" w:pos="300"/>
          <w:tab w:val="left" w:pos="720"/>
          <w:tab w:val="right" w:leader="dot" w:pos="9000"/>
        </w:tabs>
        <w:spacing w:before="57" w:after="57"/>
        <w:ind w:right="51"/>
      </w:pPr>
      <w:r>
        <w:tab/>
        <w:t>8.1 Introduction</w:t>
      </w:r>
      <w:r>
        <w:tab/>
        <w:t>137</w:t>
      </w:r>
    </w:p>
    <w:p w:rsidR="00F423CA" w:rsidRDefault="004E2DCE">
      <w:pPr>
        <w:pStyle w:val="Bodycopy"/>
        <w:tabs>
          <w:tab w:val="left" w:pos="0"/>
          <w:tab w:val="left" w:pos="300"/>
          <w:tab w:val="left" w:pos="720"/>
          <w:tab w:val="right" w:leader="dot" w:pos="9000"/>
        </w:tabs>
        <w:spacing w:before="57" w:after="57"/>
        <w:ind w:right="51"/>
      </w:pPr>
      <w:r>
        <w:tab/>
        <w:t>8.2 Financial instruments specific disclosures</w:t>
      </w:r>
      <w:r>
        <w:tab/>
        <w:t>137</w:t>
      </w:r>
    </w:p>
    <w:p w:rsidR="00F423CA" w:rsidRDefault="004E2DCE">
      <w:pPr>
        <w:pStyle w:val="Bodycopy"/>
        <w:tabs>
          <w:tab w:val="left" w:pos="0"/>
          <w:tab w:val="left" w:pos="300"/>
          <w:tab w:val="left" w:pos="720"/>
          <w:tab w:val="right" w:leader="dot" w:pos="9000"/>
        </w:tabs>
        <w:spacing w:before="57" w:after="57"/>
        <w:ind w:right="51"/>
      </w:pPr>
      <w:r>
        <w:tab/>
        <w:t>8.3 Contingent assets and contingent liabilities</w:t>
      </w:r>
      <w:r>
        <w:tab/>
        <w:t>141</w:t>
      </w:r>
    </w:p>
    <w:p w:rsidR="00F423CA" w:rsidRDefault="004E2DCE">
      <w:pPr>
        <w:pStyle w:val="Bodycopy"/>
        <w:tabs>
          <w:tab w:val="left" w:pos="0"/>
          <w:tab w:val="left" w:pos="300"/>
          <w:tab w:val="left" w:pos="720"/>
          <w:tab w:val="right" w:leader="dot" w:pos="9000"/>
        </w:tabs>
        <w:spacing w:before="57"/>
        <w:ind w:right="51"/>
      </w:pPr>
      <w:r>
        <w:tab/>
        <w:t>8.4 Fair value determination</w:t>
      </w:r>
      <w:r>
        <w:tab/>
        <w:t>142</w:t>
      </w:r>
    </w:p>
    <w:p w:rsidR="00F423CA" w:rsidRDefault="004E2DCE">
      <w:pPr>
        <w:pStyle w:val="Bodycopy"/>
        <w:tabs>
          <w:tab w:val="left" w:pos="0"/>
          <w:tab w:val="left" w:pos="300"/>
          <w:tab w:val="left" w:pos="720"/>
          <w:tab w:val="right" w:leader="dot" w:pos="9000"/>
        </w:tabs>
        <w:spacing w:before="57" w:after="57"/>
        <w:ind w:right="51"/>
      </w:pPr>
      <w:r>
        <w:t>9</w:t>
      </w:r>
      <w:r>
        <w:tab/>
        <w:t>Other disclosures</w:t>
      </w:r>
      <w:r>
        <w:tab/>
        <w:t>145</w:t>
      </w:r>
    </w:p>
    <w:p w:rsidR="00F423CA" w:rsidRDefault="004E2DCE">
      <w:pPr>
        <w:pStyle w:val="Bodycopy"/>
        <w:tabs>
          <w:tab w:val="left" w:pos="0"/>
          <w:tab w:val="left" w:pos="300"/>
          <w:tab w:val="left" w:pos="720"/>
          <w:tab w:val="right" w:leader="dot" w:pos="9000"/>
        </w:tabs>
        <w:spacing w:after="57"/>
        <w:ind w:right="51"/>
      </w:pPr>
      <w:r>
        <w:tab/>
        <w:t>9.1 Introduction</w:t>
      </w:r>
      <w:r>
        <w:tab/>
        <w:t>145</w:t>
      </w:r>
    </w:p>
    <w:p w:rsidR="00F423CA" w:rsidRDefault="004E2DCE">
      <w:pPr>
        <w:pStyle w:val="Bodycopy"/>
        <w:tabs>
          <w:tab w:val="left" w:pos="0"/>
          <w:tab w:val="left" w:pos="300"/>
          <w:tab w:val="left" w:pos="720"/>
          <w:tab w:val="right" w:leader="dot" w:pos="9000"/>
        </w:tabs>
        <w:spacing w:before="57" w:after="57"/>
        <w:ind w:right="51"/>
      </w:pPr>
      <w:r>
        <w:tab/>
        <w:t>9.2 Ex-gratia expenses</w:t>
      </w:r>
      <w:r>
        <w:tab/>
        <w:t>145</w:t>
      </w:r>
    </w:p>
    <w:p w:rsidR="00F423CA" w:rsidRDefault="004E2DCE">
      <w:pPr>
        <w:pStyle w:val="Bodycopy"/>
        <w:tabs>
          <w:tab w:val="left" w:pos="0"/>
          <w:tab w:val="left" w:pos="300"/>
          <w:tab w:val="left" w:pos="720"/>
          <w:tab w:val="right" w:leader="dot" w:pos="9000"/>
        </w:tabs>
        <w:spacing w:before="57" w:after="57"/>
        <w:ind w:right="51"/>
      </w:pPr>
      <w:r>
        <w:tab/>
        <w:t>9.3 Other economic flows included in net result</w:t>
      </w:r>
      <w:r>
        <w:tab/>
        <w:t>145</w:t>
      </w:r>
    </w:p>
    <w:p w:rsidR="00F423CA" w:rsidRDefault="004E2DCE">
      <w:pPr>
        <w:pStyle w:val="Bodycopy"/>
        <w:tabs>
          <w:tab w:val="left" w:pos="0"/>
          <w:tab w:val="left" w:pos="300"/>
          <w:tab w:val="left" w:pos="720"/>
          <w:tab w:val="right" w:leader="dot" w:pos="9000"/>
        </w:tabs>
        <w:spacing w:before="57" w:after="57"/>
        <w:ind w:right="51"/>
      </w:pPr>
      <w:r>
        <w:tab/>
        <w:t>9.4 Physical asset revaluation surplus (</w:t>
      </w:r>
      <w:proofErr w:type="spellStart"/>
      <w:r>
        <w:t>i</w:t>
      </w:r>
      <w:proofErr w:type="spellEnd"/>
      <w:r>
        <w:t>)</w:t>
      </w:r>
      <w:r>
        <w:tab/>
        <w:t>146</w:t>
      </w:r>
    </w:p>
    <w:p w:rsidR="00F423CA" w:rsidRDefault="004E2DCE">
      <w:pPr>
        <w:pStyle w:val="Bodycopy"/>
        <w:tabs>
          <w:tab w:val="left" w:pos="0"/>
          <w:tab w:val="left" w:pos="300"/>
          <w:tab w:val="left" w:pos="720"/>
          <w:tab w:val="right" w:leader="dot" w:pos="9000"/>
        </w:tabs>
        <w:spacing w:before="57" w:after="57"/>
        <w:ind w:right="51"/>
      </w:pPr>
      <w:r>
        <w:tab/>
        <w:t>9.5 Responsible persons</w:t>
      </w:r>
      <w:r>
        <w:tab/>
        <w:t>146</w:t>
      </w:r>
    </w:p>
    <w:p w:rsidR="00F423CA" w:rsidRDefault="004E2DCE">
      <w:pPr>
        <w:pStyle w:val="Bodycopy"/>
        <w:tabs>
          <w:tab w:val="left" w:pos="0"/>
          <w:tab w:val="left" w:pos="300"/>
          <w:tab w:val="left" w:pos="720"/>
          <w:tab w:val="right" w:leader="dot" w:pos="9000"/>
        </w:tabs>
        <w:spacing w:before="57" w:after="57"/>
        <w:ind w:right="51"/>
      </w:pPr>
      <w:r>
        <w:tab/>
        <w:t>9.6 Remuneration of executives</w:t>
      </w:r>
      <w:r>
        <w:tab/>
        <w:t>148</w:t>
      </w:r>
    </w:p>
    <w:p w:rsidR="00F423CA" w:rsidRDefault="004E2DCE">
      <w:pPr>
        <w:pStyle w:val="Bodycopy"/>
        <w:tabs>
          <w:tab w:val="left" w:pos="0"/>
          <w:tab w:val="left" w:pos="300"/>
          <w:tab w:val="left" w:pos="720"/>
          <w:tab w:val="right" w:leader="dot" w:pos="9000"/>
        </w:tabs>
        <w:spacing w:before="57" w:after="57"/>
        <w:ind w:right="51"/>
      </w:pPr>
      <w:r>
        <w:tab/>
        <w:t>9.7 Related parties</w:t>
      </w:r>
      <w:r>
        <w:tab/>
        <w:t>148</w:t>
      </w:r>
    </w:p>
    <w:p w:rsidR="00F423CA" w:rsidRDefault="004E2DCE">
      <w:pPr>
        <w:pStyle w:val="Bodycopy"/>
        <w:tabs>
          <w:tab w:val="left" w:pos="0"/>
          <w:tab w:val="left" w:pos="300"/>
          <w:tab w:val="left" w:pos="720"/>
          <w:tab w:val="right" w:leader="dot" w:pos="9000"/>
        </w:tabs>
        <w:spacing w:before="57" w:after="57"/>
        <w:ind w:right="51"/>
      </w:pPr>
      <w:r>
        <w:tab/>
        <w:t>9.8 Remuneration of auditors</w:t>
      </w:r>
      <w:r>
        <w:tab/>
        <w:t>150</w:t>
      </w:r>
    </w:p>
    <w:p w:rsidR="00F423CA" w:rsidRDefault="004E2DCE">
      <w:pPr>
        <w:pStyle w:val="Bodycopy"/>
        <w:tabs>
          <w:tab w:val="left" w:pos="0"/>
          <w:tab w:val="left" w:pos="300"/>
          <w:tab w:val="left" w:pos="720"/>
          <w:tab w:val="right" w:leader="dot" w:pos="9000"/>
        </w:tabs>
        <w:spacing w:before="57" w:after="57"/>
        <w:ind w:right="51"/>
      </w:pPr>
      <w:r>
        <w:tab/>
        <w:t>9.9 Australian Accounting Standards issued that are not yet effective</w:t>
      </w:r>
      <w:r>
        <w:tab/>
        <w:t>150</w:t>
      </w:r>
    </w:p>
    <w:p w:rsidR="00F423CA" w:rsidRDefault="004E2DCE">
      <w:pPr>
        <w:pStyle w:val="Bodycopy"/>
        <w:tabs>
          <w:tab w:val="left" w:pos="0"/>
          <w:tab w:val="left" w:pos="300"/>
          <w:tab w:val="left" w:pos="720"/>
          <w:tab w:val="right" w:leader="dot" w:pos="9000"/>
        </w:tabs>
        <w:spacing w:before="57" w:after="57"/>
        <w:ind w:right="51"/>
      </w:pPr>
      <w:r>
        <w:tab/>
        <w:t>9.10 Glossary of technical terms</w:t>
      </w:r>
      <w:r>
        <w:tab/>
        <w:t>152</w:t>
      </w:r>
    </w:p>
    <w:p w:rsidR="00F423CA" w:rsidRDefault="004E2DCE">
      <w:pPr>
        <w:pStyle w:val="Bodycopy"/>
        <w:tabs>
          <w:tab w:val="left" w:pos="0"/>
          <w:tab w:val="left" w:pos="300"/>
          <w:tab w:val="left" w:pos="720"/>
          <w:tab w:val="right" w:leader="dot" w:pos="9000"/>
        </w:tabs>
        <w:spacing w:before="57" w:after="57"/>
        <w:ind w:right="51"/>
      </w:pPr>
      <w:r>
        <w:tab/>
        <w:t>9.11 Style conventions</w:t>
      </w:r>
      <w:r>
        <w:tab/>
        <w:t>155</w:t>
      </w:r>
    </w:p>
    <w:p w:rsidR="00F423CA" w:rsidRDefault="00F423CA">
      <w:pPr>
        <w:pStyle w:val="Bodycopy"/>
        <w:tabs>
          <w:tab w:val="left" w:pos="0"/>
          <w:tab w:val="left" w:pos="300"/>
          <w:tab w:val="left" w:pos="720"/>
          <w:tab w:val="right" w:leader="dot" w:pos="9000"/>
        </w:tabs>
        <w:spacing w:before="57" w:after="57"/>
        <w:ind w:right="51"/>
      </w:pPr>
    </w:p>
    <w:p w:rsidR="001415B5" w:rsidRDefault="001415B5">
      <w:pPr>
        <w:rPr>
          <w:rFonts w:ascii="Arial" w:hAnsi="Arial" w:cs="Arial"/>
          <w:b/>
          <w:bCs/>
          <w:color w:val="542E8E"/>
          <w:sz w:val="27"/>
          <w:szCs w:val="27"/>
          <w:lang w:val="en-GB"/>
        </w:rPr>
      </w:pPr>
      <w:r>
        <w:br w:type="page"/>
      </w:r>
    </w:p>
    <w:p w:rsidR="00F423CA" w:rsidP="001415B5" w:rsidRDefault="004E2DCE">
      <w:pPr>
        <w:pStyle w:val="H1"/>
      </w:pPr>
      <w:bookmarkStart w:id="3" w:name="_Toc525290061"/>
      <w:r>
        <w:lastRenderedPageBreak/>
        <w:t>Declaration in financial statements</w:t>
      </w:r>
      <w:bookmarkEnd w:id="3"/>
    </w:p>
    <w:p w:rsidR="00F423CA" w:rsidRDefault="004E2DCE">
      <w:pPr>
        <w:pStyle w:val="Bodycopy"/>
      </w:pPr>
      <w:r>
        <w:t xml:space="preserve">The attached financial statements for the Department of Justice and Regulation have been prepared in accordance with Direction 5.2 of the Standing Directions of the Minister for Finance under the </w:t>
      </w:r>
      <w:r>
        <w:rPr>
          <w:rStyle w:val="italic"/>
        </w:rPr>
        <w:t>Financial Management Act 1994</w:t>
      </w:r>
      <w:r>
        <w:t>, applicable Financial Reporting Directions, Australian Accounting Standards including Interpretations and other mandatory professional reporting requirements.</w:t>
      </w:r>
    </w:p>
    <w:p w:rsidR="00F423CA" w:rsidRDefault="004E2DCE">
      <w:pPr>
        <w:pStyle w:val="Bodycopy"/>
      </w:pPr>
      <w:r>
        <w:t>We further state that, in our opinion, the information set out in the comprehensive operating statement, balance sheet, cash flow statement, statement of changes in equity and notes forming part of the financial statements, presents fairly the financial transactions during the year ended 30 June 2018 and financial position of the department as at 30 June 2018.</w:t>
      </w:r>
    </w:p>
    <w:p w:rsidR="00F423CA" w:rsidRDefault="004E2DCE">
      <w:pPr>
        <w:pStyle w:val="Bodycopy"/>
      </w:pPr>
      <w:r>
        <w:t>At the time of signing, we are not aware of any circumstance which would render any particulars included in the financial statements to be misleading or inaccurate.</w:t>
      </w:r>
    </w:p>
    <w:p w:rsidR="00F423CA" w:rsidRDefault="004E2DCE">
      <w:pPr>
        <w:pStyle w:val="Bodycopy"/>
      </w:pPr>
      <w:r>
        <w:t>We authorise the attached financial statements for issue on 14 September 2018.</w:t>
      </w:r>
    </w:p>
    <w:p w:rsidR="00F423CA" w:rsidRDefault="00F423CA">
      <w:pPr>
        <w:pStyle w:val="Bodycopy"/>
      </w:pPr>
    </w:p>
    <w:p w:rsidR="00F423CA" w:rsidRDefault="004E2DCE">
      <w:pPr>
        <w:pStyle w:val="Bodycopy"/>
        <w:tabs>
          <w:tab w:val="left" w:pos="4400"/>
        </w:tabs>
        <w:spacing w:after="0"/>
        <w:rPr>
          <w:rStyle w:val="medium"/>
          <w:b/>
          <w:bCs/>
        </w:rPr>
      </w:pPr>
      <w:r>
        <w:rPr>
          <w:rStyle w:val="medium"/>
          <w:b/>
          <w:bCs/>
        </w:rPr>
        <w:t xml:space="preserve">Christopher </w:t>
      </w:r>
      <w:proofErr w:type="spellStart"/>
      <w:r>
        <w:rPr>
          <w:rStyle w:val="medium"/>
          <w:b/>
          <w:bCs/>
        </w:rPr>
        <w:t>Breitkreuz</w:t>
      </w:r>
      <w:proofErr w:type="spellEnd"/>
    </w:p>
    <w:p w:rsidR="00F423CA" w:rsidRDefault="004E2DCE">
      <w:pPr>
        <w:pStyle w:val="Bodycopy"/>
        <w:tabs>
          <w:tab w:val="left" w:pos="4400"/>
        </w:tabs>
        <w:spacing w:after="0"/>
      </w:pPr>
      <w:r>
        <w:t>Chief Finance Officer</w:t>
      </w:r>
    </w:p>
    <w:p w:rsidR="00F423CA" w:rsidRDefault="004E2DCE">
      <w:pPr>
        <w:pStyle w:val="Bodycopy"/>
        <w:tabs>
          <w:tab w:val="left" w:pos="4400"/>
        </w:tabs>
      </w:pPr>
      <w:r>
        <w:t>Department of Justice and Regulation</w:t>
      </w:r>
    </w:p>
    <w:p w:rsidR="00F423CA" w:rsidRDefault="004E2DCE">
      <w:pPr>
        <w:pStyle w:val="Bodycopy"/>
        <w:tabs>
          <w:tab w:val="left" w:pos="4400"/>
        </w:tabs>
        <w:spacing w:after="0"/>
      </w:pPr>
      <w:r>
        <w:t>Melbourne</w:t>
      </w:r>
    </w:p>
    <w:p w:rsidR="00F423CA" w:rsidRDefault="004E2DCE">
      <w:pPr>
        <w:pStyle w:val="Bodycopy"/>
        <w:tabs>
          <w:tab w:val="left" w:pos="4400"/>
        </w:tabs>
      </w:pPr>
      <w:r>
        <w:t>14 September 2018</w:t>
      </w:r>
    </w:p>
    <w:p w:rsidR="00F423CA" w:rsidRDefault="00F423CA">
      <w:pPr>
        <w:pStyle w:val="Bodycopy"/>
        <w:tabs>
          <w:tab w:val="left" w:pos="4400"/>
        </w:tabs>
      </w:pPr>
    </w:p>
    <w:p w:rsidR="00F423CA" w:rsidRDefault="004E2DCE">
      <w:pPr>
        <w:pStyle w:val="Bodycopy"/>
        <w:tabs>
          <w:tab w:val="left" w:pos="4400"/>
        </w:tabs>
        <w:spacing w:after="0"/>
        <w:rPr>
          <w:rStyle w:val="medium"/>
          <w:b/>
          <w:bCs/>
        </w:rPr>
      </w:pPr>
      <w:r>
        <w:rPr>
          <w:rStyle w:val="medium"/>
          <w:b/>
          <w:bCs/>
        </w:rPr>
        <w:t>Greg Wilson</w:t>
      </w:r>
    </w:p>
    <w:p w:rsidR="00F423CA" w:rsidRDefault="004E2DCE">
      <w:pPr>
        <w:pStyle w:val="Bodycopy"/>
        <w:tabs>
          <w:tab w:val="left" w:pos="4400"/>
        </w:tabs>
        <w:spacing w:after="0"/>
      </w:pPr>
      <w:r>
        <w:t>Secretary</w:t>
      </w:r>
    </w:p>
    <w:p w:rsidR="00F423CA" w:rsidRDefault="004E2DCE">
      <w:pPr>
        <w:pStyle w:val="Bodycopy"/>
        <w:tabs>
          <w:tab w:val="left" w:pos="4400"/>
        </w:tabs>
      </w:pPr>
      <w:r>
        <w:t>Department of Justice and Regulation</w:t>
      </w:r>
    </w:p>
    <w:p w:rsidR="00F423CA" w:rsidRDefault="004E2DCE">
      <w:pPr>
        <w:pStyle w:val="Bodycopy"/>
        <w:tabs>
          <w:tab w:val="left" w:pos="4400"/>
        </w:tabs>
        <w:spacing w:after="0"/>
      </w:pPr>
      <w:r>
        <w:t>Melbourne</w:t>
      </w:r>
    </w:p>
    <w:p w:rsidR="00F423CA" w:rsidRDefault="004E2DCE">
      <w:pPr>
        <w:pStyle w:val="Bodycopy"/>
        <w:tabs>
          <w:tab w:val="left" w:pos="4400"/>
        </w:tabs>
      </w:pPr>
      <w:r>
        <w:t>14 September 2018</w:t>
      </w:r>
    </w:p>
    <w:p w:rsidR="00F423CA" w:rsidRDefault="00F423CA">
      <w:pPr>
        <w:pStyle w:val="Bodycopy"/>
        <w:tabs>
          <w:tab w:val="left" w:pos="4400"/>
        </w:tabs>
      </w:pPr>
    </w:p>
    <w:p w:rsidR="001415B5" w:rsidRDefault="001415B5">
      <w:pPr>
        <w:rPr>
          <w:rFonts w:ascii="Arial" w:hAnsi="Arial" w:cs="Arial"/>
          <w:b/>
          <w:bCs/>
          <w:color w:val="542E8E"/>
          <w:sz w:val="27"/>
          <w:szCs w:val="27"/>
          <w:lang w:val="en-GB"/>
        </w:rPr>
      </w:pPr>
      <w:r>
        <w:br w:type="page"/>
      </w:r>
    </w:p>
    <w:p w:rsidRPr="001415B5" w:rsidR="00F423CA" w:rsidP="001415B5" w:rsidRDefault="004E2DCE">
      <w:pPr>
        <w:pStyle w:val="H1"/>
      </w:pPr>
      <w:bookmarkStart w:id="4" w:name="_Toc525290062"/>
      <w:r w:rsidRPr="001415B5">
        <w:lastRenderedPageBreak/>
        <w:t>VAGO</w:t>
      </w:r>
      <w:bookmarkEnd w:id="4"/>
    </w:p>
    <w:p w:rsidRPr="001415B5" w:rsidR="001415B5" w:rsidP="001415B5" w:rsidRDefault="001415B5">
      <w:pPr>
        <w:pStyle w:val="Bodycopy"/>
        <w:rPr>
          <w:b/>
        </w:rPr>
      </w:pPr>
      <w:r w:rsidRPr="001415B5">
        <w:rPr>
          <w:b/>
        </w:rPr>
        <w:t>Independent Auditor’s Report</w:t>
      </w:r>
    </w:p>
    <w:p w:rsidRPr="001415B5" w:rsidR="001415B5" w:rsidP="001415B5" w:rsidRDefault="001415B5">
      <w:pPr>
        <w:pStyle w:val="Bodycopy"/>
      </w:pPr>
      <w:r w:rsidRPr="001415B5">
        <w:t>To the Secretary of the Department of Justice and Regulation</w:t>
      </w:r>
    </w:p>
    <w:p w:rsidRPr="001415B5" w:rsidR="001415B5" w:rsidP="001415B5" w:rsidRDefault="001415B5">
      <w:pPr>
        <w:pStyle w:val="Bodycopy"/>
        <w:rPr>
          <w:b/>
        </w:rPr>
      </w:pPr>
      <w:r w:rsidRPr="001415B5">
        <w:rPr>
          <w:b/>
        </w:rPr>
        <w:t>Opinion</w:t>
      </w:r>
    </w:p>
    <w:p w:rsidRPr="001415B5" w:rsidR="001415B5" w:rsidP="001415B5" w:rsidRDefault="001415B5">
      <w:pPr>
        <w:pStyle w:val="Bodycopy"/>
      </w:pPr>
      <w:r w:rsidRPr="001415B5">
        <w:t>I have audited the financial report of the Department of Justice and Regulation (the department) which comprises the:</w:t>
      </w:r>
    </w:p>
    <w:p w:rsidRPr="001415B5" w:rsidR="001415B5" w:rsidP="001415B5" w:rsidRDefault="001415B5">
      <w:pPr>
        <w:pStyle w:val="BodycopyBullet"/>
      </w:pPr>
      <w:r w:rsidRPr="001415B5">
        <w:t>balance sheet as at 30 June 2018</w:t>
      </w:r>
    </w:p>
    <w:p w:rsidRPr="001415B5" w:rsidR="001415B5" w:rsidP="001415B5" w:rsidRDefault="001415B5">
      <w:pPr>
        <w:pStyle w:val="BodycopyBullet"/>
      </w:pPr>
      <w:r w:rsidRPr="001415B5">
        <w:t>comprehensive operating statement for the year then ended</w:t>
      </w:r>
    </w:p>
    <w:p w:rsidRPr="001415B5" w:rsidR="001415B5" w:rsidP="001415B5" w:rsidRDefault="001415B5">
      <w:pPr>
        <w:pStyle w:val="BodycopyBullet"/>
      </w:pPr>
      <w:r w:rsidRPr="001415B5">
        <w:t>cash flow statement for the year then ended</w:t>
      </w:r>
    </w:p>
    <w:p w:rsidRPr="001415B5" w:rsidR="001415B5" w:rsidP="001415B5" w:rsidRDefault="001415B5">
      <w:pPr>
        <w:pStyle w:val="BodycopyBullet"/>
      </w:pPr>
      <w:r w:rsidRPr="001415B5">
        <w:t>statement of changes in equity for the year then ended</w:t>
      </w:r>
    </w:p>
    <w:p w:rsidRPr="001415B5" w:rsidR="001415B5" w:rsidP="001415B5" w:rsidRDefault="001415B5">
      <w:pPr>
        <w:pStyle w:val="BodycopyBullet"/>
      </w:pPr>
      <w:r w:rsidRPr="001415B5">
        <w:t>notes to the financial statements, including significant accounting policies</w:t>
      </w:r>
    </w:p>
    <w:p w:rsidRPr="001415B5" w:rsidR="001415B5" w:rsidP="001415B5" w:rsidRDefault="001415B5">
      <w:pPr>
        <w:pStyle w:val="BodycopyBulletspaceunder"/>
      </w:pPr>
      <w:r w:rsidRPr="001415B5">
        <w:t>declaration in financial statements.</w:t>
      </w:r>
    </w:p>
    <w:p w:rsidRPr="001415B5" w:rsidR="001415B5" w:rsidP="001415B5" w:rsidRDefault="001415B5">
      <w:pPr>
        <w:pStyle w:val="Bodycopy"/>
      </w:pPr>
      <w:r w:rsidRPr="001415B5">
        <w:t>In my opinion the financial report presents fairly, in all material respects, the financial position of the department as at 30 June 2018 and their financial performance and cash flows for the year then ended in accordance with the financial reporting requirements of Part 7 of the Financial Management Act 1994 and applicable Australian Accounting Standards.</w:t>
      </w:r>
    </w:p>
    <w:p w:rsidRPr="001415B5" w:rsidR="001415B5" w:rsidP="001415B5" w:rsidRDefault="001415B5">
      <w:pPr>
        <w:pStyle w:val="Bodycopy"/>
        <w:rPr>
          <w:b/>
        </w:rPr>
      </w:pPr>
      <w:r w:rsidRPr="001415B5">
        <w:rPr>
          <w:b/>
        </w:rPr>
        <w:t>Basis for Opinion</w:t>
      </w:r>
    </w:p>
    <w:p w:rsidRPr="001415B5" w:rsidR="001415B5" w:rsidP="001415B5" w:rsidRDefault="001415B5">
      <w:pPr>
        <w:pStyle w:val="Bodycopy"/>
      </w:pPr>
      <w:r w:rsidRPr="001415B5">
        <w:t>I have conducted my audit in accordance with the Audit Act 1994 which incorporates the Australian Auditing Standards. I further describe my responsibilities under that Act and those standards in the Auditor’s Responsibilities for the Audit of the Financial Report section of my report.</w:t>
      </w:r>
    </w:p>
    <w:p w:rsidRPr="001415B5" w:rsidR="001415B5" w:rsidP="001415B5" w:rsidRDefault="001415B5">
      <w:pPr>
        <w:pStyle w:val="Bodycopy"/>
      </w:pPr>
      <w:r w:rsidRPr="001415B5">
        <w:t>My independence is established by the Constitution Act 1975. My staff and I are</w:t>
      </w:r>
    </w:p>
    <w:p w:rsidRPr="001415B5" w:rsidR="001415B5" w:rsidP="001415B5" w:rsidRDefault="001415B5">
      <w:pPr>
        <w:pStyle w:val="Bodycopy"/>
      </w:pPr>
      <w:r w:rsidRPr="001415B5">
        <w:t>independent of the department in accordance with the ethical requirements of the Accounting Professional and Ethical Standards Board’s APES 110 Code of Ethics for Professional Accountants (the Code) that are relevant to my audit of the financial report in Victoria. My staff and I have also fulfilled our other ethical responsibilities in accordance with the Code.</w:t>
      </w:r>
    </w:p>
    <w:p w:rsidRPr="001415B5" w:rsidR="001415B5" w:rsidP="001415B5" w:rsidRDefault="001415B5">
      <w:pPr>
        <w:pStyle w:val="Bodycopy"/>
      </w:pPr>
      <w:r w:rsidRPr="001415B5">
        <w:t xml:space="preserve">I believe that the audit evidence I have obtained is sufficient and appropriate to provide a basis for my opinion. </w:t>
      </w:r>
    </w:p>
    <w:p w:rsidRPr="001415B5" w:rsidR="001415B5" w:rsidP="001415B5" w:rsidRDefault="001415B5">
      <w:pPr>
        <w:pStyle w:val="Bodycopy"/>
        <w:rPr>
          <w:b/>
        </w:rPr>
      </w:pPr>
      <w:r w:rsidRPr="001415B5">
        <w:rPr>
          <w:b/>
        </w:rPr>
        <w:t>Secretary’s responsibilities for the financial report</w:t>
      </w:r>
    </w:p>
    <w:p w:rsidRPr="001415B5" w:rsidR="00F423CA" w:rsidP="001415B5" w:rsidRDefault="001415B5">
      <w:pPr>
        <w:pStyle w:val="Bodycopy"/>
      </w:pPr>
      <w:r w:rsidRPr="001415B5">
        <w:t>The Secretary of the department is responsible for the preparation and fair presentation of the financial report in accordance with Australian Accounting Standards and the Financial Management Act 1994, and for such internal control as the Secretary determines is necessary to enable the preparation and fair presentation of a financial report that is free from material misstatement, whether due to fraud or error. In preparing the financial report, the Secretary is responsible for assessing the department’s ability to continue as a going concern, disclosing, as applicable, matters related to going concern and using the going concern basis of accounting unless it is inappropriate to do so.</w:t>
      </w:r>
    </w:p>
    <w:p w:rsidRPr="001415B5" w:rsidR="001415B5" w:rsidP="001415B5" w:rsidRDefault="001415B5">
      <w:pPr>
        <w:pStyle w:val="Bodycopy"/>
        <w:rPr>
          <w:b/>
        </w:rPr>
      </w:pPr>
      <w:r w:rsidRPr="001415B5">
        <w:rPr>
          <w:b/>
        </w:rPr>
        <w:t>Auditor’s responsibilities for the audit of the financial report</w:t>
      </w:r>
    </w:p>
    <w:p w:rsidR="001415B5" w:rsidP="001415B5" w:rsidRDefault="001415B5">
      <w:pPr>
        <w:pStyle w:val="Bodycopy"/>
      </w:pPr>
      <w:r>
        <w:t xml:space="preserve">As required by the Audit Act 1994, my responsibility is to express an opinion on the financial report based on the audit. My objectives for the audit are to obtain reasonable assurance about whether the financial report as a whole is free from material misstatement, whether due to fraud or error, and to issue an auditor’s report that includes my opinion. Reasonable assurance is a high level of </w:t>
      </w:r>
      <w:proofErr w:type="gramStart"/>
      <w:r>
        <w:t>assurance, but</w:t>
      </w:r>
      <w:proofErr w:type="gramEnd"/>
      <w:r>
        <w:t xml:space="preserve">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w:t>
      </w:r>
    </w:p>
    <w:p w:rsidR="001415B5" w:rsidP="001415B5" w:rsidRDefault="001415B5">
      <w:pPr>
        <w:pStyle w:val="Bodycopy"/>
      </w:pPr>
      <w:r>
        <w:t>to influence the economic decisions of users taken on the basis of this financial report. As part of an audit in accordance with the Australian Auditing Standards, I exercise professional judgement and maintain professional scepticism throughout the audit. I also:</w:t>
      </w:r>
    </w:p>
    <w:p w:rsidRPr="001415B5" w:rsidR="001415B5" w:rsidP="001415B5" w:rsidRDefault="001415B5">
      <w:pPr>
        <w:pStyle w:val="BodycopyBullet"/>
      </w:pPr>
      <w:r w:rsidRPr="001415B5">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Pr="001415B5" w:rsidR="001415B5" w:rsidP="001415B5" w:rsidRDefault="001415B5">
      <w:pPr>
        <w:pStyle w:val="BodycopyBullet"/>
      </w:pPr>
      <w:r w:rsidRPr="001415B5">
        <w:t>obtain an understanding of internal control relevant to the audit in order to design audit procedures that are appropriate in the circumstances, but not for the purpose of expressing an opinion on the effectiveness of the department’s internal control</w:t>
      </w:r>
    </w:p>
    <w:p w:rsidRPr="001415B5" w:rsidR="001415B5" w:rsidP="001415B5" w:rsidRDefault="001415B5">
      <w:pPr>
        <w:pStyle w:val="BodycopyBullet"/>
      </w:pPr>
      <w:r w:rsidRPr="001415B5">
        <w:t>evaluate the appropriateness of accounting policies used and the reasonableness of accounting estimates and related disclosures made by the Secretary</w:t>
      </w:r>
    </w:p>
    <w:p w:rsidRPr="001415B5" w:rsidR="001415B5" w:rsidP="001415B5" w:rsidRDefault="001415B5">
      <w:pPr>
        <w:pStyle w:val="BodycopyBullet"/>
      </w:pPr>
      <w:r w:rsidRPr="001415B5">
        <w:t xml:space="preserve">conclude on the appropriateness of the Secretary’s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w:t>
      </w:r>
      <w:proofErr w:type="spellStart"/>
      <w:r w:rsidRPr="001415B5">
        <w:t>thedepartment</w:t>
      </w:r>
      <w:proofErr w:type="spellEnd"/>
      <w:r w:rsidRPr="001415B5">
        <w:t xml:space="preserve"> to cease to continue as a going concern.</w:t>
      </w:r>
    </w:p>
    <w:p w:rsidRPr="001415B5" w:rsidR="001415B5" w:rsidP="001415B5" w:rsidRDefault="001415B5">
      <w:pPr>
        <w:pStyle w:val="BodycopyBulletspaceunder"/>
      </w:pPr>
      <w:r w:rsidRPr="001415B5">
        <w:t>evaluate the overall presentation, structure and content of the financial report,</w:t>
      </w:r>
    </w:p>
    <w:p w:rsidR="001415B5" w:rsidP="001415B5" w:rsidRDefault="001415B5">
      <w:pPr>
        <w:pStyle w:val="Bodycopy"/>
      </w:pPr>
      <w:r>
        <w:t>including the disclosures, and whether the financial report represents the underlying transactions and events in a manner that achieves fair presentation.</w:t>
      </w:r>
    </w:p>
    <w:p w:rsidR="001415B5" w:rsidP="001415B5" w:rsidRDefault="001415B5">
      <w:pPr>
        <w:pStyle w:val="Bodycopy"/>
      </w:pPr>
      <w:r>
        <w:lastRenderedPageBreak/>
        <w:t>I communicate with the Secretary regarding, among other matters, the planned scope and timing of the audit and significant audit findings, including any significant deficiencies in internal control that I identify during my audit</w:t>
      </w:r>
    </w:p>
    <w:p w:rsidR="001415B5" w:rsidP="001415B5" w:rsidRDefault="001415B5">
      <w:pPr>
        <w:pStyle w:val="Bodycopy"/>
      </w:pPr>
    </w:p>
    <w:p w:rsidR="001415B5" w:rsidP="001415B5" w:rsidRDefault="001415B5">
      <w:pPr>
        <w:pStyle w:val="Bodycopy"/>
      </w:pPr>
      <w:r>
        <w:t>MELBOURNE</w:t>
      </w:r>
      <w:r>
        <w:br/>
        <w:t>17 September 2018</w:t>
      </w:r>
    </w:p>
    <w:p w:rsidR="001415B5" w:rsidP="001415B5" w:rsidRDefault="001415B5">
      <w:pPr>
        <w:pStyle w:val="Bodycopy"/>
      </w:pPr>
    </w:p>
    <w:p w:rsidRPr="001415B5" w:rsidR="00F423CA" w:rsidP="001415B5" w:rsidRDefault="001415B5">
      <w:pPr>
        <w:pStyle w:val="Bodycopy"/>
      </w:pPr>
      <w:r>
        <w:t>Andrew Greaves</w:t>
      </w:r>
      <w:r>
        <w:br/>
        <w:t>Auditor-General</w:t>
      </w:r>
    </w:p>
    <w:p w:rsidRPr="001415B5" w:rsidR="00F423CA" w:rsidP="001415B5" w:rsidRDefault="00F423CA">
      <w:pPr>
        <w:pStyle w:val="Bodycopy"/>
      </w:pPr>
    </w:p>
    <w:p w:rsidR="001415B5" w:rsidRDefault="001415B5">
      <w:pPr>
        <w:rPr>
          <w:rFonts w:ascii="Arial" w:hAnsi="Arial" w:cs="Arial"/>
          <w:b/>
          <w:bCs/>
          <w:color w:val="542E8E"/>
          <w:sz w:val="27"/>
          <w:szCs w:val="27"/>
          <w:lang w:val="en-GB"/>
        </w:rPr>
      </w:pPr>
      <w:r>
        <w:br w:type="page"/>
      </w:r>
    </w:p>
    <w:p w:rsidR="00F423CA" w:rsidP="00A044F4" w:rsidRDefault="004E2DCE">
      <w:pPr>
        <w:pStyle w:val="H1"/>
      </w:pPr>
      <w:bookmarkStart w:id="5" w:name="_Toc525290063"/>
      <w:r>
        <w:lastRenderedPageBreak/>
        <w:t>Comprehensive operating statement</w:t>
      </w:r>
      <w:bookmarkEnd w:id="5"/>
    </w:p>
    <w:p w:rsidR="00F423CA" w:rsidRDefault="004E2DCE">
      <w:pPr>
        <w:pStyle w:val="Bodycopy"/>
        <w:rPr>
          <w:rStyle w:val="medium"/>
          <w:b/>
          <w:bCs/>
        </w:rPr>
      </w:pPr>
      <w:r>
        <w:rPr>
          <w:rStyle w:val="medium"/>
          <w:b/>
          <w:bCs/>
        </w:rPr>
        <w:t>For the financial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283"/>
        <w:gridCol w:w="5386"/>
        <w:gridCol w:w="567"/>
        <w:gridCol w:w="1418"/>
        <w:gridCol w:w="1417"/>
      </w:tblGrid>
      <w:tr w:rsidRPr="00A044F4" w:rsidR="00F423CA" w:rsidTr="00A044F4">
        <w:trPr>
          <w:trHeight w:val="113"/>
          <w:tblHeader/>
        </w:trPr>
        <w:tc>
          <w:tcPr>
            <w:tcW w:w="7654" w:type="dxa"/>
            <w:gridSpan w:val="4"/>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 thousand)</w:t>
            </w:r>
          </w:p>
        </w:tc>
      </w:tr>
      <w:tr w:rsidRPr="00A044F4" w:rsidR="00F423CA" w:rsidTr="00A044F4">
        <w:trPr>
          <w:trHeight w:val="113"/>
          <w:tblHeader/>
        </w:trPr>
        <w:tc>
          <w:tcPr>
            <w:tcW w:w="28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6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center"/>
            </w:pPr>
            <w:r w:rsidRPr="00A044F4">
              <w:rPr>
                <w:rStyle w:val="medium"/>
                <w:b/>
                <w:bCs/>
                <w:color w:val="542E8E"/>
              </w:rPr>
              <w:t>Note</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2017</w:t>
            </w:r>
          </w:p>
        </w:tc>
      </w:tr>
      <w:tr w:rsidRPr="00A044F4" w:rsidR="00F423CA" w:rsidTr="00A044F4">
        <w:trPr>
          <w:trHeight w:val="113"/>
        </w:trPr>
        <w:tc>
          <w:tcPr>
            <w:tcW w:w="9071" w:type="dxa"/>
            <w:gridSpan w:val="5"/>
            <w:tcBorders>
              <w:top w:val="single" w:color="000000" w:sz="8"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Income from transactions</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Output appropriations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2.2</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6,837,010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6,053,549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Special appropriations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2.3</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654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1,188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Interest income</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2.4</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27,608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29,284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Grant income</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2.5</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21,308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19,222 </w:t>
            </w:r>
          </w:p>
        </w:tc>
      </w:tr>
      <w:tr w:rsidRPr="00A044F4" w:rsidR="00F423CA" w:rsidTr="00A044F4">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Other income</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2.6</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70,587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63,217 </w:t>
            </w:r>
          </w:p>
        </w:tc>
      </w:tr>
      <w:tr w:rsidRPr="00A044F4" w:rsidR="00F423CA" w:rsidTr="00A044F4">
        <w:trPr>
          <w:trHeight w:val="113"/>
        </w:trPr>
        <w:tc>
          <w:tcPr>
            <w:tcW w:w="56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income from transactions</w:t>
            </w:r>
          </w:p>
        </w:tc>
        <w:tc>
          <w:tcPr>
            <w:tcW w:w="56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6,957,167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6,166,460 </w:t>
            </w:r>
          </w:p>
        </w:tc>
      </w:tr>
      <w:tr w:rsidRPr="00A044F4" w:rsidR="00F423CA" w:rsidTr="00A044F4">
        <w:trPr>
          <w:trHeight w:val="113"/>
        </w:trPr>
        <w:tc>
          <w:tcPr>
            <w:tcW w:w="5669" w:type="dxa"/>
            <w:gridSpan w:val="2"/>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Expenses from transactions</w:t>
            </w:r>
          </w:p>
        </w:tc>
        <w:tc>
          <w:tcPr>
            <w:tcW w:w="567"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Employee benefit expense</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3.2.1</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(961,331)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(803,366)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Depreciation</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5.2.1</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(118,593)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(97,093)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Interest expense</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7.2</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(50,676)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(20,229)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Grant expense</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3.3</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(4,634,117)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(4,243,809)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Capital asset charge</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3.4</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(169,878)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(151,608) </w:t>
            </w:r>
          </w:p>
        </w:tc>
      </w:tr>
      <w:tr w:rsidRPr="00A044F4" w:rsidR="00F423CA" w:rsidTr="00A044F4">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Supplies and services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3.5</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(1,003,109)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(844,894) </w:t>
            </w:r>
          </w:p>
        </w:tc>
      </w:tr>
      <w:tr w:rsidRPr="00A044F4" w:rsidR="00F423CA" w:rsidTr="00A044F4">
        <w:trPr>
          <w:trHeight w:val="113"/>
        </w:trPr>
        <w:tc>
          <w:tcPr>
            <w:tcW w:w="56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expenses from transactions</w:t>
            </w:r>
          </w:p>
        </w:tc>
        <w:tc>
          <w:tcPr>
            <w:tcW w:w="56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(6,937,704)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(6,160,999) </w:t>
            </w:r>
          </w:p>
        </w:tc>
      </w:tr>
      <w:tr w:rsidRPr="00A044F4" w:rsidR="00F423CA" w:rsidTr="00A044F4">
        <w:trPr>
          <w:trHeight w:val="113"/>
        </w:trPr>
        <w:tc>
          <w:tcPr>
            <w:tcW w:w="5669" w:type="dxa"/>
            <w:gridSpan w:val="2"/>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result from transactions (net operating balance)</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19,463 </w:t>
            </w: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5,461 </w:t>
            </w:r>
          </w:p>
        </w:tc>
      </w:tr>
      <w:tr w:rsidRPr="00A044F4" w:rsidR="00F423CA" w:rsidTr="00A044F4">
        <w:trPr>
          <w:trHeight w:val="113"/>
        </w:trPr>
        <w:tc>
          <w:tcPr>
            <w:tcW w:w="9071" w:type="dxa"/>
            <w:gridSpan w:val="5"/>
            <w:tcBorders>
              <w:top w:val="single" w:color="000000" w:sz="12"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Other economic flows included in net result</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Net gain/(loss) on non-financial assets</w:t>
            </w:r>
            <w:r w:rsidRPr="00A044F4">
              <w:rPr>
                <w:rStyle w:val="Superscript"/>
              </w:rPr>
              <w:t xml:space="preserve"> (</w:t>
            </w:r>
            <w:proofErr w:type="spellStart"/>
            <w:r w:rsidRPr="00A044F4">
              <w:rPr>
                <w:rStyle w:val="Superscript"/>
              </w:rPr>
              <w:t>i</w:t>
            </w:r>
            <w:proofErr w:type="spellEnd"/>
            <w:r w:rsidRPr="00A044F4">
              <w:rPr>
                <w:rStyle w:val="Superscript"/>
              </w:rPr>
              <w: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9.3</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1,956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935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Net gain/(loss) on financial instruments</w:t>
            </w:r>
            <w:r w:rsidRPr="00A044F4">
              <w:rPr>
                <w:rStyle w:val="Superscript"/>
              </w:rPr>
              <w:t xml:space="preserve"> (ii)</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9.3</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6,006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(6,341) </w:t>
            </w:r>
          </w:p>
        </w:tc>
      </w:tr>
      <w:tr w:rsidRPr="00A044F4" w:rsidR="00F423CA" w:rsidTr="00A044F4">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Other gains/(losses) from other economic flows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9.3</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2,399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(1,598) </w:t>
            </w:r>
          </w:p>
        </w:tc>
      </w:tr>
      <w:tr w:rsidRPr="00A044F4" w:rsidR="00F423CA" w:rsidTr="00A044F4">
        <w:trPr>
          <w:trHeight w:val="113"/>
        </w:trPr>
        <w:tc>
          <w:tcPr>
            <w:tcW w:w="5669" w:type="dxa"/>
            <w:gridSpan w:val="2"/>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other economic flows included in net result</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10,361 </w:t>
            </w: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(7,004) </w:t>
            </w:r>
          </w:p>
        </w:tc>
      </w:tr>
      <w:tr w:rsidRPr="00A044F4" w:rsidR="00F423CA" w:rsidTr="00A044F4">
        <w:trPr>
          <w:trHeight w:val="113"/>
        </w:trPr>
        <w:tc>
          <w:tcPr>
            <w:tcW w:w="5669" w:type="dxa"/>
            <w:gridSpan w:val="2"/>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result</w:t>
            </w:r>
          </w:p>
        </w:tc>
        <w:tc>
          <w:tcPr>
            <w:tcW w:w="56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29,824 </w:t>
            </w:r>
          </w:p>
        </w:tc>
        <w:tc>
          <w:tcPr>
            <w:tcW w:w="141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(1,543) </w:t>
            </w:r>
          </w:p>
        </w:tc>
      </w:tr>
      <w:tr w:rsidRPr="00A044F4" w:rsidR="00F423CA" w:rsidTr="00A044F4">
        <w:trPr>
          <w:trHeight w:val="113"/>
        </w:trPr>
        <w:tc>
          <w:tcPr>
            <w:tcW w:w="9071" w:type="dxa"/>
            <w:gridSpan w:val="5"/>
            <w:tcBorders>
              <w:top w:val="single" w:color="000000" w:sz="12"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Other economic flows - other comprehensive income</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Items that will not be reclassified to net result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r>
      <w:tr w:rsidRPr="00A044F4" w:rsidR="00F423CA" w:rsidTr="00A044F4">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Changes in physical asset revaluation surplus</w:t>
            </w:r>
            <w:r w:rsidRPr="00A044F4">
              <w:rPr>
                <w:rStyle w:val="Superscript"/>
              </w:rPr>
              <w:t xml:space="preserve"> (iii)</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9.4</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(48,984)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45,301 </w:t>
            </w:r>
          </w:p>
        </w:tc>
      </w:tr>
      <w:tr w:rsidRPr="00A044F4" w:rsidR="00F423CA" w:rsidTr="00A044F4">
        <w:trPr>
          <w:trHeight w:val="113"/>
        </w:trPr>
        <w:tc>
          <w:tcPr>
            <w:tcW w:w="5669" w:type="dxa"/>
            <w:gridSpan w:val="2"/>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other economic flows - other comprehensive income</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(48,984) </w:t>
            </w: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45,301 </w:t>
            </w:r>
          </w:p>
        </w:tc>
      </w:tr>
      <w:tr w:rsidRPr="00A044F4" w:rsidR="00F423CA" w:rsidTr="00A044F4">
        <w:trPr>
          <w:trHeight w:val="113"/>
        </w:trPr>
        <w:tc>
          <w:tcPr>
            <w:tcW w:w="5669" w:type="dxa"/>
            <w:gridSpan w:val="2"/>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Comprehensive result</w:t>
            </w:r>
          </w:p>
        </w:tc>
        <w:tc>
          <w:tcPr>
            <w:tcW w:w="56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(19,160) </w:t>
            </w:r>
          </w:p>
        </w:tc>
        <w:tc>
          <w:tcPr>
            <w:tcW w:w="141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43,758 </w:t>
            </w:r>
          </w:p>
        </w:tc>
      </w:tr>
      <w:tr w:rsidRPr="00A044F4" w:rsidR="00F423CA" w:rsidTr="00A044F4">
        <w:trPr>
          <w:trHeight w:val="113"/>
        </w:trPr>
        <w:tc>
          <w:tcPr>
            <w:tcW w:w="9071" w:type="dxa"/>
            <w:gridSpan w:val="5"/>
            <w:tcBorders>
              <w:top w:val="single" w:color="000000" w:sz="12" w:space="0"/>
              <w:left w:val="nil"/>
              <w:bottom w:val="nil"/>
              <w:right w:val="nil"/>
            </w:tcBorders>
            <w:tcMar>
              <w:top w:w="57" w:type="dxa"/>
              <w:left w:w="57" w:type="dxa"/>
              <w:bottom w:w="57" w:type="dxa"/>
              <w:right w:w="57" w:type="dxa"/>
            </w:tcMar>
            <w:vAlign w:val="bottom"/>
          </w:tcPr>
          <w:p w:rsidRPr="00A044F4" w:rsidR="00F423CA" w:rsidP="00A044F4" w:rsidRDefault="004E2DCE">
            <w:pPr>
              <w:pStyle w:val="notestable"/>
            </w:pPr>
            <w:r w:rsidRPr="00A044F4">
              <w:t>(</w:t>
            </w:r>
            <w:proofErr w:type="spellStart"/>
            <w:r w:rsidRPr="00A044F4">
              <w:t>i</w:t>
            </w:r>
            <w:proofErr w:type="spellEnd"/>
            <w:r w:rsidRPr="00A044F4">
              <w:t>) Includes gains/(losses) from impairments and disposals of property, plant and equipment and intangible assets.</w:t>
            </w:r>
          </w:p>
          <w:p w:rsidRPr="00A044F4" w:rsidR="00F423CA" w:rsidP="00A044F4" w:rsidRDefault="004E2DCE">
            <w:pPr>
              <w:pStyle w:val="notestable"/>
            </w:pPr>
            <w:r w:rsidRPr="00A044F4">
              <w:t>(ii) Includes bad and doubtful debts from other economic flows, and gains/(losses) from investments.</w:t>
            </w:r>
          </w:p>
          <w:p w:rsidRPr="00A044F4" w:rsidR="00F423CA" w:rsidP="00A044F4" w:rsidRDefault="004E2DCE">
            <w:pPr>
              <w:pStyle w:val="notestable"/>
            </w:pPr>
            <w:r w:rsidRPr="00A044F4">
              <w:t>(iii) The 2017-18 movement is related to the write-off of buildings previously revalued and a building impairment.</w:t>
            </w:r>
          </w:p>
        </w:tc>
      </w:tr>
      <w:tr w:rsidRPr="00A044F4" w:rsidR="00F423CA" w:rsidTr="00A044F4">
        <w:trPr>
          <w:trHeight w:val="113"/>
        </w:trPr>
        <w:tc>
          <w:tcPr>
            <w:tcW w:w="9071" w:type="dxa"/>
            <w:gridSpan w:val="5"/>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notestable"/>
              <w:rPr>
                <w:b/>
              </w:rPr>
            </w:pPr>
            <w:r w:rsidRPr="00A044F4">
              <w:rPr>
                <w:rStyle w:val="medium"/>
                <w:b/>
              </w:rPr>
              <w:t>The above comprehensive operating statement should be read in conjunction with the notes to the financial statements.</w:t>
            </w:r>
          </w:p>
        </w:tc>
      </w:tr>
    </w:tbl>
    <w:p w:rsidR="00F423CA" w:rsidRDefault="00F423CA">
      <w:pPr>
        <w:pStyle w:val="Bodycopy"/>
      </w:pPr>
    </w:p>
    <w:p w:rsidR="00F423CA" w:rsidRDefault="00F423CA">
      <w:pPr>
        <w:pStyle w:val="Bodycopy"/>
      </w:pPr>
    </w:p>
    <w:p w:rsidR="00A044F4" w:rsidP="00A044F4" w:rsidRDefault="00A044F4">
      <w:pPr>
        <w:pStyle w:val="Bodycopy"/>
      </w:pPr>
      <w:r>
        <w:br w:type="page"/>
      </w:r>
    </w:p>
    <w:p w:rsidR="00F423CA" w:rsidP="00A044F4" w:rsidRDefault="004E2DCE">
      <w:pPr>
        <w:pStyle w:val="H1"/>
      </w:pPr>
      <w:bookmarkStart w:id="6" w:name="_Toc525290064"/>
      <w:r>
        <w:lastRenderedPageBreak/>
        <w:t>Balance sheet</w:t>
      </w:r>
      <w:bookmarkEnd w:id="6"/>
    </w:p>
    <w:p w:rsidR="00F423CA" w:rsidRDefault="004E2DCE">
      <w:pPr>
        <w:pStyle w:val="Bodycopy"/>
      </w:pPr>
      <w:r>
        <w:rPr>
          <w:rStyle w:val="medium"/>
          <w:b/>
          <w:bCs/>
        </w:rPr>
        <w:t>As at 30 June 2018</w:t>
      </w:r>
    </w:p>
    <w:tbl>
      <w:tblPr>
        <w:tblW w:w="0" w:type="auto"/>
        <w:tblInd w:w="57" w:type="dxa"/>
        <w:tblLayout w:type="fixed"/>
        <w:tblCellMar>
          <w:left w:w="0" w:type="dxa"/>
          <w:right w:w="0" w:type="dxa"/>
        </w:tblCellMar>
        <w:tblLook w:firstRow="0" w:lastRow="0" w:firstColumn="0" w:lastColumn="0" w:noHBand="0" w:noVBand="0" w:val="0000"/>
      </w:tblPr>
      <w:tblGrid>
        <w:gridCol w:w="283"/>
        <w:gridCol w:w="5386"/>
        <w:gridCol w:w="567"/>
        <w:gridCol w:w="1418"/>
        <w:gridCol w:w="1417"/>
      </w:tblGrid>
      <w:tr w:rsidRPr="00A044F4" w:rsidR="00F423CA" w:rsidTr="00A044F4">
        <w:trPr>
          <w:trHeight w:val="113"/>
          <w:tblHeader/>
        </w:trPr>
        <w:tc>
          <w:tcPr>
            <w:tcW w:w="9071" w:type="dxa"/>
            <w:gridSpan w:val="5"/>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 thousand)</w:t>
            </w:r>
          </w:p>
        </w:tc>
      </w:tr>
      <w:tr w:rsidRPr="00A044F4" w:rsidR="00F423CA" w:rsidTr="00A044F4">
        <w:trPr>
          <w:trHeight w:val="113"/>
          <w:tblHeader/>
        </w:trPr>
        <w:tc>
          <w:tcPr>
            <w:tcW w:w="28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6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center"/>
            </w:pPr>
            <w:r w:rsidRPr="00A044F4">
              <w:rPr>
                <w:rStyle w:val="medium"/>
                <w:b/>
                <w:bCs/>
                <w:color w:val="542E8E"/>
              </w:rPr>
              <w:t>Note</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2017</w:t>
            </w:r>
          </w:p>
        </w:tc>
      </w:tr>
      <w:tr w:rsidRPr="00A044F4" w:rsidR="00F423CA" w:rsidTr="00A044F4">
        <w:trPr>
          <w:trHeight w:val="113"/>
        </w:trPr>
        <w:tc>
          <w:tcPr>
            <w:tcW w:w="9071" w:type="dxa"/>
            <w:gridSpan w:val="5"/>
            <w:tcBorders>
              <w:top w:val="single" w:color="000000" w:sz="8"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Assets</w:t>
            </w:r>
          </w:p>
        </w:tc>
      </w:tr>
      <w:tr w:rsidRPr="00A044F4" w:rsidR="00F423CA" w:rsidTr="00A044F4">
        <w:trPr>
          <w:trHeight w:val="113"/>
        </w:trPr>
        <w:tc>
          <w:tcPr>
            <w:tcW w:w="9071" w:type="dxa"/>
            <w:gridSpan w:val="5"/>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Financial assets</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Cash and deposits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7.3</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90,767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90,036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Receivables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6.2</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1,061,645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871,273 </w:t>
            </w:r>
          </w:p>
        </w:tc>
      </w:tr>
      <w:tr w:rsidRPr="00A044F4" w:rsidR="00F423CA" w:rsidTr="00A044F4">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Investments and other financial assets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5.4</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246,703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334,124 </w:t>
            </w:r>
          </w:p>
        </w:tc>
      </w:tr>
      <w:tr w:rsidRPr="00A044F4" w:rsidR="00F423CA" w:rsidTr="00A044F4">
        <w:trPr>
          <w:trHeight w:val="113"/>
        </w:trPr>
        <w:tc>
          <w:tcPr>
            <w:tcW w:w="56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financial assets</w:t>
            </w:r>
          </w:p>
        </w:tc>
        <w:tc>
          <w:tcPr>
            <w:tcW w:w="56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1,399,115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1,295,433 </w:t>
            </w:r>
          </w:p>
        </w:tc>
      </w:tr>
      <w:tr w:rsidRPr="00A044F4" w:rsidR="00F423CA" w:rsidTr="00A044F4">
        <w:trPr>
          <w:trHeight w:val="113"/>
        </w:trPr>
        <w:tc>
          <w:tcPr>
            <w:tcW w:w="9071" w:type="dxa"/>
            <w:gridSpan w:val="5"/>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Non-financial assets</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Prepayments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13,821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11,456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Inventories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10,393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8,844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Non-financial assets classified as held for sale</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377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319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Property, plant and equipment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5.2</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3,315,225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2,464,257 </w:t>
            </w:r>
          </w:p>
        </w:tc>
      </w:tr>
      <w:tr w:rsidRPr="00A044F4" w:rsidR="00F423CA" w:rsidTr="00A044F4">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Intangible assets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5.3</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70,499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46,077 </w:t>
            </w:r>
          </w:p>
        </w:tc>
      </w:tr>
      <w:tr w:rsidRPr="00A044F4" w:rsidR="00F423CA" w:rsidTr="00A044F4">
        <w:trPr>
          <w:trHeight w:val="113"/>
        </w:trPr>
        <w:tc>
          <w:tcPr>
            <w:tcW w:w="56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non-financial assets</w:t>
            </w:r>
          </w:p>
        </w:tc>
        <w:tc>
          <w:tcPr>
            <w:tcW w:w="56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3,410,315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2,530,953 </w:t>
            </w:r>
          </w:p>
        </w:tc>
      </w:tr>
      <w:tr w:rsidRPr="00A044F4" w:rsidR="00F423CA" w:rsidTr="00A044F4">
        <w:trPr>
          <w:trHeight w:val="113"/>
        </w:trPr>
        <w:tc>
          <w:tcPr>
            <w:tcW w:w="5669" w:type="dxa"/>
            <w:gridSpan w:val="2"/>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assets</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4,809,430 </w:t>
            </w: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3,826,386 </w:t>
            </w:r>
          </w:p>
        </w:tc>
      </w:tr>
      <w:tr w:rsidRPr="00A044F4" w:rsidR="00F423CA" w:rsidTr="00A044F4">
        <w:trPr>
          <w:trHeight w:val="113"/>
        </w:trPr>
        <w:tc>
          <w:tcPr>
            <w:tcW w:w="9071" w:type="dxa"/>
            <w:gridSpan w:val="5"/>
            <w:tcBorders>
              <w:top w:val="single" w:color="000000" w:sz="12"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Liabilities</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Payables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6.3</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865,066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713,140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Borrowings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7.2</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651,888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192,657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Employee benefit provisions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3.2.2</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228,763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202,337 </w:t>
            </w:r>
          </w:p>
        </w:tc>
      </w:tr>
      <w:tr w:rsidRPr="00A044F4" w:rsidR="00F423CA" w:rsidTr="00A044F4">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Other provisions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8,213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8,250 </w:t>
            </w:r>
          </w:p>
        </w:tc>
      </w:tr>
      <w:tr w:rsidRPr="00A044F4" w:rsidR="00F423CA" w:rsidTr="00A044F4">
        <w:trPr>
          <w:trHeight w:val="113"/>
        </w:trPr>
        <w:tc>
          <w:tcPr>
            <w:tcW w:w="5669" w:type="dxa"/>
            <w:gridSpan w:val="2"/>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liabilities</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1,753,930 </w:t>
            </w: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1,116,384 </w:t>
            </w:r>
          </w:p>
        </w:tc>
      </w:tr>
      <w:tr w:rsidRPr="00A044F4" w:rsidR="00F423CA" w:rsidTr="00A044F4">
        <w:trPr>
          <w:trHeight w:val="113"/>
        </w:trPr>
        <w:tc>
          <w:tcPr>
            <w:tcW w:w="5669" w:type="dxa"/>
            <w:gridSpan w:val="2"/>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assets</w:t>
            </w:r>
          </w:p>
        </w:tc>
        <w:tc>
          <w:tcPr>
            <w:tcW w:w="56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3,055,500 </w:t>
            </w:r>
          </w:p>
        </w:tc>
        <w:tc>
          <w:tcPr>
            <w:tcW w:w="141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2,710,002 </w:t>
            </w:r>
          </w:p>
        </w:tc>
      </w:tr>
      <w:tr w:rsidRPr="00A044F4" w:rsidR="00F423CA" w:rsidTr="00A044F4">
        <w:trPr>
          <w:trHeight w:val="113"/>
        </w:trPr>
        <w:tc>
          <w:tcPr>
            <w:tcW w:w="9071" w:type="dxa"/>
            <w:gridSpan w:val="5"/>
            <w:tcBorders>
              <w:top w:val="single" w:color="000000" w:sz="12"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Equity</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Accumulated surplus/(deficit)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1,114,608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1,084,784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Physical asset revaluation surplus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9.4</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611,550 </w:t>
            </w: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660,534 </w:t>
            </w:r>
          </w:p>
        </w:tc>
      </w:tr>
      <w:tr w:rsidRPr="00A044F4" w:rsidR="00F423CA" w:rsidTr="00A044F4">
        <w:trPr>
          <w:trHeight w:val="113"/>
        </w:trPr>
        <w:tc>
          <w:tcPr>
            <w:tcW w:w="283"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86"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Contributed capital</w:t>
            </w:r>
          </w:p>
        </w:tc>
        <w:tc>
          <w:tcPr>
            <w:tcW w:w="567"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1,329,342 </w:t>
            </w:r>
          </w:p>
        </w:tc>
        <w:tc>
          <w:tcPr>
            <w:tcW w:w="1417"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964,684 </w:t>
            </w:r>
          </w:p>
        </w:tc>
      </w:tr>
      <w:tr w:rsidRPr="00A044F4" w:rsidR="00F423CA" w:rsidTr="00A044F4">
        <w:trPr>
          <w:trHeight w:val="113"/>
        </w:trPr>
        <w:tc>
          <w:tcPr>
            <w:tcW w:w="5669" w:type="dxa"/>
            <w:gridSpan w:val="2"/>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worth</w:t>
            </w:r>
          </w:p>
        </w:tc>
        <w:tc>
          <w:tcPr>
            <w:tcW w:w="56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3,055,500 </w:t>
            </w:r>
          </w:p>
        </w:tc>
        <w:tc>
          <w:tcPr>
            <w:tcW w:w="141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2,710,002 </w:t>
            </w:r>
          </w:p>
        </w:tc>
      </w:tr>
      <w:tr w:rsidR="00F423CA" w:rsidTr="00A044F4">
        <w:trPr>
          <w:trHeight w:val="113"/>
        </w:trPr>
        <w:tc>
          <w:tcPr>
            <w:tcW w:w="9071" w:type="dxa"/>
            <w:gridSpan w:val="5"/>
            <w:tcBorders>
              <w:top w:val="single" w:color="000000" w:sz="12" w:space="0"/>
              <w:left w:val="nil"/>
              <w:bottom w:val="nil"/>
              <w:right w:val="nil"/>
            </w:tcBorders>
            <w:tcMar>
              <w:top w:w="57" w:type="dxa"/>
              <w:left w:w="57" w:type="dxa"/>
              <w:bottom w:w="57" w:type="dxa"/>
              <w:right w:w="57" w:type="dxa"/>
            </w:tcMar>
            <w:vAlign w:val="bottom"/>
          </w:tcPr>
          <w:p w:rsidR="00F423CA" w:rsidP="00A044F4" w:rsidRDefault="004E2DCE">
            <w:pPr>
              <w:pStyle w:val="notestable"/>
              <w:spacing w:after="0"/>
            </w:pPr>
            <w:r>
              <w:rPr>
                <w:rStyle w:val="medium"/>
                <w:b/>
                <w:bCs/>
              </w:rPr>
              <w:t>The above balance sheet should be read in conjunction with the notes to the financial statements.</w:t>
            </w:r>
          </w:p>
        </w:tc>
      </w:tr>
    </w:tbl>
    <w:p w:rsidR="00F423CA" w:rsidRDefault="00F423CA">
      <w:pPr>
        <w:pStyle w:val="Bodycopy"/>
      </w:pPr>
    </w:p>
    <w:p w:rsidR="00A044F4" w:rsidRDefault="00A044F4">
      <w:pPr>
        <w:rPr>
          <w:rFonts w:ascii="Arial" w:hAnsi="Arial" w:cs="Arial"/>
          <w:color w:val="000000"/>
          <w:sz w:val="18"/>
          <w:szCs w:val="18"/>
          <w:lang w:val="en-GB"/>
        </w:rPr>
      </w:pPr>
      <w:r>
        <w:br w:type="page"/>
      </w:r>
    </w:p>
    <w:p w:rsidR="00F423CA" w:rsidP="00A044F4" w:rsidRDefault="004E2DCE">
      <w:pPr>
        <w:pStyle w:val="H1"/>
      </w:pPr>
      <w:bookmarkStart w:id="7" w:name="_Toc525290065"/>
      <w:r>
        <w:lastRenderedPageBreak/>
        <w:t>Cash flow statement</w:t>
      </w:r>
      <w:bookmarkEnd w:id="7"/>
    </w:p>
    <w:p w:rsidR="00F423CA" w:rsidRDefault="004E2DCE">
      <w:pPr>
        <w:pStyle w:val="Bodycopy"/>
      </w:pPr>
      <w:r>
        <w:rPr>
          <w:rStyle w:val="medium"/>
          <w:b/>
          <w:bCs/>
        </w:rPr>
        <w:t>For the financial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283"/>
        <w:gridCol w:w="5372"/>
        <w:gridCol w:w="567"/>
        <w:gridCol w:w="1417"/>
        <w:gridCol w:w="1418"/>
      </w:tblGrid>
      <w:tr w:rsidRPr="00A044F4" w:rsidR="00F423CA" w:rsidTr="00A044F4">
        <w:trPr>
          <w:trHeight w:val="113"/>
          <w:tblHeader/>
        </w:trPr>
        <w:tc>
          <w:tcPr>
            <w:tcW w:w="9057" w:type="dxa"/>
            <w:gridSpan w:val="5"/>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 thousand)</w:t>
            </w:r>
          </w:p>
        </w:tc>
      </w:tr>
      <w:tr w:rsidRPr="00A044F4" w:rsidR="00F423CA" w:rsidTr="00A044F4">
        <w:trPr>
          <w:trHeight w:val="113"/>
          <w:tblHeader/>
        </w:trPr>
        <w:tc>
          <w:tcPr>
            <w:tcW w:w="28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6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center"/>
            </w:pPr>
            <w:r w:rsidRPr="00A044F4">
              <w:rPr>
                <w:rStyle w:val="medium"/>
                <w:b/>
                <w:bCs/>
                <w:color w:val="542E8E"/>
              </w:rPr>
              <w:t>Note</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2018</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2017</w:t>
            </w:r>
          </w:p>
        </w:tc>
      </w:tr>
      <w:tr w:rsidRPr="00A044F4" w:rsidR="00F423CA" w:rsidTr="00A044F4">
        <w:trPr>
          <w:trHeight w:val="113"/>
        </w:trPr>
        <w:tc>
          <w:tcPr>
            <w:tcW w:w="9057" w:type="dxa"/>
            <w:gridSpan w:val="5"/>
            <w:tcBorders>
              <w:top w:val="single" w:color="000000" w:sz="8"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Cash flows from operating activities</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Receipts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Receipts from government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6,716,352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5,988,484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Receipts from other entities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21,308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19,222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 xml:space="preserve">Goods and services tax recovered from Australian Tax Office </w:t>
            </w:r>
            <w:r w:rsidRPr="00A044F4">
              <w:rPr>
                <w:rStyle w:val="Superscript"/>
              </w:rPr>
              <w:t>(</w:t>
            </w:r>
            <w:proofErr w:type="spellStart"/>
            <w:r w:rsidRPr="00A044F4">
              <w:rPr>
                <w:rStyle w:val="Superscript"/>
              </w:rPr>
              <w:t>i</w:t>
            </w:r>
            <w:proofErr w:type="spellEnd"/>
            <w:r w:rsidRPr="00A044F4">
              <w:rPr>
                <w:rStyle w:val="Superscript"/>
              </w:rPr>
              <w: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182,294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101,495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Interest received</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28,487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28,715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Dividends received</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7,416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21,350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Other receipts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64,190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60,228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receipts</w:t>
            </w:r>
          </w:p>
        </w:tc>
        <w:tc>
          <w:tcPr>
            <w:tcW w:w="56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7,020,047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6,219,494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Payments</w:t>
            </w:r>
          </w:p>
        </w:tc>
        <w:tc>
          <w:tcPr>
            <w:tcW w:w="567"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Payments of grant expenses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(4,634,117)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(4,243,809)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Payments to suppliers and employees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(2,076,410)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(1,703,772)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Capital asset charge payments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(169,878)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(151,608)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Interest and other costs of finance paid</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(50,676)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(20,229)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Total payments</w:t>
            </w:r>
          </w:p>
        </w:tc>
        <w:tc>
          <w:tcPr>
            <w:tcW w:w="56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(6,931,081)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(6,119,418) </w:t>
            </w:r>
          </w:p>
        </w:tc>
      </w:tr>
      <w:tr w:rsidRPr="00A044F4" w:rsidR="00F423CA" w:rsidTr="00A044F4">
        <w:trPr>
          <w:trHeight w:val="113"/>
        </w:trPr>
        <w:tc>
          <w:tcPr>
            <w:tcW w:w="283"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cash flows from</w:t>
            </w:r>
            <w:proofErr w:type="gramStart"/>
            <w:r w:rsidRPr="00A044F4">
              <w:rPr>
                <w:rStyle w:val="medium"/>
                <w:b/>
                <w:bCs/>
              </w:rPr>
              <w:t>/(</w:t>
            </w:r>
            <w:proofErr w:type="gramEnd"/>
            <w:r w:rsidRPr="00A044F4">
              <w:rPr>
                <w:rStyle w:val="medium"/>
                <w:b/>
                <w:bCs/>
              </w:rPr>
              <w:t>used in) operating activities</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7.3.1</w:t>
            </w: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88,966 </w:t>
            </w: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100,076 </w:t>
            </w:r>
          </w:p>
        </w:tc>
      </w:tr>
      <w:tr w:rsidRPr="00A044F4" w:rsidR="00F423CA" w:rsidTr="00A044F4">
        <w:trPr>
          <w:trHeight w:val="113"/>
        </w:trPr>
        <w:tc>
          <w:tcPr>
            <w:tcW w:w="9057" w:type="dxa"/>
            <w:gridSpan w:val="5"/>
            <w:tcBorders>
              <w:top w:val="single" w:color="000000" w:sz="12"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Cash flows from investing activities</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Payments for investments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(32,070)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(333,113)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Proceeds from sale of investments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125,000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263,837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 xml:space="preserve">Purchases of non-financial assets </w:t>
            </w:r>
            <w:r w:rsidRPr="00A044F4">
              <w:rPr>
                <w:rStyle w:val="Superscript"/>
              </w:rPr>
              <w:t>(ii)</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(223,965)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(176,075)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Sales of non-financial assets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4,271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3,450 </w:t>
            </w:r>
          </w:p>
        </w:tc>
      </w:tr>
      <w:tr w:rsidRPr="00A044F4" w:rsidR="00F423CA" w:rsidTr="00A044F4">
        <w:trPr>
          <w:trHeight w:val="113"/>
        </w:trPr>
        <w:tc>
          <w:tcPr>
            <w:tcW w:w="283"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cash flows from</w:t>
            </w:r>
            <w:proofErr w:type="gramStart"/>
            <w:r w:rsidRPr="00A044F4">
              <w:rPr>
                <w:rStyle w:val="medium"/>
                <w:b/>
                <w:bCs/>
              </w:rPr>
              <w:t>/(</w:t>
            </w:r>
            <w:proofErr w:type="gramEnd"/>
            <w:r w:rsidRPr="00A044F4">
              <w:rPr>
                <w:rStyle w:val="medium"/>
                <w:b/>
                <w:bCs/>
              </w:rPr>
              <w:t>used in) investing activities</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(126,764) </w:t>
            </w: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(241,901) </w:t>
            </w:r>
          </w:p>
        </w:tc>
      </w:tr>
      <w:tr w:rsidRPr="00A044F4" w:rsidR="00F423CA" w:rsidTr="00A044F4">
        <w:trPr>
          <w:trHeight w:val="113"/>
        </w:trPr>
        <w:tc>
          <w:tcPr>
            <w:tcW w:w="9057" w:type="dxa"/>
            <w:gridSpan w:val="5"/>
            <w:tcBorders>
              <w:top w:val="single" w:color="000000" w:sz="12"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Cash flows from financing activities</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Cash received from machinery of government changes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345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Cash received from capital appropriations</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611,379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164,983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Capital contribution passed on to agencies within government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(53,727)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(29,948)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Equity transfers within government</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(192,994)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(141,036)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Proceeds from borrowings</w:t>
            </w:r>
            <w:r w:rsidRPr="00A044F4">
              <w:rPr>
                <w:rStyle w:val="Superscript"/>
              </w:rPr>
              <w:t xml:space="preserve"> (ii)</w:t>
            </w:r>
          </w:p>
        </w:tc>
        <w:tc>
          <w:tcPr>
            <w:tcW w:w="567"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418"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r>
      <w:tr w:rsidRPr="00A044F4" w:rsidR="00F423CA" w:rsidTr="00A044F4">
        <w:trPr>
          <w:trHeight w:val="113"/>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Repayment of borrowings and finance leases</w:t>
            </w:r>
          </w:p>
        </w:tc>
        <w:tc>
          <w:tcPr>
            <w:tcW w:w="56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(326,129)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(17,954) </w:t>
            </w:r>
          </w:p>
        </w:tc>
      </w:tr>
      <w:tr w:rsidRPr="00A044F4" w:rsidR="00F423CA" w:rsidTr="00A044F4">
        <w:trPr>
          <w:trHeight w:val="113"/>
        </w:trPr>
        <w:tc>
          <w:tcPr>
            <w:tcW w:w="283" w:type="dxa"/>
            <w:tcBorders>
              <w:top w:val="nil"/>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372"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cash flows from</w:t>
            </w:r>
            <w:proofErr w:type="gramStart"/>
            <w:r w:rsidRPr="00A044F4">
              <w:rPr>
                <w:rStyle w:val="medium"/>
                <w:b/>
                <w:bCs/>
              </w:rPr>
              <w:t>/(</w:t>
            </w:r>
            <w:proofErr w:type="gramEnd"/>
            <w:r w:rsidRPr="00A044F4">
              <w:rPr>
                <w:rStyle w:val="medium"/>
                <w:b/>
                <w:bCs/>
              </w:rPr>
              <w:t>used in) financing activities</w:t>
            </w:r>
          </w:p>
        </w:tc>
        <w:tc>
          <w:tcPr>
            <w:tcW w:w="56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38,529 </w:t>
            </w:r>
          </w:p>
        </w:tc>
        <w:tc>
          <w:tcPr>
            <w:tcW w:w="1418" w:type="dxa"/>
            <w:tcBorders>
              <w:top w:val="single" w:color="000000" w:sz="6"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(23,610) </w:t>
            </w:r>
          </w:p>
        </w:tc>
      </w:tr>
      <w:tr w:rsidRPr="00A044F4" w:rsidR="00F423CA" w:rsidTr="00A044F4">
        <w:trPr>
          <w:trHeight w:val="113"/>
        </w:trPr>
        <w:tc>
          <w:tcPr>
            <w:tcW w:w="5655" w:type="dxa"/>
            <w:gridSpan w:val="2"/>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Net increase/(decrease) in cash and cash equivalents</w:t>
            </w:r>
          </w:p>
        </w:tc>
        <w:tc>
          <w:tcPr>
            <w:tcW w:w="56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731 </w:t>
            </w:r>
          </w:p>
        </w:tc>
        <w:tc>
          <w:tcPr>
            <w:tcW w:w="1418"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(165,435) </w:t>
            </w:r>
          </w:p>
        </w:tc>
      </w:tr>
      <w:tr w:rsidRPr="00A044F4" w:rsidR="00F423CA" w:rsidTr="00A044F4">
        <w:trPr>
          <w:trHeight w:val="113"/>
        </w:trPr>
        <w:tc>
          <w:tcPr>
            <w:tcW w:w="5655" w:type="dxa"/>
            <w:gridSpan w:val="2"/>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bold"/>
              </w:rPr>
              <w:t>Cash and cash equivalents at beginning of financial year</w:t>
            </w:r>
          </w:p>
        </w:tc>
        <w:tc>
          <w:tcPr>
            <w:tcW w:w="56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bold"/>
              </w:rPr>
              <w:t xml:space="preserve">90,036 </w:t>
            </w:r>
          </w:p>
        </w:tc>
        <w:tc>
          <w:tcPr>
            <w:tcW w:w="1418"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bold"/>
              </w:rPr>
              <w:t xml:space="preserve">255,471 </w:t>
            </w:r>
          </w:p>
        </w:tc>
      </w:tr>
      <w:tr w:rsidRPr="00A044F4" w:rsidR="00F423CA" w:rsidTr="00A044F4">
        <w:trPr>
          <w:trHeight w:val="113"/>
        </w:trPr>
        <w:tc>
          <w:tcPr>
            <w:tcW w:w="5655" w:type="dxa"/>
            <w:gridSpan w:val="2"/>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Cash and cash equivalents at end of financial year</w:t>
            </w:r>
          </w:p>
        </w:tc>
        <w:tc>
          <w:tcPr>
            <w:tcW w:w="56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Ctable"/>
              <w:spacing w:after="0" w:line="240" w:lineRule="auto"/>
            </w:pPr>
            <w:r w:rsidRPr="00A044F4">
              <w:t>7.3</w:t>
            </w:r>
          </w:p>
        </w:tc>
        <w:tc>
          <w:tcPr>
            <w:tcW w:w="1417"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90,767 </w:t>
            </w:r>
          </w:p>
        </w:tc>
        <w:tc>
          <w:tcPr>
            <w:tcW w:w="1418" w:type="dxa"/>
            <w:tcBorders>
              <w:top w:val="single" w:color="000000" w:sz="12" w:space="0"/>
              <w:left w:val="nil"/>
              <w:bottom w:val="single" w:color="000000" w:sz="12"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90,036 </w:t>
            </w:r>
          </w:p>
        </w:tc>
      </w:tr>
      <w:tr w:rsidR="00F423CA" w:rsidTr="00A044F4">
        <w:trPr>
          <w:trHeight w:val="113"/>
        </w:trPr>
        <w:tc>
          <w:tcPr>
            <w:tcW w:w="9057" w:type="dxa"/>
            <w:gridSpan w:val="5"/>
            <w:tcBorders>
              <w:top w:val="single" w:color="000000" w:sz="12" w:space="0"/>
              <w:left w:val="nil"/>
              <w:bottom w:val="nil"/>
              <w:right w:val="nil"/>
            </w:tcBorders>
            <w:tcMar>
              <w:top w:w="57" w:type="dxa"/>
              <w:left w:w="57" w:type="dxa"/>
              <w:bottom w:w="57" w:type="dxa"/>
              <w:right w:w="57" w:type="dxa"/>
            </w:tcMar>
            <w:vAlign w:val="bottom"/>
          </w:tcPr>
          <w:p w:rsidR="00F423CA" w:rsidP="00A044F4" w:rsidRDefault="004E2DCE">
            <w:pPr>
              <w:pStyle w:val="notestable"/>
              <w:spacing w:after="0"/>
            </w:pPr>
            <w:r>
              <w:t>(</w:t>
            </w:r>
            <w:proofErr w:type="spellStart"/>
            <w:r>
              <w:t>i</w:t>
            </w:r>
            <w:proofErr w:type="spellEnd"/>
            <w:r>
              <w:t>)  GST received from ATO is presented on a net basis.</w:t>
            </w:r>
          </w:p>
          <w:p w:rsidR="00F423CA" w:rsidP="00A044F4" w:rsidRDefault="004E2DCE">
            <w:pPr>
              <w:pStyle w:val="notestable"/>
              <w:spacing w:after="0"/>
            </w:pPr>
            <w:r>
              <w:t xml:space="preserve">(ii) The 2016-17 comparative has been adjusted to correct non-cash movements relating to finance leased assets. </w:t>
            </w:r>
          </w:p>
          <w:p w:rsidR="00F423CA" w:rsidP="00A044F4" w:rsidRDefault="004E2DCE">
            <w:pPr>
              <w:pStyle w:val="notestable"/>
              <w:spacing w:after="0"/>
            </w:pPr>
            <w:r>
              <w:rPr>
                <w:rStyle w:val="medium"/>
                <w:b/>
                <w:bCs/>
              </w:rPr>
              <w:t>The above cash flow statement should be read in conjunction with notes to the financial statements.</w:t>
            </w:r>
          </w:p>
        </w:tc>
      </w:tr>
    </w:tbl>
    <w:p w:rsidR="00F423CA" w:rsidRDefault="00F423CA">
      <w:pPr>
        <w:pStyle w:val="Bodycopy"/>
      </w:pPr>
    </w:p>
    <w:p w:rsidR="00F423CA" w:rsidP="00A044F4" w:rsidRDefault="00F423CA">
      <w:pPr>
        <w:pStyle w:val="Bodycopy"/>
      </w:pPr>
    </w:p>
    <w:p w:rsidR="00A044F4" w:rsidP="00A044F4" w:rsidRDefault="00A044F4">
      <w:pPr>
        <w:pStyle w:val="Bodycopy"/>
      </w:pPr>
      <w:r>
        <w:br w:type="page"/>
      </w:r>
    </w:p>
    <w:p w:rsidR="00F423CA" w:rsidP="00A044F4" w:rsidRDefault="004E2DCE">
      <w:pPr>
        <w:pStyle w:val="H1"/>
      </w:pPr>
      <w:bookmarkStart w:id="8" w:name="_Toc525290066"/>
      <w:r>
        <w:lastRenderedPageBreak/>
        <w:t>Statement of changes in equity</w:t>
      </w:r>
      <w:bookmarkEnd w:id="8"/>
    </w:p>
    <w:p w:rsidR="00F423CA" w:rsidRDefault="004E2DCE">
      <w:pPr>
        <w:pStyle w:val="Bodycopy"/>
      </w:pPr>
      <w:r>
        <w:rPr>
          <w:rStyle w:val="medium"/>
          <w:b/>
          <w:bCs/>
        </w:rPr>
        <w:t>For the financial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283"/>
        <w:gridCol w:w="3785"/>
        <w:gridCol w:w="510"/>
        <w:gridCol w:w="1191"/>
        <w:gridCol w:w="1190"/>
        <w:gridCol w:w="1077"/>
        <w:gridCol w:w="1021"/>
      </w:tblGrid>
      <w:tr w:rsidRPr="00A044F4" w:rsidR="00F423CA" w:rsidTr="00A044F4">
        <w:trPr>
          <w:trHeight w:val="240"/>
          <w:tblHeader/>
        </w:trPr>
        <w:tc>
          <w:tcPr>
            <w:tcW w:w="9057"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 thousand)</w:t>
            </w:r>
          </w:p>
        </w:tc>
      </w:tr>
      <w:tr w:rsidRPr="00A044F4" w:rsidR="00F423CA" w:rsidTr="00A044F4">
        <w:trPr>
          <w:trHeight w:val="60"/>
          <w:tblHeader/>
        </w:trPr>
        <w:tc>
          <w:tcPr>
            <w:tcW w:w="28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51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center"/>
            </w:pPr>
            <w:r w:rsidRPr="00A044F4">
              <w:rPr>
                <w:rStyle w:val="medium"/>
                <w:b/>
                <w:bCs/>
                <w:color w:val="542E8E"/>
              </w:rPr>
              <w:t>Note</w:t>
            </w:r>
          </w:p>
        </w:tc>
        <w:tc>
          <w:tcPr>
            <w:tcW w:w="119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Physical asset revaluation surplus</w:t>
            </w:r>
          </w:p>
        </w:tc>
        <w:tc>
          <w:tcPr>
            <w:tcW w:w="119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Accumulated surplus / (deficit)</w:t>
            </w:r>
          </w:p>
        </w:tc>
        <w:tc>
          <w:tcPr>
            <w:tcW w:w="107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Contributed capital</w:t>
            </w:r>
          </w:p>
        </w:tc>
        <w:tc>
          <w:tcPr>
            <w:tcW w:w="102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044F4" w:rsidR="00F423CA" w:rsidP="00A044F4" w:rsidRDefault="004E2DCE">
            <w:pPr>
              <w:pStyle w:val="bodytableLtable"/>
              <w:spacing w:after="0" w:line="240" w:lineRule="auto"/>
              <w:jc w:val="right"/>
            </w:pPr>
            <w:r w:rsidRPr="00A044F4">
              <w:rPr>
                <w:rStyle w:val="medium"/>
                <w:b/>
                <w:bCs/>
                <w:color w:val="542E8E"/>
              </w:rPr>
              <w:t>Total</w:t>
            </w:r>
          </w:p>
        </w:tc>
      </w:tr>
      <w:tr w:rsidRPr="00A044F4" w:rsidR="00F423CA" w:rsidTr="00A044F4">
        <w:trPr>
          <w:trHeight w:val="240"/>
        </w:trPr>
        <w:tc>
          <w:tcPr>
            <w:tcW w:w="4068" w:type="dxa"/>
            <w:gridSpan w:val="2"/>
            <w:tcBorders>
              <w:top w:val="single" w:color="000000" w:sz="8"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Balance at 1 July 2016</w:t>
            </w:r>
          </w:p>
        </w:tc>
        <w:tc>
          <w:tcPr>
            <w:tcW w:w="510"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615,233 </w:t>
            </w:r>
          </w:p>
        </w:tc>
        <w:tc>
          <w:tcPr>
            <w:tcW w:w="1190"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1,086,327 </w:t>
            </w:r>
          </w:p>
        </w:tc>
        <w:tc>
          <w:tcPr>
            <w:tcW w:w="1077"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752,937 </w:t>
            </w:r>
          </w:p>
        </w:tc>
        <w:tc>
          <w:tcPr>
            <w:tcW w:w="1021"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2,454,497 </w:t>
            </w:r>
          </w:p>
        </w:tc>
      </w:tr>
      <w:tr w:rsidRPr="00A044F4" w:rsidR="00F423CA" w:rsidTr="00A044F4">
        <w:trPr>
          <w:trHeight w:val="240"/>
        </w:trPr>
        <w:tc>
          <w:tcPr>
            <w:tcW w:w="283"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Net result for year</w:t>
            </w:r>
          </w:p>
        </w:tc>
        <w:tc>
          <w:tcPr>
            <w:tcW w:w="510"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(1,543) </w:t>
            </w:r>
          </w:p>
        </w:tc>
        <w:tc>
          <w:tcPr>
            <w:tcW w:w="1077"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21"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(1,543) </w:t>
            </w:r>
          </w:p>
        </w:tc>
      </w:tr>
      <w:tr w:rsidRPr="00A044F4" w:rsidR="00F423CA" w:rsidTr="00A044F4">
        <w:trPr>
          <w:trHeight w:val="240"/>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Other comprehensive income for year</w:t>
            </w:r>
          </w:p>
        </w:tc>
        <w:tc>
          <w:tcPr>
            <w:tcW w:w="510"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45,301 </w:t>
            </w:r>
          </w:p>
        </w:tc>
        <w:tc>
          <w:tcPr>
            <w:tcW w:w="1190"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2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45,301 </w:t>
            </w:r>
          </w:p>
        </w:tc>
      </w:tr>
      <w:tr w:rsidRPr="00A044F4" w:rsidR="00F423CA" w:rsidTr="00A044F4">
        <w:trPr>
          <w:trHeight w:val="240"/>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Capital appropriations</w:t>
            </w:r>
          </w:p>
        </w:tc>
        <w:tc>
          <w:tcPr>
            <w:tcW w:w="510"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164,984 </w:t>
            </w:r>
          </w:p>
        </w:tc>
        <w:tc>
          <w:tcPr>
            <w:tcW w:w="102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164,984 </w:t>
            </w:r>
          </w:p>
        </w:tc>
      </w:tr>
      <w:tr w:rsidRPr="00A044F4" w:rsidR="00F423CA" w:rsidTr="00A044F4">
        <w:trPr>
          <w:trHeight w:val="240"/>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Capital contribution passed onto agencies within Justice Portfolio</w:t>
            </w:r>
          </w:p>
        </w:tc>
        <w:tc>
          <w:tcPr>
            <w:tcW w:w="510"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(29,948) </w:t>
            </w:r>
          </w:p>
        </w:tc>
        <w:tc>
          <w:tcPr>
            <w:tcW w:w="102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(29,948) </w:t>
            </w:r>
          </w:p>
        </w:tc>
      </w:tr>
      <w:tr w:rsidRPr="00A044F4" w:rsidR="00F423CA" w:rsidTr="00A044F4">
        <w:trPr>
          <w:trHeight w:val="240"/>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Equity transfer within government</w:t>
            </w:r>
          </w:p>
        </w:tc>
        <w:tc>
          <w:tcPr>
            <w:tcW w:w="510"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(141,527) </w:t>
            </w:r>
          </w:p>
        </w:tc>
        <w:tc>
          <w:tcPr>
            <w:tcW w:w="102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(141,527) </w:t>
            </w:r>
          </w:p>
        </w:tc>
      </w:tr>
      <w:tr w:rsidRPr="00A044F4" w:rsidR="00F423CA" w:rsidTr="00A044F4">
        <w:trPr>
          <w:trHeight w:val="240"/>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Administrative restructure - net assets received</w:t>
            </w:r>
          </w:p>
        </w:tc>
        <w:tc>
          <w:tcPr>
            <w:tcW w:w="510"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218,238 </w:t>
            </w:r>
          </w:p>
        </w:tc>
        <w:tc>
          <w:tcPr>
            <w:tcW w:w="1021"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218,238 </w:t>
            </w:r>
          </w:p>
        </w:tc>
      </w:tr>
      <w:tr w:rsidRPr="00A044F4" w:rsidR="00F423CA" w:rsidTr="00A044F4">
        <w:trPr>
          <w:trHeight w:val="240"/>
        </w:trPr>
        <w:tc>
          <w:tcPr>
            <w:tcW w:w="4068"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Balance at 30 June 2017</w:t>
            </w:r>
          </w:p>
        </w:tc>
        <w:tc>
          <w:tcPr>
            <w:tcW w:w="51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660,534 </w:t>
            </w:r>
          </w:p>
        </w:tc>
        <w:tc>
          <w:tcPr>
            <w:tcW w:w="119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1,084,784 </w:t>
            </w:r>
          </w:p>
        </w:tc>
        <w:tc>
          <w:tcPr>
            <w:tcW w:w="107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964,684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2,710,002 </w:t>
            </w:r>
          </w:p>
        </w:tc>
      </w:tr>
      <w:tr w:rsidRPr="00A044F4" w:rsidR="00F423CA" w:rsidTr="00A044F4">
        <w:trPr>
          <w:trHeight w:val="240"/>
        </w:trPr>
        <w:tc>
          <w:tcPr>
            <w:tcW w:w="283"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Net result for year</w:t>
            </w:r>
          </w:p>
        </w:tc>
        <w:tc>
          <w:tcPr>
            <w:tcW w:w="510"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29,824 </w:t>
            </w:r>
          </w:p>
        </w:tc>
        <w:tc>
          <w:tcPr>
            <w:tcW w:w="1077"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21" w:type="dxa"/>
            <w:tcBorders>
              <w:top w:val="single" w:color="000000" w:sz="6" w:space="0"/>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29,824 </w:t>
            </w:r>
          </w:p>
        </w:tc>
      </w:tr>
      <w:tr w:rsidRPr="00A044F4" w:rsidR="00F423CA" w:rsidTr="00A044F4">
        <w:trPr>
          <w:trHeight w:val="240"/>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Other comprehensive income for year</w:t>
            </w:r>
          </w:p>
        </w:tc>
        <w:tc>
          <w:tcPr>
            <w:tcW w:w="510"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(48,984) </w:t>
            </w:r>
          </w:p>
        </w:tc>
        <w:tc>
          <w:tcPr>
            <w:tcW w:w="1190"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2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(48,984) </w:t>
            </w:r>
          </w:p>
        </w:tc>
      </w:tr>
      <w:tr w:rsidRPr="00A044F4" w:rsidR="00F423CA" w:rsidTr="00A044F4">
        <w:trPr>
          <w:trHeight w:val="240"/>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Capital appropriations</w:t>
            </w:r>
          </w:p>
        </w:tc>
        <w:tc>
          <w:tcPr>
            <w:tcW w:w="510"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611,379 </w:t>
            </w:r>
          </w:p>
        </w:tc>
        <w:tc>
          <w:tcPr>
            <w:tcW w:w="102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611,379 </w:t>
            </w:r>
          </w:p>
        </w:tc>
      </w:tr>
      <w:tr w:rsidRPr="00A044F4" w:rsidR="00F423CA" w:rsidTr="00A044F4">
        <w:trPr>
          <w:trHeight w:val="240"/>
        </w:trPr>
        <w:tc>
          <w:tcPr>
            <w:tcW w:w="283"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Capital contribution passed onto agencies within Justice Portfolio</w:t>
            </w:r>
          </w:p>
        </w:tc>
        <w:tc>
          <w:tcPr>
            <w:tcW w:w="510" w:type="dxa"/>
            <w:tcBorders>
              <w:top w:val="nil"/>
              <w:left w:val="nil"/>
              <w:bottom w:val="nil"/>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(53,727) </w:t>
            </w:r>
          </w:p>
        </w:tc>
        <w:tc>
          <w:tcPr>
            <w:tcW w:w="1021" w:type="dxa"/>
            <w:tcBorders>
              <w:top w:val="nil"/>
              <w:left w:val="nil"/>
              <w:bottom w:val="nil"/>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(53,727) </w:t>
            </w:r>
          </w:p>
        </w:tc>
      </w:tr>
      <w:tr w:rsidRPr="00A044F4" w:rsidR="00F423CA" w:rsidTr="00A044F4">
        <w:trPr>
          <w:trHeight w:val="240"/>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3785"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t>Equity transfer within government</w:t>
            </w:r>
          </w:p>
        </w:tc>
        <w:tc>
          <w:tcPr>
            <w:tcW w:w="510"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190"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0 </w:t>
            </w:r>
          </w:p>
        </w:tc>
        <w:tc>
          <w:tcPr>
            <w:tcW w:w="1077"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(192,994) </w:t>
            </w:r>
          </w:p>
        </w:tc>
        <w:tc>
          <w:tcPr>
            <w:tcW w:w="1021" w:type="dxa"/>
            <w:tcBorders>
              <w:top w:val="nil"/>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t xml:space="preserve">(192,994) </w:t>
            </w:r>
          </w:p>
        </w:tc>
      </w:tr>
      <w:tr w:rsidRPr="00A044F4" w:rsidR="00F423CA" w:rsidTr="00A044F4">
        <w:trPr>
          <w:trHeight w:val="240"/>
        </w:trPr>
        <w:tc>
          <w:tcPr>
            <w:tcW w:w="4068"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Ltable"/>
              <w:spacing w:after="0" w:line="240" w:lineRule="auto"/>
            </w:pPr>
            <w:r w:rsidRPr="00A044F4">
              <w:rPr>
                <w:rStyle w:val="medium"/>
                <w:b/>
                <w:bCs/>
              </w:rPr>
              <w:t>Balance at 30 June 2018</w:t>
            </w:r>
          </w:p>
        </w:tc>
        <w:tc>
          <w:tcPr>
            <w:tcW w:w="51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F423CA">
            <w:pPr>
              <w:pStyle w:val="NoParagraphStyle"/>
              <w:spacing w:line="240" w:lineRule="auto"/>
              <w:textAlignment w:val="auto"/>
              <w:rPr>
                <w:rFonts w:ascii="Arial" w:hAnsi="Arial" w:cs="Arial"/>
                <w:color w:val="auto"/>
                <w:sz w:val="16"/>
                <w:szCs w:val="16"/>
              </w:rPr>
            </w:pPr>
          </w:p>
        </w:tc>
        <w:tc>
          <w:tcPr>
            <w:tcW w:w="119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611,550 </w:t>
            </w:r>
          </w:p>
        </w:tc>
        <w:tc>
          <w:tcPr>
            <w:tcW w:w="119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1,114,608 </w:t>
            </w:r>
          </w:p>
        </w:tc>
        <w:tc>
          <w:tcPr>
            <w:tcW w:w="107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1,329,342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044F4" w:rsidR="00F423CA" w:rsidP="00A044F4" w:rsidRDefault="004E2DCE">
            <w:pPr>
              <w:pStyle w:val="bodytableRtable"/>
              <w:spacing w:after="0" w:line="240" w:lineRule="auto"/>
            </w:pPr>
            <w:r w:rsidRPr="00A044F4">
              <w:rPr>
                <w:rStyle w:val="medium"/>
                <w:b/>
                <w:bCs/>
              </w:rPr>
              <w:t xml:space="preserve">3,055,500 </w:t>
            </w:r>
          </w:p>
        </w:tc>
      </w:tr>
      <w:tr w:rsidR="00F423CA" w:rsidTr="00A044F4">
        <w:trPr>
          <w:trHeight w:val="240"/>
        </w:trPr>
        <w:tc>
          <w:tcPr>
            <w:tcW w:w="9057" w:type="dxa"/>
            <w:gridSpan w:val="7"/>
            <w:tcBorders>
              <w:top w:val="single" w:color="000000" w:sz="6" w:space="0"/>
              <w:left w:val="nil"/>
              <w:bottom w:val="nil"/>
              <w:right w:val="nil"/>
            </w:tcBorders>
            <w:tcMar>
              <w:top w:w="57" w:type="dxa"/>
              <w:left w:w="57" w:type="dxa"/>
              <w:bottom w:w="57" w:type="dxa"/>
              <w:right w:w="57" w:type="dxa"/>
            </w:tcMar>
            <w:vAlign w:val="bottom"/>
          </w:tcPr>
          <w:p w:rsidR="00F423CA" w:rsidP="00A044F4" w:rsidRDefault="004E2DCE">
            <w:pPr>
              <w:pStyle w:val="notestable"/>
              <w:spacing w:after="0"/>
            </w:pPr>
            <w:r>
              <w:rPr>
                <w:rStyle w:val="medium"/>
                <w:b/>
                <w:bCs/>
              </w:rPr>
              <w:t>The above statement of changes in equity should be read in conjunction with notes to the financial statements.</w:t>
            </w:r>
          </w:p>
        </w:tc>
      </w:tr>
    </w:tbl>
    <w:p w:rsidR="00F423CA" w:rsidRDefault="00F423CA">
      <w:pPr>
        <w:pStyle w:val="Bodycopy"/>
      </w:pPr>
    </w:p>
    <w:p w:rsidR="00F423CA" w:rsidRDefault="00F423CA">
      <w:pPr>
        <w:pStyle w:val="Bodycopy"/>
      </w:pPr>
    </w:p>
    <w:p w:rsidR="00F423CA" w:rsidRDefault="00F423CA">
      <w:pPr>
        <w:pStyle w:val="Bodycopy"/>
      </w:pPr>
    </w:p>
    <w:p w:rsidRPr="00A044F4" w:rsidR="00A044F4" w:rsidP="00A044F4" w:rsidRDefault="00A044F4">
      <w:pPr>
        <w:pStyle w:val="Bodycopy"/>
      </w:pPr>
      <w:r>
        <w:br w:type="page"/>
      </w:r>
    </w:p>
    <w:p w:rsidR="00F423CA" w:rsidRDefault="004E2DCE">
      <w:pPr>
        <w:pStyle w:val="H1"/>
      </w:pPr>
      <w:bookmarkStart w:id="9" w:name="_Toc525290067"/>
      <w:r>
        <w:lastRenderedPageBreak/>
        <w:t>Notes to the financial statements</w:t>
      </w:r>
      <w:bookmarkEnd w:id="9"/>
    </w:p>
    <w:p w:rsidR="00F423CA" w:rsidP="003D05EC" w:rsidRDefault="004E2DCE">
      <w:pPr>
        <w:pStyle w:val="H2"/>
      </w:pPr>
      <w:bookmarkStart w:id="10" w:name="_Toc525290068"/>
      <w:r>
        <w:t>1. About this report</w:t>
      </w:r>
      <w:bookmarkEnd w:id="10"/>
    </w:p>
    <w:p w:rsidR="00F423CA" w:rsidRDefault="004E2DCE">
      <w:pPr>
        <w:pStyle w:val="Bodycopy"/>
      </w:pPr>
      <w:r>
        <w:t xml:space="preserve">The Department of Justice and Regulation (department) is a government department of the State of Victoria, established pursuant to an order made by the Premier under the </w:t>
      </w:r>
      <w:r>
        <w:rPr>
          <w:rStyle w:val="italic"/>
        </w:rPr>
        <w:t xml:space="preserve">Public Administration Act 2004. </w:t>
      </w:r>
      <w:r>
        <w:t>It is an administrative agency acting on behalf of the Crown.</w:t>
      </w:r>
    </w:p>
    <w:p w:rsidR="00F423CA" w:rsidRDefault="004E2DCE">
      <w:pPr>
        <w:pStyle w:val="Bodycopy"/>
      </w:pPr>
      <w:r>
        <w:t>A description of the nature of its operations and its principal activities is included in the report of operations, which does not form part of these financial statements.</w:t>
      </w:r>
    </w:p>
    <w:p w:rsidR="00F423CA" w:rsidP="003D05EC" w:rsidRDefault="004E2DCE">
      <w:pPr>
        <w:pStyle w:val="H4"/>
      </w:pPr>
      <w:r>
        <w:t>Basis of preparation</w:t>
      </w:r>
    </w:p>
    <w:p w:rsidR="00F423CA" w:rsidRDefault="004E2DCE">
      <w:pPr>
        <w:pStyle w:val="Bodycopy"/>
      </w:pPr>
      <w:r>
        <w:t>These financial statements have been prepared on an accruals basis, whereby assets, liabilities, equity, income and expenses are recognised in the reporting period to which they relate, regardless of when cash is received or paid.</w:t>
      </w:r>
    </w:p>
    <w:p w:rsidR="00F423CA" w:rsidRDefault="004E2DCE">
      <w:pPr>
        <w:pStyle w:val="Bodycopy"/>
      </w:pPr>
      <w:r>
        <w:t>Transactions and balances are based on historical costs unless a different measurement basis is specifically disclosed in the note associated with the item measured on a different basis.</w:t>
      </w:r>
    </w:p>
    <w:p w:rsidR="00F423CA" w:rsidRDefault="004E2DCE">
      <w:pPr>
        <w:pStyle w:val="Bodycopy"/>
      </w:pPr>
      <w:r>
        <w:t>The functional and presentation currency is the Australian dollar.  Amounts have been rounded to the nearest thousand dollars unless otherwise stated.</w:t>
      </w:r>
    </w:p>
    <w:p w:rsidR="00F423CA" w:rsidRDefault="004E2DCE">
      <w:pPr>
        <w:pStyle w:val="Bodycopy"/>
      </w:pPr>
      <w:r>
        <w:t>Judgements, estimates and assumptions are made in applying Australian Accounting Standards.  The estimates and associated assumptions are based on historical experience and various other factors that are believed to be reasonable under the circumstances.  Actual results may differ from these estimates.</w:t>
      </w:r>
    </w:p>
    <w:p w:rsidR="00F423CA" w:rsidRDefault="004E2DCE">
      <w:pPr>
        <w:pStyle w:val="Bodycopy"/>
      </w:pPr>
      <w:r>
        <w:t xml:space="preserve">The estimates and underlying assumptions are reviewed on an ongoing basis.  Revisions to accounting estimates are recognised in the period in which the estimate is revised and also in future periods that are affected by the revision.  </w:t>
      </w:r>
    </w:p>
    <w:p w:rsidR="00F423CA" w:rsidRDefault="004E2DCE">
      <w:pPr>
        <w:pStyle w:val="Bodycopy"/>
      </w:pPr>
      <w:r>
        <w:t>Judgements, assumptions and estimates that have significant effects on the financial statements are disclosed in the notes under the heading ‘significant judgements or estimates’.</w:t>
      </w:r>
    </w:p>
    <w:p w:rsidR="00F423CA" w:rsidRDefault="004E2DCE">
      <w:pPr>
        <w:pStyle w:val="Bodycopy"/>
      </w:pPr>
      <w:r>
        <w:t>Consistent with the requirements of</w:t>
      </w:r>
      <w:r>
        <w:rPr>
          <w:rStyle w:val="italic"/>
        </w:rPr>
        <w:t xml:space="preserve"> AASB 1004 Contributions</w:t>
      </w:r>
      <w:r>
        <w:t>, contributions by owners (that is, contributed capital and its repayment) are treated as equity transactions and, therefore, do not form part of the income and expenses of the department.</w:t>
      </w:r>
    </w:p>
    <w:p w:rsidR="00F423CA" w:rsidRDefault="004E2DCE">
      <w:pPr>
        <w:pStyle w:val="Bodycopy"/>
      </w:pPr>
      <w:r>
        <w:t>Additions to net assets which have been designated as contributions by owners are recognised as contributed capital.  Other transfers that are in the nature of contributions to or distributions by owners have also been designated as contributions by owners.</w:t>
      </w:r>
    </w:p>
    <w:p w:rsidR="00F423CA" w:rsidRDefault="004E2DCE">
      <w:pPr>
        <w:pStyle w:val="Bodycopy"/>
      </w:pPr>
      <w:r>
        <w:t>These financial statements cover the Department of Justice and Regulation as an individual reporting entity and include all the controlled activities of the department.</w:t>
      </w:r>
    </w:p>
    <w:p w:rsidR="00F423CA" w:rsidRDefault="004E2DCE">
      <w:pPr>
        <w:pStyle w:val="Bodycopy"/>
      </w:pPr>
      <w:r>
        <w:t xml:space="preserve">The following agencies have been consolidated into the department’s financial statements pursuant to a determination made by the Minister for Finance under section 53(1)(b) of the </w:t>
      </w:r>
      <w:r>
        <w:rPr>
          <w:rStyle w:val="italic"/>
        </w:rPr>
        <w:t xml:space="preserve">Financial Management Act 1994. </w:t>
      </w:r>
      <w:r>
        <w:t>These agencies are reported in aggregate and are not controlled by the department:</w:t>
      </w:r>
    </w:p>
    <w:p w:rsidR="00F423CA" w:rsidRDefault="004E2DCE">
      <w:pPr>
        <w:pStyle w:val="BodycopyBullet"/>
        <w:rPr>
          <w:rStyle w:val="italic"/>
        </w:rPr>
      </w:pPr>
      <w:r>
        <w:t xml:space="preserve">Office of the Road Safety Camera Commissioner, established under the </w:t>
      </w:r>
      <w:r>
        <w:rPr>
          <w:rStyle w:val="italic"/>
        </w:rPr>
        <w:t>Road Safety Camera Commissioner Act 2011.</w:t>
      </w:r>
    </w:p>
    <w:p w:rsidR="00F423CA" w:rsidRDefault="004E2DCE">
      <w:pPr>
        <w:pStyle w:val="BodycopyBullet"/>
        <w:rPr>
          <w:rStyle w:val="italic"/>
        </w:rPr>
      </w:pPr>
      <w:r>
        <w:t xml:space="preserve">Business Licensing Authority, established under the </w:t>
      </w:r>
      <w:r>
        <w:rPr>
          <w:rStyle w:val="italic"/>
        </w:rPr>
        <w:t>Business Licensing Authority Act 1998.</w:t>
      </w:r>
    </w:p>
    <w:p w:rsidR="00F423CA" w:rsidRDefault="004E2DCE">
      <w:pPr>
        <w:pStyle w:val="BodycopyBulletspaceunder"/>
        <w:rPr>
          <w:rStyle w:val="italic"/>
        </w:rPr>
      </w:pPr>
      <w:r>
        <w:t xml:space="preserve">Post Sentence Authority, established under the </w:t>
      </w:r>
      <w:r>
        <w:rPr>
          <w:rStyle w:val="italic"/>
        </w:rPr>
        <w:t>Serious Sex Offenders (Detention and Supervision) Amendment (Governance) Act 2017.</w:t>
      </w:r>
    </w:p>
    <w:p w:rsidR="00F423CA" w:rsidRDefault="004E2DCE">
      <w:pPr>
        <w:pStyle w:val="Bodycopy"/>
      </w:pPr>
      <w:r>
        <w:t>Where control of an entity is obtained during the financial period, its results are included in the comprehensive operating statement from the date on which control commenced.  Where control ceases during a financial period, the entity’s results are included for that part of the period in which control existed.  Where entities adopt dissimilar accounting policies and their effect is considered material, adjustments are made to ensure consistent policies are adopted in these financial statements.</w:t>
      </w:r>
    </w:p>
    <w:p w:rsidR="00F423CA" w:rsidRDefault="004E2DCE">
      <w:pPr>
        <w:pStyle w:val="Bodycopy"/>
      </w:pPr>
      <w:r>
        <w:t>In preparing these financial statements, all material transactions and balances between consolidated entities are eliminated.</w:t>
      </w:r>
    </w:p>
    <w:p w:rsidR="00F423CA" w:rsidRDefault="004E2DCE">
      <w:pPr>
        <w:pStyle w:val="H4"/>
      </w:pPr>
      <w:r>
        <w:t>Compliance information</w:t>
      </w:r>
    </w:p>
    <w:p w:rsidR="00F423CA" w:rsidRDefault="004E2DCE">
      <w:pPr>
        <w:pStyle w:val="Bodycopy"/>
        <w:rPr>
          <w:rStyle w:val="italic"/>
        </w:rPr>
      </w:pPr>
      <w:r>
        <w:t xml:space="preserve">These general purpose financial statements have been prepared in accordance with the </w:t>
      </w:r>
      <w:r>
        <w:rPr>
          <w:rStyle w:val="italic"/>
        </w:rPr>
        <w:t xml:space="preserve">Financial Management Act 1994 </w:t>
      </w:r>
      <w:r>
        <w:t xml:space="preserve">and applicable Australian Accounting Standards, including Interpretations, issued by the Australian Accounting Standards Board.  In particular, they are presented in a manner consistent with the requirements of </w:t>
      </w:r>
      <w:r>
        <w:rPr>
          <w:rStyle w:val="italic"/>
        </w:rPr>
        <w:t>AASB 1049 Whole of Government and General Government Sector Financial Reporting.</w:t>
      </w:r>
    </w:p>
    <w:p w:rsidR="00F423CA" w:rsidRDefault="004E2DCE">
      <w:pPr>
        <w:pStyle w:val="Bodycopy"/>
      </w:pPr>
      <w:r>
        <w:t>Where appropriate, those Australian Accounting Standards’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rsidR="00F423CA" w:rsidRDefault="00F423CA">
      <w:pPr>
        <w:pStyle w:val="Bodycopy"/>
      </w:pPr>
    </w:p>
    <w:p w:rsidR="003D05EC" w:rsidRDefault="003D05EC">
      <w:pPr>
        <w:rPr>
          <w:rFonts w:ascii="Arial" w:hAnsi="Arial" w:cs="Arial"/>
          <w:b/>
          <w:bCs/>
          <w:color w:val="542E8E"/>
          <w:sz w:val="27"/>
          <w:szCs w:val="27"/>
          <w:lang w:val="en-GB"/>
        </w:rPr>
      </w:pPr>
      <w:r>
        <w:br w:type="page"/>
      </w:r>
    </w:p>
    <w:p w:rsidR="00F423CA" w:rsidRDefault="004E2DCE">
      <w:pPr>
        <w:pStyle w:val="H2"/>
      </w:pPr>
      <w:bookmarkStart w:id="11" w:name="_Toc525290069"/>
      <w:r>
        <w:lastRenderedPageBreak/>
        <w:t>2. Funding delivery of services</w:t>
      </w:r>
      <w:bookmarkEnd w:id="11"/>
    </w:p>
    <w:p w:rsidR="00F423CA" w:rsidRDefault="004E2DCE">
      <w:pPr>
        <w:pStyle w:val="H3"/>
      </w:pPr>
      <w:r>
        <w:t>2.1 Introduction</w:t>
      </w:r>
    </w:p>
    <w:p w:rsidR="00F423CA" w:rsidRDefault="004E2DCE">
      <w:pPr>
        <w:pStyle w:val="Bodycopy"/>
        <w:rPr>
          <w:lang w:val="en-US"/>
        </w:rPr>
      </w:pPr>
      <w:r>
        <w:rPr>
          <w:lang w:val="en-US"/>
        </w:rPr>
        <w:t>The department’s key objectives are:</w:t>
      </w:r>
    </w:p>
    <w:p w:rsidR="00F423CA" w:rsidRDefault="004E2DCE">
      <w:pPr>
        <w:pStyle w:val="BodycopyBullet"/>
      </w:pPr>
      <w:r>
        <w:t>Ensuring community safety through policing, law enforcement and prevention activities</w:t>
      </w:r>
    </w:p>
    <w:p w:rsidR="00F423CA" w:rsidRDefault="004E2DCE">
      <w:pPr>
        <w:pStyle w:val="BodycopyBullet"/>
      </w:pPr>
      <w:r>
        <w:t>Effective management of prisoners and offenders and provision of opportunities for rehabilitation and reparation</w:t>
      </w:r>
    </w:p>
    <w:p w:rsidR="00F423CA" w:rsidRDefault="004E2DCE">
      <w:pPr>
        <w:pStyle w:val="BodycopyBullet"/>
      </w:pPr>
      <w:r>
        <w:t>Effective supervision of young offenders through the provision of youth justice services promoting rehabilitation</w:t>
      </w:r>
    </w:p>
    <w:p w:rsidR="00F423CA" w:rsidRDefault="004E2DCE">
      <w:pPr>
        <w:pStyle w:val="BodycopyBullet"/>
      </w:pPr>
      <w:r>
        <w:t>A fair and accessible criminal justice system that supports a just society based on the rule of law</w:t>
      </w:r>
    </w:p>
    <w:p w:rsidR="00F423CA" w:rsidRDefault="004E2DCE">
      <w:pPr>
        <w:pStyle w:val="BodycopyBullet"/>
      </w:pPr>
      <w:r>
        <w:t>A fair and accessible civil justice system that supports a just society with increased confidence and equality in the Victorian community</w:t>
      </w:r>
    </w:p>
    <w:p w:rsidR="00F423CA" w:rsidRDefault="004E2DCE">
      <w:pPr>
        <w:pStyle w:val="BodycopyBullet"/>
      </w:pPr>
      <w:r>
        <w:t>Reduce the impact of, and consequences from, natural disasters and other emergencies on people, infrastructure, the economy and the environment</w:t>
      </w:r>
    </w:p>
    <w:p w:rsidR="00F423CA" w:rsidRDefault="004E2DCE">
      <w:pPr>
        <w:pStyle w:val="BodycopyBulletspaceunder"/>
      </w:pPr>
      <w:r>
        <w:t>A fair market place for Victorian consumers and businesses with responsible and sustainable liquor, gambling and racing sectors</w:t>
      </w:r>
    </w:p>
    <w:p w:rsidR="00F423CA" w:rsidRDefault="004E2DCE">
      <w:pPr>
        <w:pStyle w:val="Bodycopy"/>
        <w:rPr>
          <w:lang w:val="en-US"/>
        </w:rPr>
      </w:pPr>
      <w:r>
        <w:rPr>
          <w:lang w:val="en-US"/>
        </w:rPr>
        <w:t xml:space="preserve">To enable the department to fulfil its objectives and provide outputs as described in note 4, it receives income (predominantly accrual based parliamentary appropriations).  The department also receives </w:t>
      </w:r>
      <w:proofErr w:type="gramStart"/>
      <w:r>
        <w:rPr>
          <w:lang w:val="en-US"/>
        </w:rPr>
        <w:t>market based</w:t>
      </w:r>
      <w:proofErr w:type="gramEnd"/>
      <w:r>
        <w:rPr>
          <w:lang w:val="en-US"/>
        </w:rPr>
        <w:t xml:space="preserve"> fees for providing advice and other services.</w:t>
      </w:r>
    </w:p>
    <w:p w:rsidR="00F423CA" w:rsidRDefault="004E2DCE">
      <w:pPr>
        <w:pStyle w:val="Bodycopy"/>
        <w:rPr>
          <w:lang w:val="en-US"/>
        </w:rPr>
      </w:pPr>
      <w:r>
        <w:rPr>
          <w:lang w:val="en-US"/>
        </w:rPr>
        <w:t xml:space="preserve">Income is </w:t>
      </w:r>
      <w:proofErr w:type="spellStart"/>
      <w:r>
        <w:rPr>
          <w:lang w:val="en-US"/>
        </w:rPr>
        <w:t>recognised</w:t>
      </w:r>
      <w:proofErr w:type="spellEnd"/>
      <w:r>
        <w:rPr>
          <w:lang w:val="en-US"/>
        </w:rPr>
        <w:t xml:space="preserve"> to the extent it is probable the economic benefits will flow to the department and the income can be reliably measured at fair value.  Where applicable, amounts disclosed as income are net of returns, allowances, duties and taxes.  All amounts of income over which the department does not have control are disclosed as administered income (see note 4.3).</w:t>
      </w:r>
    </w:p>
    <w:p w:rsidR="00F423CA" w:rsidRDefault="004E2DCE">
      <w:pPr>
        <w:pStyle w:val="Bodycopy"/>
        <w:rPr>
          <w:lang w:val="en-US"/>
        </w:rPr>
      </w:pPr>
      <w:r>
        <w:rPr>
          <w:lang w:val="en-US"/>
        </w:rPr>
        <w:t>This section provides details on the income we receive to achieve the department’s objectives.</w:t>
      </w:r>
    </w:p>
    <w:p w:rsidR="00F423CA" w:rsidRDefault="004E2DCE">
      <w:pPr>
        <w:pStyle w:val="H3"/>
      </w:pPr>
      <w:r>
        <w:t>2.2 Summary of compliance with annual parliamentary appropriations</w:t>
      </w:r>
    </w:p>
    <w:p w:rsidR="00F423CA" w:rsidRDefault="004E2DCE">
      <w:pPr>
        <w:pStyle w:val="Bodycopy"/>
      </w:pPr>
      <w:r>
        <w:t xml:space="preserve">Appropriation is an authority given by the Victorian State Parliament to draw certain sums out of the </w:t>
      </w:r>
      <w:r>
        <w:rPr>
          <w:spacing w:val="1"/>
        </w:rPr>
        <w:t xml:space="preserve">State’s Consolidated Fund, now or at some future point in time, for the purposes stated, up to the limit of </w:t>
      </w:r>
      <w:r>
        <w:t>the amount in a particular Act.</w:t>
      </w:r>
    </w:p>
    <w:p w:rsidR="00F423CA" w:rsidRDefault="004E2DCE">
      <w:pPr>
        <w:pStyle w:val="Bodycopy"/>
      </w:pPr>
      <w:r>
        <w:t xml:space="preserve">Annual appropriations are set out in the annual </w:t>
      </w:r>
      <w:r>
        <w:rPr>
          <w:rStyle w:val="italic"/>
        </w:rPr>
        <w:t>Appropriation Act</w:t>
      </w:r>
      <w:r>
        <w:t xml:space="preserve"> and provide for the ordinary annual services of the State Government for a specific financial year.  The Act outlines the amount of public money appropriated to each department for the ‘provision of outputs’, ‘additions to net asset base’, ‘payments made on behalf of the State’ and other appropriations specified in the Act for a given financial year.</w:t>
      </w:r>
    </w:p>
    <w:p w:rsidR="00F423CA" w:rsidRDefault="004E2DCE">
      <w:pPr>
        <w:pStyle w:val="Bodycopy"/>
      </w:pPr>
      <w:r>
        <w:t>Output appropriations as shown in the comprehensive operating statement are the appropriations recognised for the ‘provision of outputs’ delivered by the department in a particular financial year.</w:t>
      </w:r>
    </w:p>
    <w:p w:rsidR="00F423CA" w:rsidRDefault="004E2DCE">
      <w:pPr>
        <w:pStyle w:val="Bodycopy"/>
      </w:pPr>
      <w:r>
        <w:t>Capital appropriations as shown in the statement of changes in equity are the appropriations recognised for ‘additions to net asset base’ of the department in a particular financial year.</w:t>
      </w:r>
    </w:p>
    <w:p w:rsidR="00F423CA" w:rsidRDefault="004E2DCE">
      <w:pPr>
        <w:pStyle w:val="Bodycopy"/>
      </w:pPr>
      <w:r>
        <w:t>Appropriations for payments made on behalf of the State as shown in note 4.3 are the appropriations recognised for payments made on behalf of the State in a particular financial year.</w:t>
      </w:r>
    </w:p>
    <w:p w:rsidR="00F423CA" w:rsidRDefault="004E2DCE">
      <w:pPr>
        <w:pStyle w:val="Bodycopy"/>
      </w:pPr>
      <w:r>
        <w:t xml:space="preserve">Appropriations in relation to the Victorian Law Reform Commission are shown below for </w:t>
      </w:r>
      <w:proofErr w:type="gramStart"/>
      <w:r>
        <w:t>completeness, but</w:t>
      </w:r>
      <w:proofErr w:type="gramEnd"/>
      <w:r>
        <w:t xml:space="preserve"> are not reflected elsewhere within the department’s financial statements.</w:t>
      </w:r>
    </w:p>
    <w:p w:rsidR="00F423CA" w:rsidRDefault="004E2DCE">
      <w:pPr>
        <w:pStyle w:val="Bodycopy"/>
      </w:pPr>
      <w:r>
        <w:t>The amount of appropriation recognised each year depends on the department’s performance in delivering its provision of outputs and additions to net asset base against agreed performance criteria, and the activity in relation to payments on behalf of the State.  The amount of appropriation recognised is formally applied and certified by the Treasurer.</w:t>
      </w:r>
    </w:p>
    <w:p w:rsidR="00F423CA" w:rsidRDefault="004E2DCE">
      <w:pPr>
        <w:pStyle w:val="Bodycopy"/>
      </w:pPr>
      <w:r>
        <w:t>In accordance with accrual output-based management procedures, ‘provision of outputs’ and ‘additions to net asset base’ are disclosed as ‘controlled’ activities of the department.  ‘Payments made on behalf of the State’ are undertaken on behalf of the State over which the department has no control or discretion and are therefore disclosed as an ‘administered’ activity of the department.</w:t>
      </w:r>
    </w:p>
    <w:p w:rsidR="00F423CA" w:rsidRDefault="004E2DCE">
      <w:pPr>
        <w:pStyle w:val="Bodycopy"/>
      </w:pPr>
      <w:r>
        <w:rPr>
          <w:spacing w:val="1"/>
        </w:rPr>
        <w:t xml:space="preserve">The following table discloses the details of the various annual parliamentary appropriations received by </w:t>
      </w:r>
      <w:r>
        <w:t>the department for the year.</w:t>
      </w:r>
    </w:p>
    <w:tbl>
      <w:tblPr>
        <w:tblW w:w="0" w:type="auto"/>
        <w:tblInd w:w="28" w:type="dxa"/>
        <w:tblBorders>
          <w:bottom w:val="single" w:color="532F8E" w:sz="4" w:space="0"/>
          <w:insideH w:val="single" w:color="532F8E" w:sz="4" w:space="0"/>
        </w:tblBorders>
        <w:tblLayout w:type="fixed"/>
        <w:tblCellMar>
          <w:left w:w="0" w:type="dxa"/>
          <w:right w:w="0" w:type="dxa"/>
        </w:tblCellMar>
        <w:tblLook w:firstRow="0" w:lastRow="0" w:firstColumn="0" w:lastColumn="0" w:noHBand="0" w:noVBand="0" w:val="0000"/>
      </w:tblPr>
      <w:tblGrid>
        <w:gridCol w:w="1058"/>
        <w:gridCol w:w="1002"/>
        <w:gridCol w:w="737"/>
        <w:gridCol w:w="605"/>
        <w:gridCol w:w="642"/>
        <w:gridCol w:w="586"/>
        <w:gridCol w:w="567"/>
        <w:gridCol w:w="567"/>
        <w:gridCol w:w="945"/>
        <w:gridCol w:w="1020"/>
        <w:gridCol w:w="1134"/>
        <w:gridCol w:w="699"/>
        <w:gridCol w:w="340"/>
      </w:tblGrid>
      <w:tr w:rsidRPr="005C5E17" w:rsidR="00F423CA" w:rsidTr="005C5E17">
        <w:trPr>
          <w:trHeight w:val="60"/>
          <w:tblHeader/>
        </w:trPr>
        <w:tc>
          <w:tcPr>
            <w:tcW w:w="1058" w:type="dxa"/>
            <w:shd w:val="solid" w:color="FFFFFF" w:fill="auto"/>
            <w:tcMar>
              <w:top w:w="57" w:type="dxa"/>
              <w:left w:w="28" w:type="dxa"/>
              <w:bottom w:w="57" w:type="dxa"/>
              <w:right w:w="28"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02" w:type="dxa"/>
            <w:shd w:val="solid" w:color="FFFFFF" w:fill="auto"/>
            <w:tcMar>
              <w:top w:w="57" w:type="dxa"/>
              <w:left w:w="28" w:type="dxa"/>
              <w:bottom w:w="57" w:type="dxa"/>
              <w:right w:w="28"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737" w:type="dxa"/>
            <w:shd w:val="solid" w:color="FFFFFF" w:fill="auto"/>
            <w:tcMar>
              <w:top w:w="57" w:type="dxa"/>
              <w:left w:w="28" w:type="dxa"/>
              <w:bottom w:w="57" w:type="dxa"/>
              <w:right w:w="28"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05" w:type="dxa"/>
            <w:shd w:val="solid" w:color="FFFFFF" w:fill="auto"/>
            <w:tcMar>
              <w:top w:w="57" w:type="dxa"/>
              <w:left w:w="28" w:type="dxa"/>
              <w:bottom w:w="57" w:type="dxa"/>
              <w:right w:w="28"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160" w:type="dxa"/>
            <w:gridSpan w:val="8"/>
            <w:shd w:val="solid" w:color="FFFFFF" w:fill="auto"/>
            <w:tcMar>
              <w:top w:w="57" w:type="dxa"/>
              <w:left w:w="28" w:type="dxa"/>
              <w:bottom w:w="57" w:type="dxa"/>
              <w:right w:w="28" w:type="dxa"/>
            </w:tcMar>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 thousand)</w:t>
            </w:r>
          </w:p>
        </w:tc>
        <w:tc>
          <w:tcPr>
            <w:tcW w:w="340" w:type="dxa"/>
            <w:tcBorders>
              <w:top w:val="nil"/>
              <w:bottom w:val="nil"/>
            </w:tcBorders>
            <w:shd w:val="solid" w:color="FFFFFF" w:fill="auto"/>
            <w:tcMar>
              <w:top w:w="57" w:type="dxa"/>
              <w:left w:w="57" w:type="dxa"/>
              <w:bottom w:w="57" w:type="dxa"/>
              <w:right w:w="57"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r>
      <w:tr w:rsidRPr="005C5E17" w:rsidR="00F423CA" w:rsidTr="005C5E17">
        <w:trPr>
          <w:trHeight w:val="60"/>
          <w:tblHeader/>
        </w:trPr>
        <w:tc>
          <w:tcPr>
            <w:tcW w:w="1058" w:type="dxa"/>
            <w:shd w:val="solid" w:color="FFFFFF" w:fill="auto"/>
            <w:tcMar>
              <w:top w:w="57" w:type="dxa"/>
              <w:left w:w="28" w:type="dxa"/>
              <w:bottom w:w="57" w:type="dxa"/>
              <w:right w:w="28"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2344" w:type="dxa"/>
            <w:gridSpan w:val="3"/>
            <w:shd w:val="solid" w:color="FFFFFF" w:fill="auto"/>
            <w:tcMar>
              <w:top w:w="57" w:type="dxa"/>
              <w:left w:w="28" w:type="dxa"/>
              <w:bottom w:w="57" w:type="dxa"/>
              <w:right w:w="28" w:type="dxa"/>
            </w:tcMar>
            <w:vAlign w:val="bottom"/>
          </w:tcPr>
          <w:p w:rsidRPr="005C5E17" w:rsidR="00F423CA" w:rsidP="005C5E17" w:rsidRDefault="004E2DCE">
            <w:pPr>
              <w:pStyle w:val="bodytableLtable"/>
              <w:spacing w:after="0" w:line="240" w:lineRule="auto"/>
              <w:jc w:val="center"/>
              <w:rPr>
                <w:sz w:val="12"/>
                <w:szCs w:val="12"/>
              </w:rPr>
            </w:pPr>
            <w:r w:rsidRPr="005C5E17">
              <w:rPr>
                <w:rStyle w:val="medium"/>
                <w:b/>
                <w:bCs/>
                <w:color w:val="542E8E"/>
                <w:sz w:val="12"/>
                <w:szCs w:val="12"/>
              </w:rPr>
              <w:t>Appropriations Act</w:t>
            </w:r>
          </w:p>
        </w:tc>
        <w:tc>
          <w:tcPr>
            <w:tcW w:w="2362" w:type="dxa"/>
            <w:gridSpan w:val="4"/>
            <w:shd w:val="solid" w:color="FFFFFF" w:fill="auto"/>
            <w:tcMar>
              <w:top w:w="57" w:type="dxa"/>
              <w:left w:w="28" w:type="dxa"/>
              <w:bottom w:w="57" w:type="dxa"/>
              <w:right w:w="28" w:type="dxa"/>
            </w:tcMar>
            <w:vAlign w:val="bottom"/>
          </w:tcPr>
          <w:p w:rsidRPr="005C5E17" w:rsidR="00F423CA" w:rsidP="005C5E17" w:rsidRDefault="004E2DCE">
            <w:pPr>
              <w:pStyle w:val="bodytableLtable"/>
              <w:spacing w:after="0" w:line="240" w:lineRule="auto"/>
              <w:jc w:val="center"/>
              <w:rPr>
                <w:sz w:val="12"/>
                <w:szCs w:val="12"/>
              </w:rPr>
            </w:pPr>
            <w:r w:rsidRPr="005C5E17">
              <w:rPr>
                <w:rStyle w:val="medium"/>
                <w:b/>
                <w:bCs/>
                <w:color w:val="542E8E"/>
                <w:sz w:val="12"/>
                <w:szCs w:val="12"/>
              </w:rPr>
              <w:t>Financial Management Act</w:t>
            </w:r>
          </w:p>
        </w:tc>
        <w:tc>
          <w:tcPr>
            <w:tcW w:w="945" w:type="dxa"/>
            <w:vMerge w:val="restart"/>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Machinery of government changes</w:t>
            </w:r>
          </w:p>
        </w:tc>
        <w:tc>
          <w:tcPr>
            <w:tcW w:w="1020" w:type="dxa"/>
            <w:vMerge w:val="restart"/>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 xml:space="preserve">Total parliamentary authority </w:t>
            </w:r>
          </w:p>
        </w:tc>
        <w:tc>
          <w:tcPr>
            <w:tcW w:w="1134" w:type="dxa"/>
            <w:vMerge w:val="restart"/>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Appropriations applied</w:t>
            </w:r>
          </w:p>
        </w:tc>
        <w:tc>
          <w:tcPr>
            <w:tcW w:w="699" w:type="dxa"/>
            <w:vMerge w:val="restart"/>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Variance</w:t>
            </w:r>
          </w:p>
        </w:tc>
        <w:tc>
          <w:tcPr>
            <w:tcW w:w="340" w:type="dxa"/>
            <w:tcBorders>
              <w:top w:val="nil"/>
              <w:bottom w:val="nil"/>
            </w:tcBorders>
            <w:shd w:val="solid" w:color="FFFFFF" w:fill="auto"/>
            <w:tcMar>
              <w:top w:w="57" w:type="dxa"/>
              <w:left w:w="57" w:type="dxa"/>
              <w:bottom w:w="57" w:type="dxa"/>
              <w:right w:w="57"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r>
      <w:tr w:rsidRPr="005C5E17" w:rsidR="00F423CA" w:rsidTr="005C5E17">
        <w:trPr>
          <w:trHeight w:val="60"/>
          <w:tblHeader/>
        </w:trPr>
        <w:tc>
          <w:tcPr>
            <w:tcW w:w="1058" w:type="dxa"/>
            <w:shd w:val="solid" w:color="FFFFFF" w:fill="auto"/>
            <w:tcMar>
              <w:top w:w="57" w:type="dxa"/>
              <w:left w:w="28" w:type="dxa"/>
              <w:bottom w:w="57" w:type="dxa"/>
              <w:right w:w="28" w:type="dxa"/>
            </w:tcMar>
            <w:vAlign w:val="bottom"/>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02" w:type="dxa"/>
            <w:shd w:val="solid" w:color="FFFFFF" w:fill="auto"/>
            <w:tcMar>
              <w:top w:w="57" w:type="dxa"/>
              <w:left w:w="28" w:type="dxa"/>
              <w:bottom w:w="57" w:type="dxa"/>
              <w:right w:w="28"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Annual appropriation</w:t>
            </w:r>
          </w:p>
        </w:tc>
        <w:tc>
          <w:tcPr>
            <w:tcW w:w="737" w:type="dxa"/>
            <w:shd w:val="solid" w:color="FFFFFF" w:fill="auto"/>
            <w:tcMar>
              <w:top w:w="57" w:type="dxa"/>
              <w:left w:w="28" w:type="dxa"/>
              <w:bottom w:w="57" w:type="dxa"/>
              <w:right w:w="28"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Advance from Treasurer</w:t>
            </w:r>
          </w:p>
        </w:tc>
        <w:tc>
          <w:tcPr>
            <w:tcW w:w="605" w:type="dxa"/>
            <w:shd w:val="solid" w:color="FFFFFF" w:fill="auto"/>
            <w:tcMar>
              <w:top w:w="57" w:type="dxa"/>
              <w:left w:w="28" w:type="dxa"/>
              <w:bottom w:w="57" w:type="dxa"/>
              <w:right w:w="28"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Section 3(2)</w:t>
            </w:r>
          </w:p>
        </w:tc>
        <w:tc>
          <w:tcPr>
            <w:tcW w:w="642" w:type="dxa"/>
            <w:shd w:val="solid" w:color="FFFFFF" w:fill="auto"/>
            <w:tcMar>
              <w:top w:w="57" w:type="dxa"/>
              <w:left w:w="28" w:type="dxa"/>
              <w:bottom w:w="57" w:type="dxa"/>
              <w:right w:w="28"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Section 29</w:t>
            </w:r>
          </w:p>
        </w:tc>
        <w:tc>
          <w:tcPr>
            <w:tcW w:w="586" w:type="dxa"/>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Section 30</w:t>
            </w:r>
          </w:p>
        </w:tc>
        <w:tc>
          <w:tcPr>
            <w:tcW w:w="567" w:type="dxa"/>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Section 32</w:t>
            </w:r>
          </w:p>
        </w:tc>
        <w:tc>
          <w:tcPr>
            <w:tcW w:w="567" w:type="dxa"/>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jc w:val="right"/>
              <w:rPr>
                <w:sz w:val="12"/>
                <w:szCs w:val="12"/>
              </w:rPr>
            </w:pPr>
            <w:r w:rsidRPr="005C5E17">
              <w:rPr>
                <w:rStyle w:val="medium"/>
                <w:b/>
                <w:bCs/>
                <w:color w:val="542E8E"/>
                <w:sz w:val="12"/>
                <w:szCs w:val="12"/>
              </w:rPr>
              <w:t>Section 35</w:t>
            </w:r>
          </w:p>
        </w:tc>
        <w:tc>
          <w:tcPr>
            <w:tcW w:w="945" w:type="dxa"/>
            <w:vMerge/>
            <w:tcMar>
              <w:top w:w="57" w:type="dxa"/>
              <w:left w:w="57" w:type="dxa"/>
              <w:bottom w:w="57" w:type="dxa"/>
              <w:right w:w="57"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20" w:type="dxa"/>
            <w:vMerge/>
            <w:tcMar>
              <w:top w:w="57" w:type="dxa"/>
              <w:left w:w="57" w:type="dxa"/>
              <w:bottom w:w="57" w:type="dxa"/>
              <w:right w:w="57"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134" w:type="dxa"/>
            <w:vMerge/>
            <w:tcMar>
              <w:top w:w="57" w:type="dxa"/>
              <w:left w:w="57" w:type="dxa"/>
              <w:bottom w:w="57" w:type="dxa"/>
              <w:right w:w="57"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99" w:type="dxa"/>
            <w:vMerge/>
            <w:tcMar>
              <w:top w:w="57" w:type="dxa"/>
              <w:left w:w="57" w:type="dxa"/>
              <w:bottom w:w="57" w:type="dxa"/>
              <w:right w:w="57"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340" w:type="dxa"/>
            <w:tcBorders>
              <w:top w:val="nil"/>
              <w:bottom w:val="nil"/>
            </w:tcBorders>
            <w:shd w:val="solid" w:color="FFFFFF" w:fill="auto"/>
            <w:tcMar>
              <w:top w:w="57" w:type="dxa"/>
              <w:left w:w="57" w:type="dxa"/>
              <w:bottom w:w="57" w:type="dxa"/>
              <w:right w:w="57" w:type="dxa"/>
            </w:tcMa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2018</w:t>
            </w:r>
          </w:p>
        </w:tc>
        <w:tc>
          <w:tcPr>
            <w:tcW w:w="100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737"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05"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4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86"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945"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20"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134"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99"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Controlled</w:t>
            </w:r>
          </w:p>
        </w:tc>
        <w:tc>
          <w:tcPr>
            <w:tcW w:w="100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737"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05"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4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86"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945"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20"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134"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99"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t>Provision of outputs</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6,384,511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260,168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237,756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34,707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73,298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15,040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7,005,480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6,837,010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168,470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t>Victorian Law Reform Commission</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691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691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665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26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F423CA">
            <w:pPr>
              <w:pStyle w:val="NoParagraphStyle"/>
              <w:spacing w:line="240" w:lineRule="auto"/>
              <w:textAlignment w:val="auto"/>
              <w:rPr>
                <w:rFonts w:ascii="Arial" w:hAnsi="Arial" w:cs="Arial"/>
                <w:color w:val="auto"/>
                <w:sz w:val="12"/>
                <w:szCs w:val="12"/>
              </w:rPr>
            </w:pP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6,385,202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260,168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237,756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34,707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73,298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15,040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7,006,171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6,837,675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168,496 </w:t>
            </w:r>
          </w:p>
        </w:tc>
        <w:tc>
          <w:tcPr>
            <w:tcW w:w="340" w:type="dxa"/>
            <w:tcBorders>
              <w:top w:val="nil"/>
              <w:bottom w:val="nil"/>
            </w:tcBorders>
            <w:tcMar>
              <w:top w:w="57" w:type="dxa"/>
              <w:left w:w="57" w:type="dxa"/>
              <w:bottom w:w="57" w:type="dxa"/>
              <w:right w:w="57" w:type="dxa"/>
            </w:tcMar>
          </w:tcPr>
          <w:p w:rsidRPr="005C5E17" w:rsidR="00F423CA" w:rsidP="005C5E17" w:rsidRDefault="004E2DCE">
            <w:pPr>
              <w:pStyle w:val="bodytableRtable"/>
              <w:spacing w:after="0" w:line="240" w:lineRule="auto"/>
              <w:jc w:val="left"/>
              <w:rPr>
                <w:sz w:val="12"/>
                <w:szCs w:val="12"/>
              </w:rPr>
            </w:pPr>
            <w:r w:rsidRPr="005C5E17">
              <w:rPr>
                <w:rStyle w:val="Superscript"/>
                <w:sz w:val="12"/>
                <w:szCs w:val="12"/>
              </w:rPr>
              <w:t>(</w:t>
            </w:r>
            <w:proofErr w:type="spellStart"/>
            <w:r w:rsidRPr="005C5E17">
              <w:rPr>
                <w:rStyle w:val="Superscript"/>
                <w:sz w:val="12"/>
                <w:szCs w:val="12"/>
              </w:rPr>
              <w:t>i</w:t>
            </w:r>
            <w:proofErr w:type="spellEnd"/>
            <w:r w:rsidRPr="005C5E17">
              <w:rPr>
                <w:rStyle w:val="Superscript"/>
                <w:sz w:val="12"/>
                <w:szCs w:val="12"/>
              </w:rPr>
              <w:t>)(iv)</w:t>
            </w: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lastRenderedPageBreak/>
              <w:t>Additions to net asset base</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715,504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95,390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324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(34,707)</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92,055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7,900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876,466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611,379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265,087 </w:t>
            </w:r>
          </w:p>
        </w:tc>
        <w:tc>
          <w:tcPr>
            <w:tcW w:w="340" w:type="dxa"/>
            <w:tcBorders>
              <w:top w:val="nil"/>
              <w:bottom w:val="nil"/>
            </w:tcBorders>
            <w:tcMar>
              <w:top w:w="57" w:type="dxa"/>
              <w:left w:w="57" w:type="dxa"/>
              <w:bottom w:w="57" w:type="dxa"/>
              <w:right w:w="57" w:type="dxa"/>
            </w:tcMar>
          </w:tcPr>
          <w:p w:rsidRPr="005C5E17" w:rsidR="00F423CA" w:rsidP="005C5E17" w:rsidRDefault="004E2DCE">
            <w:pPr>
              <w:pStyle w:val="bodytableRtable"/>
              <w:spacing w:after="0" w:line="240" w:lineRule="auto"/>
              <w:jc w:val="left"/>
              <w:rPr>
                <w:sz w:val="12"/>
                <w:szCs w:val="12"/>
              </w:rPr>
            </w:pPr>
            <w:r w:rsidRPr="005C5E17">
              <w:rPr>
                <w:rStyle w:val="Superscript"/>
                <w:sz w:val="12"/>
                <w:szCs w:val="12"/>
              </w:rPr>
              <w:t>(ii)(iv)</w:t>
            </w: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Administered</w:t>
            </w:r>
          </w:p>
        </w:tc>
        <w:tc>
          <w:tcPr>
            <w:tcW w:w="100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737"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05"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4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86"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945"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20"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134"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99"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t>Payments made on behalf of State</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36,001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36,001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28,976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7,025 </w:t>
            </w:r>
          </w:p>
        </w:tc>
        <w:tc>
          <w:tcPr>
            <w:tcW w:w="340" w:type="dxa"/>
            <w:tcBorders>
              <w:top w:val="nil"/>
              <w:bottom w:val="nil"/>
            </w:tcBorders>
            <w:tcMar>
              <w:top w:w="57" w:type="dxa"/>
              <w:left w:w="57" w:type="dxa"/>
              <w:bottom w:w="57" w:type="dxa"/>
              <w:right w:w="57" w:type="dxa"/>
            </w:tcMar>
          </w:tcPr>
          <w:p w:rsidRPr="005C5E17" w:rsidR="00F423CA" w:rsidP="005C5E17" w:rsidRDefault="004E2DCE">
            <w:pPr>
              <w:pStyle w:val="bodytableRtable"/>
              <w:spacing w:after="0" w:line="240" w:lineRule="auto"/>
              <w:jc w:val="left"/>
              <w:rPr>
                <w:sz w:val="12"/>
                <w:szCs w:val="12"/>
              </w:rPr>
            </w:pPr>
            <w:r w:rsidRPr="005C5E17">
              <w:rPr>
                <w:rStyle w:val="Superscript"/>
                <w:sz w:val="12"/>
                <w:szCs w:val="12"/>
              </w:rPr>
              <w:t>(iii)</w:t>
            </w: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Total</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7,136,707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355,558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238,080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165,353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22,940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7,918,638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7,478,030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440,608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2017</w:t>
            </w:r>
          </w:p>
        </w:tc>
        <w:tc>
          <w:tcPr>
            <w:tcW w:w="100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737"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05"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4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86"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945"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20"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134"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99"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Controlled</w:t>
            </w:r>
          </w:p>
        </w:tc>
        <w:tc>
          <w:tcPr>
            <w:tcW w:w="100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737"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05"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4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86"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945"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20"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134"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99"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t>Provision for outputs</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5,583,419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123,093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226,688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89,719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144,707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37,312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6,204,938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6,053,549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151,389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t>Victorian Law Reform Commission</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694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694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694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F423CA">
            <w:pPr>
              <w:pStyle w:val="NoParagraphStyle"/>
              <w:spacing w:line="240" w:lineRule="auto"/>
              <w:textAlignment w:val="auto"/>
              <w:rPr>
                <w:rFonts w:ascii="Arial" w:hAnsi="Arial" w:cs="Arial"/>
                <w:color w:val="auto"/>
                <w:sz w:val="12"/>
                <w:szCs w:val="12"/>
              </w:rPr>
            </w:pP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5,584,113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123,093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226,688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89,719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144,707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37,312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6,205,632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6,054,243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151,389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t>Additions to net asset base</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324,411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32,220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2,485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(89,719)</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205,607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1,576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476,580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164,984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311,596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Administered</w:t>
            </w:r>
          </w:p>
        </w:tc>
        <w:tc>
          <w:tcPr>
            <w:tcW w:w="100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737"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05"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42" w:type="dxa"/>
            <w:tcMar>
              <w:top w:w="57" w:type="dxa"/>
              <w:left w:w="28" w:type="dxa"/>
              <w:bottom w:w="57" w:type="dxa"/>
              <w:right w:w="28"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86"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567"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945"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020"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1134"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699" w:type="dxa"/>
            <w:tcMar>
              <w:top w:w="57" w:type="dxa"/>
              <w:left w:w="57" w:type="dxa"/>
              <w:bottom w:w="57" w:type="dxa"/>
              <w:right w:w="57" w:type="dxa"/>
            </w:tcMar>
            <w:vAlign w:val="center"/>
          </w:tcPr>
          <w:p w:rsidRPr="005C5E17" w:rsidR="00F423CA" w:rsidP="005C5E17" w:rsidRDefault="00F423CA">
            <w:pPr>
              <w:pStyle w:val="NoParagraphStyle"/>
              <w:spacing w:line="240" w:lineRule="auto"/>
              <w:jc w:val="right"/>
              <w:textAlignment w:val="auto"/>
              <w:rPr>
                <w:rFonts w:ascii="Arial" w:hAnsi="Arial" w:cs="Arial"/>
                <w:color w:val="auto"/>
                <w:sz w:val="12"/>
                <w:szCs w:val="12"/>
              </w:rPr>
            </w:pP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sz w:val="12"/>
                <w:szCs w:val="12"/>
              </w:rPr>
              <w:t>Payments made on behalf of State</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54,462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0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54,462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27,773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sz w:val="12"/>
                <w:szCs w:val="12"/>
              </w:rPr>
              <w:t xml:space="preserve">26,689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r w:rsidRPr="005C5E17" w:rsidR="00F423CA" w:rsidTr="005C5E17">
        <w:trPr>
          <w:trHeight w:val="60"/>
        </w:trPr>
        <w:tc>
          <w:tcPr>
            <w:tcW w:w="1058" w:type="dxa"/>
            <w:tcMar>
              <w:top w:w="57" w:type="dxa"/>
              <w:left w:w="28" w:type="dxa"/>
              <w:bottom w:w="57" w:type="dxa"/>
              <w:right w:w="28" w:type="dxa"/>
            </w:tcMar>
            <w:vAlign w:val="center"/>
          </w:tcPr>
          <w:p w:rsidRPr="005C5E17" w:rsidR="00F423CA" w:rsidP="005C5E17" w:rsidRDefault="004E2DCE">
            <w:pPr>
              <w:pStyle w:val="bodytableLtable"/>
              <w:spacing w:after="0" w:line="240" w:lineRule="auto"/>
              <w:rPr>
                <w:sz w:val="12"/>
                <w:szCs w:val="12"/>
              </w:rPr>
            </w:pPr>
            <w:r w:rsidRPr="005C5E17">
              <w:rPr>
                <w:rStyle w:val="medium"/>
                <w:b/>
                <w:bCs/>
                <w:sz w:val="12"/>
                <w:szCs w:val="12"/>
              </w:rPr>
              <w:t>Total</w:t>
            </w:r>
          </w:p>
        </w:tc>
        <w:tc>
          <w:tcPr>
            <w:tcW w:w="100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5,962,986 </w:t>
            </w:r>
          </w:p>
        </w:tc>
        <w:tc>
          <w:tcPr>
            <w:tcW w:w="737"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155,313 </w:t>
            </w:r>
          </w:p>
        </w:tc>
        <w:tc>
          <w:tcPr>
            <w:tcW w:w="605"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0 </w:t>
            </w:r>
          </w:p>
        </w:tc>
        <w:tc>
          <w:tcPr>
            <w:tcW w:w="642" w:type="dxa"/>
            <w:tcMar>
              <w:top w:w="57" w:type="dxa"/>
              <w:left w:w="28" w:type="dxa"/>
              <w:bottom w:w="57" w:type="dxa"/>
              <w:right w:w="28"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229,173 </w:t>
            </w:r>
          </w:p>
        </w:tc>
        <w:tc>
          <w:tcPr>
            <w:tcW w:w="586"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0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350,314 </w:t>
            </w:r>
          </w:p>
        </w:tc>
        <w:tc>
          <w:tcPr>
            <w:tcW w:w="567"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0 </w:t>
            </w:r>
          </w:p>
        </w:tc>
        <w:tc>
          <w:tcPr>
            <w:tcW w:w="945"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38,888 </w:t>
            </w:r>
          </w:p>
        </w:tc>
        <w:tc>
          <w:tcPr>
            <w:tcW w:w="1020"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6,736,674 </w:t>
            </w:r>
          </w:p>
        </w:tc>
        <w:tc>
          <w:tcPr>
            <w:tcW w:w="1134"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6,247,000 </w:t>
            </w:r>
          </w:p>
        </w:tc>
        <w:tc>
          <w:tcPr>
            <w:tcW w:w="699" w:type="dxa"/>
            <w:tcMar>
              <w:top w:w="57" w:type="dxa"/>
              <w:left w:w="57" w:type="dxa"/>
              <w:bottom w:w="57" w:type="dxa"/>
              <w:right w:w="57" w:type="dxa"/>
            </w:tcMar>
            <w:vAlign w:val="center"/>
          </w:tcPr>
          <w:p w:rsidRPr="005C5E17" w:rsidR="00F423CA" w:rsidP="005C5E17" w:rsidRDefault="004E2DCE">
            <w:pPr>
              <w:pStyle w:val="bodytableRtable"/>
              <w:spacing w:after="0" w:line="240" w:lineRule="auto"/>
              <w:rPr>
                <w:sz w:val="12"/>
                <w:szCs w:val="12"/>
              </w:rPr>
            </w:pPr>
            <w:r w:rsidRPr="005C5E17">
              <w:rPr>
                <w:rStyle w:val="medium"/>
                <w:b/>
                <w:bCs/>
                <w:sz w:val="12"/>
                <w:szCs w:val="12"/>
              </w:rPr>
              <w:t xml:space="preserve">489,674 </w:t>
            </w:r>
          </w:p>
        </w:tc>
        <w:tc>
          <w:tcPr>
            <w:tcW w:w="340" w:type="dxa"/>
            <w:tcBorders>
              <w:top w:val="nil"/>
              <w:bottom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2"/>
                <w:szCs w:val="12"/>
              </w:rPr>
            </w:pPr>
          </w:p>
        </w:tc>
      </w:tr>
    </w:tbl>
    <w:p w:rsidR="00F423CA" w:rsidRDefault="00F423CA">
      <w:pPr>
        <w:pStyle w:val="Bodycopy"/>
      </w:pPr>
    </w:p>
    <w:p w:rsidR="00F423CA" w:rsidRDefault="004E2DCE">
      <w:pPr>
        <w:pStyle w:val="notestable"/>
        <w:rPr>
          <w:rStyle w:val="medium"/>
          <w:b/>
          <w:bCs/>
        </w:rPr>
      </w:pPr>
      <w:r>
        <w:rPr>
          <w:rStyle w:val="medium"/>
          <w:b/>
          <w:bCs/>
        </w:rPr>
        <w:t>(</w:t>
      </w:r>
      <w:proofErr w:type="spellStart"/>
      <w:r>
        <w:rPr>
          <w:rStyle w:val="medium"/>
          <w:b/>
          <w:bCs/>
        </w:rPr>
        <w:t>i</w:t>
      </w:r>
      <w:proofErr w:type="spellEnd"/>
      <w:r>
        <w:rPr>
          <w:rStyle w:val="medium"/>
          <w:b/>
          <w:bCs/>
        </w:rPr>
        <w:t>)</w:t>
      </w:r>
      <w:r>
        <w:rPr>
          <w:rStyle w:val="medium"/>
          <w:b/>
          <w:bCs/>
        </w:rPr>
        <w:tab/>
        <w:t>Controlled - provision of outputs (including Victorian Law Reform Commission)</w:t>
      </w:r>
    </w:p>
    <w:p w:rsidR="00F423CA" w:rsidRDefault="004E2DCE">
      <w:pPr>
        <w:pStyle w:val="notestable"/>
      </w:pPr>
      <w:r>
        <w:tab/>
        <w:t xml:space="preserve">The majority of the $168.496 million variance (2017: $151.389 million) relates to </w:t>
      </w:r>
      <w:proofErr w:type="spellStart"/>
      <w:r>
        <w:t>rephasing</w:t>
      </w:r>
      <w:proofErr w:type="spellEnd"/>
      <w:r>
        <w:t xml:space="preserve"> and carryover of output appropriations from 2017-18 to 2018-19.</w:t>
      </w:r>
    </w:p>
    <w:p w:rsidRPr="005C5E17" w:rsidR="00F423CA" w:rsidP="005C5E17" w:rsidRDefault="004E2DCE">
      <w:pPr>
        <w:pStyle w:val="BodycopyBulletspaceunder"/>
        <w:spacing w:after="0"/>
        <w:rPr>
          <w:sz w:val="14"/>
          <w:szCs w:val="14"/>
        </w:rPr>
      </w:pPr>
      <w:r w:rsidRPr="005C5E17">
        <w:rPr>
          <w:sz w:val="14"/>
          <w:szCs w:val="14"/>
        </w:rPr>
        <w:t xml:space="preserve">The primary drivers of the </w:t>
      </w:r>
      <w:proofErr w:type="spellStart"/>
      <w:r w:rsidRPr="005C5E17">
        <w:rPr>
          <w:sz w:val="14"/>
          <w:szCs w:val="14"/>
        </w:rPr>
        <w:t>rephasing</w:t>
      </w:r>
      <w:proofErr w:type="spellEnd"/>
      <w:r w:rsidRPr="005C5E17">
        <w:rPr>
          <w:sz w:val="14"/>
          <w:szCs w:val="14"/>
        </w:rPr>
        <w:t xml:space="preserve"> and carryover are:</w:t>
      </w:r>
    </w:p>
    <w:p w:rsidRPr="005C5E17" w:rsidR="00F423CA" w:rsidP="005C5E17" w:rsidRDefault="004E2DCE">
      <w:pPr>
        <w:pStyle w:val="BodycopyBulletspaceunder"/>
        <w:spacing w:after="0"/>
        <w:rPr>
          <w:sz w:val="14"/>
          <w:szCs w:val="14"/>
        </w:rPr>
      </w:pPr>
      <w:r w:rsidRPr="005C5E17">
        <w:rPr>
          <w:sz w:val="14"/>
          <w:szCs w:val="14"/>
        </w:rPr>
        <w:t xml:space="preserve">Victorian Racing Industry Fund (VRIF) Grants - Owing to the size and scope of some of the VRIF’s capital works programs, the timing of certain projects may extend beyond the financial year in which they are approved or initially anticipated to occur. While funds are committed, the precise timing of claims is </w:t>
      </w:r>
      <w:proofErr w:type="spellStart"/>
      <w:r w:rsidRPr="005C5E17">
        <w:rPr>
          <w:sz w:val="14"/>
          <w:szCs w:val="14"/>
        </w:rPr>
        <w:t>dependant</w:t>
      </w:r>
      <w:proofErr w:type="spellEnd"/>
      <w:r w:rsidRPr="005C5E17">
        <w:rPr>
          <w:sz w:val="14"/>
          <w:szCs w:val="14"/>
        </w:rPr>
        <w:t xml:space="preserve"> upon receipt of appropriate documentation from the racing bodies indicating project stages have been completed in line with Ministerial approval, payment is then facilitated. Funds have been </w:t>
      </w:r>
      <w:proofErr w:type="spellStart"/>
      <w:r w:rsidRPr="005C5E17">
        <w:rPr>
          <w:sz w:val="14"/>
          <w:szCs w:val="14"/>
        </w:rPr>
        <w:t>rephased</w:t>
      </w:r>
      <w:proofErr w:type="spellEnd"/>
      <w:r w:rsidRPr="005C5E17">
        <w:rPr>
          <w:sz w:val="14"/>
          <w:szCs w:val="14"/>
        </w:rPr>
        <w:t xml:space="preserve"> into future years to align with the expected payment obligations. </w:t>
      </w:r>
    </w:p>
    <w:p w:rsidRPr="005C5E17" w:rsidR="00F423CA" w:rsidP="005C5E17" w:rsidRDefault="004E2DCE">
      <w:pPr>
        <w:pStyle w:val="BodycopyBulletspaceunder"/>
        <w:spacing w:after="0"/>
        <w:rPr>
          <w:sz w:val="14"/>
          <w:szCs w:val="14"/>
        </w:rPr>
      </w:pPr>
      <w:r w:rsidRPr="005C5E17">
        <w:rPr>
          <w:sz w:val="14"/>
          <w:szCs w:val="14"/>
        </w:rPr>
        <w:t xml:space="preserve">Community Crime Prevention Grants – The Minister for Police announced outcomes for direct and competitive Youth Crime Prevention grants in June 2017 with the department facilitating a process with key community and government stakeholders to jointly develop the multi-year initiative.  Funding agreements for these projects, which are largely of two years duration, were executed with grant recipients in June 2017. This has resulted in a </w:t>
      </w:r>
      <w:proofErr w:type="spellStart"/>
      <w:r w:rsidRPr="005C5E17">
        <w:rPr>
          <w:sz w:val="14"/>
          <w:szCs w:val="14"/>
        </w:rPr>
        <w:t>rephase</w:t>
      </w:r>
      <w:proofErr w:type="spellEnd"/>
      <w:r w:rsidRPr="005C5E17">
        <w:rPr>
          <w:sz w:val="14"/>
          <w:szCs w:val="14"/>
        </w:rPr>
        <w:t xml:space="preserve"> of funds into future years to meet residual payments in line with funding agreements.  </w:t>
      </w:r>
    </w:p>
    <w:p w:rsidRPr="005C5E17" w:rsidR="00F423CA" w:rsidP="005C5E17" w:rsidRDefault="004E2DCE">
      <w:pPr>
        <w:pStyle w:val="BodycopyBulletspaceunder"/>
        <w:spacing w:after="0"/>
        <w:rPr>
          <w:sz w:val="14"/>
          <w:szCs w:val="14"/>
        </w:rPr>
      </w:pPr>
      <w:r w:rsidRPr="005C5E17">
        <w:rPr>
          <w:sz w:val="14"/>
          <w:szCs w:val="14"/>
        </w:rPr>
        <w:t xml:space="preserve">Natural Disaster Resilience Grant Scheme – The department has received funding for the grants under the 2015-17 National Partnership Agreement, which was extended for a further year, in June 2018.  Given the timing of this extension, payment of the grants will not commence until July 2018 and as such a carryover has been requested to ensure funds are available to enable payment of grants in 2018-19. </w:t>
      </w:r>
    </w:p>
    <w:p w:rsidRPr="005C5E17" w:rsidR="00F423CA" w:rsidP="005C5E17" w:rsidRDefault="004E2DCE">
      <w:pPr>
        <w:pStyle w:val="BodycopyBulletspaceunder"/>
        <w:spacing w:after="0"/>
        <w:rPr>
          <w:sz w:val="14"/>
          <w:szCs w:val="14"/>
        </w:rPr>
      </w:pPr>
      <w:r w:rsidRPr="005C5E17">
        <w:rPr>
          <w:sz w:val="14"/>
          <w:szCs w:val="14"/>
        </w:rPr>
        <w:t>The New youth justice facility (Cherry Creek) required approval under the Commonwealth Environment Protection and Biodiversity Conservation Act 1999 before work could commence.  This approval process caused delays to the project’s timeline, resulting in the request for carryover of funds to ensure funding is available to continue the project in 2018-19.</w:t>
      </w:r>
    </w:p>
    <w:p w:rsidRPr="005C5E17" w:rsidR="00F423CA" w:rsidP="005C5E17" w:rsidRDefault="004E2DCE">
      <w:pPr>
        <w:pStyle w:val="BodycopyBulletspaceunder"/>
        <w:spacing w:after="0"/>
        <w:rPr>
          <w:sz w:val="14"/>
          <w:szCs w:val="14"/>
        </w:rPr>
      </w:pPr>
      <w:r w:rsidRPr="005C5E17">
        <w:rPr>
          <w:sz w:val="14"/>
          <w:szCs w:val="14"/>
        </w:rPr>
        <w:t>Community Safety Statemen</w:t>
      </w:r>
      <w:r w:rsidR="005C5E17">
        <w:rPr>
          <w:sz w:val="14"/>
          <w:szCs w:val="14"/>
        </w:rPr>
        <w:t>t and Public Safety initiatives</w:t>
      </w:r>
      <w:r w:rsidRPr="005C5E17">
        <w:rPr>
          <w:sz w:val="14"/>
          <w:szCs w:val="14"/>
        </w:rPr>
        <w:t xml:space="preserve"> - the funding reflects a major investment in Victoria Police to fight crime and ensure that it has the powers and resources it needs to reduce harm in the community and keep Victorians safe. A carryover has been requested to ensure funds are available in 2018-19.</w:t>
      </w:r>
    </w:p>
    <w:p w:rsidR="00F423CA" w:rsidRDefault="004E2DCE">
      <w:pPr>
        <w:pStyle w:val="notestable"/>
        <w:rPr>
          <w:rStyle w:val="medium"/>
          <w:b/>
          <w:bCs/>
        </w:rPr>
      </w:pPr>
      <w:r>
        <w:rPr>
          <w:rStyle w:val="medium"/>
          <w:b/>
          <w:bCs/>
        </w:rPr>
        <w:t>(ii)</w:t>
      </w:r>
      <w:r>
        <w:rPr>
          <w:rStyle w:val="medium"/>
          <w:b/>
          <w:bCs/>
        </w:rPr>
        <w:tab/>
        <w:t>Controlled - additions to net asset base (ATNAB)</w:t>
      </w:r>
    </w:p>
    <w:p w:rsidRPr="005C5E17" w:rsidR="00F423CA" w:rsidP="005C5E17" w:rsidRDefault="004E2DCE">
      <w:pPr>
        <w:pStyle w:val="BodycopyBulletspaceunder"/>
        <w:spacing w:after="0"/>
        <w:rPr>
          <w:sz w:val="14"/>
          <w:szCs w:val="14"/>
        </w:rPr>
      </w:pPr>
      <w:r w:rsidRPr="005C5E17">
        <w:rPr>
          <w:sz w:val="14"/>
          <w:szCs w:val="14"/>
        </w:rPr>
        <w:t xml:space="preserve">The majority of the $265.087 million variance (2017: $311.596 million) relates to </w:t>
      </w:r>
      <w:proofErr w:type="spellStart"/>
      <w:r w:rsidRPr="005C5E17">
        <w:rPr>
          <w:sz w:val="14"/>
          <w:szCs w:val="14"/>
        </w:rPr>
        <w:t>rephasing</w:t>
      </w:r>
      <w:proofErr w:type="spellEnd"/>
      <w:r w:rsidRPr="005C5E17">
        <w:rPr>
          <w:sz w:val="14"/>
          <w:szCs w:val="14"/>
        </w:rPr>
        <w:t xml:space="preserve"> and carryover of the ATNAB appropriation into 2018-19.</w:t>
      </w:r>
    </w:p>
    <w:p w:rsidRPr="005C5E17" w:rsidR="00F423CA" w:rsidP="005C5E17" w:rsidRDefault="004E2DCE">
      <w:pPr>
        <w:pStyle w:val="BodycopyBulletspaceunder"/>
        <w:spacing w:after="0"/>
        <w:rPr>
          <w:sz w:val="14"/>
          <w:szCs w:val="14"/>
        </w:rPr>
      </w:pPr>
      <w:r w:rsidRPr="005C5E17">
        <w:rPr>
          <w:sz w:val="14"/>
          <w:szCs w:val="14"/>
        </w:rPr>
        <w:t xml:space="preserve">The primary drivers of the </w:t>
      </w:r>
      <w:proofErr w:type="spellStart"/>
      <w:r w:rsidRPr="005C5E17">
        <w:rPr>
          <w:sz w:val="14"/>
          <w:szCs w:val="14"/>
        </w:rPr>
        <w:t>rephasing</w:t>
      </w:r>
      <w:proofErr w:type="spellEnd"/>
      <w:r w:rsidRPr="005C5E17">
        <w:rPr>
          <w:sz w:val="14"/>
          <w:szCs w:val="14"/>
        </w:rPr>
        <w:t xml:space="preserve"> and carryover are:</w:t>
      </w:r>
    </w:p>
    <w:p w:rsidRPr="005C5E17" w:rsidR="00F423CA" w:rsidP="005C5E17" w:rsidRDefault="004E2DCE">
      <w:pPr>
        <w:pStyle w:val="BodycopyBulletspaceunder"/>
        <w:spacing w:after="0"/>
        <w:rPr>
          <w:sz w:val="14"/>
          <w:szCs w:val="14"/>
        </w:rPr>
      </w:pPr>
      <w:r w:rsidRPr="005C5E17">
        <w:rPr>
          <w:sz w:val="14"/>
          <w:szCs w:val="14"/>
        </w:rPr>
        <w:t>Women’s prison c</w:t>
      </w:r>
      <w:r w:rsidR="005C5E17">
        <w:rPr>
          <w:sz w:val="14"/>
          <w:szCs w:val="14"/>
        </w:rPr>
        <w:t xml:space="preserve">apacity strategy - In 2018-19, </w:t>
      </w:r>
      <w:r w:rsidRPr="005C5E17">
        <w:rPr>
          <w:sz w:val="14"/>
          <w:szCs w:val="14"/>
        </w:rPr>
        <w:t>Dame Phyllis Frost Centre (DPFC) will deliver a new Mental Health Unit, cellular accommodation, gatehouse and supporting infrastructure. Construction of these buildings have been managed as a program to achieve efficiencies and ensure minimal disruption to prison operation.</w:t>
      </w:r>
    </w:p>
    <w:p w:rsidRPr="005C5E17" w:rsidR="00F423CA" w:rsidP="005C5E17" w:rsidRDefault="004E2DCE">
      <w:pPr>
        <w:pStyle w:val="BodycopyBulletspaceunder"/>
        <w:spacing w:after="0"/>
        <w:rPr>
          <w:sz w:val="14"/>
          <w:szCs w:val="14"/>
        </w:rPr>
      </w:pPr>
      <w:r w:rsidRPr="005C5E17">
        <w:rPr>
          <w:sz w:val="14"/>
          <w:szCs w:val="14"/>
        </w:rPr>
        <w:t xml:space="preserve">Prison capacity expansion - The scope for the construction of the expansion of Fulham Correctional Centre has been increased to accommodate an increased prisoner population and achieve efficiency gain. The scope increase has resulted in variations in planning works and tendering processes for the additional building constructions. </w:t>
      </w:r>
    </w:p>
    <w:p w:rsidRPr="005C5E17" w:rsidR="00F423CA" w:rsidP="005C5E17" w:rsidRDefault="004E2DCE">
      <w:pPr>
        <w:pStyle w:val="BodycopyBulletspaceunder"/>
        <w:spacing w:after="0"/>
        <w:rPr>
          <w:sz w:val="14"/>
          <w:szCs w:val="14"/>
        </w:rPr>
      </w:pPr>
      <w:r w:rsidRPr="005C5E17">
        <w:rPr>
          <w:sz w:val="14"/>
          <w:szCs w:val="14"/>
        </w:rPr>
        <w:t xml:space="preserve">Corrections Remand upgrades - Infrastructure hardening and expansion of the emergency response capacity at the Metropolitan Remand Centre (MRC) is complete. Additional improvements to infrastructure at MRC will continue. </w:t>
      </w:r>
    </w:p>
    <w:p w:rsidRPr="005C5E17" w:rsidR="00F423CA" w:rsidP="005C5E17" w:rsidRDefault="004E2DCE">
      <w:pPr>
        <w:pStyle w:val="BodycopyBulletspaceunder"/>
        <w:spacing w:after="0"/>
        <w:rPr>
          <w:sz w:val="14"/>
          <w:szCs w:val="14"/>
        </w:rPr>
      </w:pPr>
      <w:r w:rsidRPr="005C5E17">
        <w:rPr>
          <w:sz w:val="14"/>
          <w:szCs w:val="14"/>
        </w:rPr>
        <w:t xml:space="preserve">Management of serious offenders - The </w:t>
      </w:r>
      <w:proofErr w:type="spellStart"/>
      <w:r w:rsidRPr="005C5E17">
        <w:rPr>
          <w:sz w:val="14"/>
          <w:szCs w:val="14"/>
        </w:rPr>
        <w:t>Barwon</w:t>
      </w:r>
      <w:proofErr w:type="spellEnd"/>
      <w:r w:rsidRPr="005C5E17">
        <w:rPr>
          <w:sz w:val="14"/>
          <w:szCs w:val="14"/>
        </w:rPr>
        <w:t xml:space="preserve"> Prison 10 Bed Detention Unit was designed to meet legislative requirements. The detention unit will provide options to safely manage serious offenders on detention orders. These works are expected to be completed in 2018-19.</w:t>
      </w:r>
    </w:p>
    <w:p w:rsidRPr="005C5E17" w:rsidR="00F423CA" w:rsidP="005C5E17" w:rsidRDefault="004E2DCE">
      <w:pPr>
        <w:pStyle w:val="BodycopyBulletspaceunder"/>
        <w:spacing w:after="0"/>
        <w:rPr>
          <w:sz w:val="14"/>
          <w:szCs w:val="14"/>
        </w:rPr>
      </w:pPr>
      <w:r w:rsidRPr="005C5E17">
        <w:rPr>
          <w:sz w:val="14"/>
          <w:szCs w:val="14"/>
        </w:rPr>
        <w:t>Increase Prison Capacity - Ravenhall Correctional Centre became operational in November 2017 and accommodates 1,000 prisoners with built capacity for 1,300 prisoners. Carryover was requested into 2018-19 to meet the retained construction risk.</w:t>
      </w:r>
    </w:p>
    <w:p w:rsidRPr="005C5E17" w:rsidR="00F423CA" w:rsidP="005C5E17" w:rsidRDefault="004E2DCE">
      <w:pPr>
        <w:pStyle w:val="BodycopyBulletspaceunder"/>
        <w:spacing w:after="0"/>
        <w:rPr>
          <w:sz w:val="14"/>
          <w:szCs w:val="14"/>
        </w:rPr>
      </w:pPr>
      <w:r w:rsidRPr="005C5E17">
        <w:rPr>
          <w:sz w:val="14"/>
          <w:szCs w:val="14"/>
        </w:rPr>
        <w:t xml:space="preserve">Critical Infrastructure and Services - Supporting Recent Prison Expansion - The Langi </w:t>
      </w:r>
      <w:proofErr w:type="spellStart"/>
      <w:r w:rsidRPr="005C5E17">
        <w:rPr>
          <w:sz w:val="14"/>
          <w:szCs w:val="14"/>
        </w:rPr>
        <w:t>Kal</w:t>
      </w:r>
      <w:proofErr w:type="spellEnd"/>
      <w:r w:rsidRPr="005C5E17">
        <w:rPr>
          <w:sz w:val="14"/>
          <w:szCs w:val="14"/>
        </w:rPr>
        <w:t xml:space="preserve"> </w:t>
      </w:r>
      <w:proofErr w:type="spellStart"/>
      <w:r w:rsidRPr="005C5E17">
        <w:rPr>
          <w:sz w:val="14"/>
          <w:szCs w:val="14"/>
        </w:rPr>
        <w:t>Kal</w:t>
      </w:r>
      <w:proofErr w:type="spellEnd"/>
      <w:r w:rsidRPr="005C5E17">
        <w:rPr>
          <w:sz w:val="14"/>
          <w:szCs w:val="14"/>
        </w:rPr>
        <w:t xml:space="preserve"> Waste Water Treatment Plant was refined through industry consultation resulting in a change to the practical completion date. The project is forecast for completion in 2018-19. </w:t>
      </w:r>
    </w:p>
    <w:p w:rsidRPr="005C5E17" w:rsidR="00F423CA" w:rsidP="005C5E17" w:rsidRDefault="004E2DCE">
      <w:pPr>
        <w:pStyle w:val="BodycopyBulletspaceunder"/>
        <w:spacing w:after="0"/>
        <w:rPr>
          <w:sz w:val="14"/>
          <w:szCs w:val="14"/>
        </w:rPr>
      </w:pPr>
      <w:r w:rsidRPr="005C5E17">
        <w:rPr>
          <w:sz w:val="14"/>
          <w:szCs w:val="14"/>
        </w:rPr>
        <w:t>Community Safety Statemen</w:t>
      </w:r>
      <w:r w:rsidR="005C5E17">
        <w:rPr>
          <w:sz w:val="14"/>
          <w:szCs w:val="14"/>
        </w:rPr>
        <w:t>t and Public Safety initiatives</w:t>
      </w:r>
      <w:r w:rsidRPr="005C5E17">
        <w:rPr>
          <w:sz w:val="14"/>
          <w:szCs w:val="14"/>
        </w:rPr>
        <w:t xml:space="preserve"> - The investment in infrastructure works supports Victoria Police’s capability to provide safe communities and workplaces. A carryover is requested to align the budget to the revised timelines in 2018-19.</w:t>
      </w:r>
    </w:p>
    <w:p w:rsidR="00F423CA" w:rsidRDefault="004E2DCE">
      <w:pPr>
        <w:pStyle w:val="notestable"/>
        <w:rPr>
          <w:rStyle w:val="medium"/>
          <w:b/>
          <w:bCs/>
        </w:rPr>
      </w:pPr>
      <w:r>
        <w:rPr>
          <w:rStyle w:val="medium"/>
          <w:b/>
          <w:bCs/>
        </w:rPr>
        <w:t>(iii)</w:t>
      </w:r>
      <w:r>
        <w:rPr>
          <w:rStyle w:val="medium"/>
          <w:b/>
          <w:bCs/>
        </w:rPr>
        <w:tab/>
        <w:t>Administered - payments made on behalf of state</w:t>
      </w:r>
    </w:p>
    <w:p w:rsidRPr="005C5E17" w:rsidR="00F423CA" w:rsidP="005C5E17" w:rsidRDefault="004E2DCE">
      <w:pPr>
        <w:pStyle w:val="BodycopyBulletspaceunder"/>
        <w:spacing w:after="0"/>
        <w:rPr>
          <w:sz w:val="14"/>
          <w:szCs w:val="14"/>
        </w:rPr>
      </w:pPr>
      <w:r w:rsidRPr="005C5E17">
        <w:rPr>
          <w:sz w:val="14"/>
          <w:szCs w:val="14"/>
        </w:rPr>
        <w:t>The variance of $7.025 million (2017: $26.689 million) is due to an over estimate of amounts paid/payable to other states and jurisdictions for their share of Tattersall’s taxation which is collected in Victoria.</w:t>
      </w:r>
    </w:p>
    <w:p w:rsidR="00F423CA" w:rsidRDefault="004E2DCE">
      <w:pPr>
        <w:pStyle w:val="notestable"/>
        <w:rPr>
          <w:rStyle w:val="medium"/>
          <w:b/>
          <w:bCs/>
        </w:rPr>
      </w:pPr>
      <w:r>
        <w:rPr>
          <w:rStyle w:val="medium"/>
          <w:b/>
          <w:bCs/>
        </w:rPr>
        <w:t>(iv)</w:t>
      </w:r>
      <w:r>
        <w:rPr>
          <w:rStyle w:val="medium"/>
          <w:b/>
          <w:bCs/>
        </w:rPr>
        <w:tab/>
        <w:t>Section 30 transfers</w:t>
      </w:r>
    </w:p>
    <w:p w:rsidRPr="005C5E17" w:rsidR="00F423CA" w:rsidP="005C5E17" w:rsidRDefault="004E2DCE">
      <w:pPr>
        <w:pStyle w:val="BodycopyBulletspaceunder"/>
        <w:rPr>
          <w:sz w:val="14"/>
          <w:szCs w:val="14"/>
        </w:rPr>
      </w:pPr>
      <w:r w:rsidRPr="005C5E17">
        <w:rPr>
          <w:sz w:val="14"/>
          <w:szCs w:val="14"/>
        </w:rPr>
        <w:t xml:space="preserve">A transfer from capital to operating funding of $20.000 million has occurred in 2017-18 in accordance with section 30 of the </w:t>
      </w:r>
      <w:r w:rsidRPr="005C5E17">
        <w:rPr>
          <w:rStyle w:val="italic"/>
          <w:sz w:val="14"/>
          <w:szCs w:val="14"/>
        </w:rPr>
        <w:t>Financial Management Act 1994</w:t>
      </w:r>
      <w:r w:rsidRPr="005C5E17">
        <w:rPr>
          <w:sz w:val="14"/>
          <w:szCs w:val="14"/>
        </w:rPr>
        <w:t xml:space="preserve"> to support Victoria Police’s business operations.</w:t>
      </w:r>
    </w:p>
    <w:p w:rsidR="00F423CA" w:rsidRDefault="00F423CA">
      <w:pPr>
        <w:pStyle w:val="notestable"/>
      </w:pPr>
    </w:p>
    <w:p w:rsidR="005C5E17" w:rsidP="00B572FB" w:rsidRDefault="005C5E17">
      <w:pPr>
        <w:pStyle w:val="Bodycopy"/>
      </w:pPr>
      <w:r>
        <w:br w:type="page"/>
      </w:r>
    </w:p>
    <w:p w:rsidR="00F423CA" w:rsidRDefault="004E2DCE">
      <w:pPr>
        <w:pStyle w:val="H3"/>
      </w:pPr>
      <w:r>
        <w:lastRenderedPageBreak/>
        <w:t>2.3 Summary of compliance with special appropriations</w:t>
      </w:r>
    </w:p>
    <w:p w:rsidR="00F423CA" w:rsidRDefault="004E2DCE">
      <w:pPr>
        <w:pStyle w:val="Bodycopy"/>
      </w:pPr>
      <w:r>
        <w:t xml:space="preserve">A </w:t>
      </w:r>
      <w:r>
        <w:rPr>
          <w:rStyle w:val="bold"/>
        </w:rPr>
        <w:t xml:space="preserve">special appropriation </w:t>
      </w:r>
      <w:r>
        <w:t>is a provision within an Act that provides authority to spend money for a particular purpose.  Special appropriations represent a standing authority and remain in force until the relevant legislation providing for the special appropriation is amended or repealed by Parliament.</w:t>
      </w:r>
    </w:p>
    <w:p w:rsidR="00F423CA" w:rsidRDefault="004E2DCE">
      <w:pPr>
        <w:pStyle w:val="Bodycopy"/>
      </w:pPr>
      <w:r>
        <w:t>Income is recognised when the amount appropriated for a specific purpose is due and payable by the department.</w:t>
      </w:r>
    </w:p>
    <w:p w:rsidR="00F423CA" w:rsidRDefault="004E2DCE">
      <w:pPr>
        <w:pStyle w:val="Bodycopy"/>
      </w:pPr>
      <w:r>
        <w:t>The following table discloses the details of compliance with special appropriations:</w:t>
      </w:r>
    </w:p>
    <w:tbl>
      <w:tblPr>
        <w:tblW w:w="0" w:type="auto"/>
        <w:tblInd w:w="57" w:type="dxa"/>
        <w:tblLayout w:type="fixed"/>
        <w:tblCellMar>
          <w:left w:w="0" w:type="dxa"/>
          <w:right w:w="0" w:type="dxa"/>
        </w:tblCellMar>
        <w:tblLook w:firstRow="0" w:lastRow="0" w:firstColumn="0" w:lastColumn="0" w:noHBand="0" w:noVBand="0" w:val="0000"/>
      </w:tblPr>
      <w:tblGrid>
        <w:gridCol w:w="227"/>
        <w:gridCol w:w="2891"/>
        <w:gridCol w:w="3912"/>
        <w:gridCol w:w="1020"/>
        <w:gridCol w:w="1021"/>
      </w:tblGrid>
      <w:tr w:rsidRPr="005C5E17" w:rsidR="00F423CA" w:rsidTr="005C5E17">
        <w:trPr>
          <w:trHeight w:val="113"/>
          <w:tblHeader/>
        </w:trPr>
        <w:tc>
          <w:tcPr>
            <w:tcW w:w="227"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891"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3912"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041" w:type="dxa"/>
            <w:gridSpan w:val="2"/>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4E2DCE">
            <w:pPr>
              <w:pStyle w:val="bodytableLtable"/>
              <w:spacing w:after="0" w:line="240" w:lineRule="auto"/>
              <w:jc w:val="right"/>
            </w:pPr>
            <w:r w:rsidRPr="005C5E17">
              <w:rPr>
                <w:rStyle w:val="medium"/>
                <w:b/>
                <w:bCs/>
                <w:color w:val="542E8E"/>
              </w:rPr>
              <w:t>($ thousand)</w:t>
            </w:r>
          </w:p>
        </w:tc>
      </w:tr>
      <w:tr w:rsidRPr="005C5E17" w:rsidR="00F423CA" w:rsidTr="005C5E17">
        <w:trPr>
          <w:trHeight w:val="113"/>
          <w:tblHeader/>
        </w:trPr>
        <w:tc>
          <w:tcPr>
            <w:tcW w:w="227" w:type="dxa"/>
            <w:vMerge w:val="restart"/>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891" w:type="dxa"/>
            <w:vMerge w:val="restart"/>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pPr>
            <w:r w:rsidRPr="005C5E17">
              <w:rPr>
                <w:rStyle w:val="medium"/>
                <w:b/>
                <w:bCs/>
                <w:color w:val="542E8E"/>
              </w:rPr>
              <w:t>Authority</w:t>
            </w:r>
          </w:p>
        </w:tc>
        <w:tc>
          <w:tcPr>
            <w:tcW w:w="3912" w:type="dxa"/>
            <w:vMerge w:val="restart"/>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C5E17" w:rsidR="00F423CA" w:rsidP="005C5E17" w:rsidRDefault="004E2DCE">
            <w:pPr>
              <w:pStyle w:val="bodytableLtable"/>
              <w:spacing w:after="0" w:line="240" w:lineRule="auto"/>
            </w:pPr>
            <w:r w:rsidRPr="005C5E17">
              <w:rPr>
                <w:rStyle w:val="medium"/>
                <w:b/>
                <w:bCs/>
                <w:color w:val="542E8E"/>
              </w:rPr>
              <w:t>Purpose</w:t>
            </w:r>
          </w:p>
        </w:tc>
        <w:tc>
          <w:tcPr>
            <w:tcW w:w="2041"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4E2DCE">
            <w:pPr>
              <w:pStyle w:val="bodytableLtable"/>
              <w:spacing w:after="0" w:line="240" w:lineRule="auto"/>
              <w:jc w:val="right"/>
            </w:pPr>
            <w:r w:rsidRPr="005C5E17">
              <w:rPr>
                <w:rStyle w:val="medium"/>
                <w:b/>
                <w:bCs/>
                <w:color w:val="542E8E"/>
              </w:rPr>
              <w:t>Appropriations applied</w:t>
            </w:r>
          </w:p>
        </w:tc>
      </w:tr>
      <w:tr w:rsidRPr="005C5E17" w:rsidR="00F423CA" w:rsidTr="005C5E17">
        <w:trPr>
          <w:trHeight w:val="113"/>
          <w:tblHeader/>
        </w:trPr>
        <w:tc>
          <w:tcPr>
            <w:tcW w:w="227" w:type="dxa"/>
            <w:vMerge/>
            <w:tcBorders>
              <w:top w:val="single" w:color="542E8E" w:sz="6" w:space="0"/>
              <w:left w:val="nil"/>
              <w:bottom w:val="single" w:color="542E8E" w:sz="6" w:space="0"/>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891" w:type="dxa"/>
            <w:vMerge/>
            <w:tcBorders>
              <w:top w:val="single" w:color="542E8E" w:sz="6" w:space="0"/>
              <w:left w:val="nil"/>
              <w:bottom w:val="single" w:color="542E8E" w:sz="6" w:space="0"/>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3912" w:type="dxa"/>
            <w:vMerge/>
            <w:tcBorders>
              <w:top w:val="single" w:color="542E8E" w:sz="6" w:space="0"/>
              <w:left w:val="nil"/>
              <w:bottom w:val="single" w:color="542E8E" w:sz="6" w:space="0"/>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4E2DCE">
            <w:pPr>
              <w:pStyle w:val="bodytableLtable"/>
              <w:spacing w:after="0" w:line="240" w:lineRule="auto"/>
              <w:jc w:val="right"/>
            </w:pPr>
            <w:r w:rsidRPr="005C5E17">
              <w:rPr>
                <w:rStyle w:val="medium"/>
                <w:b/>
                <w:bCs/>
                <w:color w:val="542E8E"/>
              </w:rPr>
              <w:t>2018</w:t>
            </w:r>
          </w:p>
        </w:tc>
        <w:tc>
          <w:tcPr>
            <w:tcW w:w="102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5C5E17" w:rsidR="00F423CA" w:rsidP="005C5E17" w:rsidRDefault="004E2DCE">
            <w:pPr>
              <w:pStyle w:val="bodytableLtable"/>
              <w:spacing w:after="0" w:line="240" w:lineRule="auto"/>
              <w:jc w:val="right"/>
            </w:pPr>
            <w:r w:rsidRPr="005C5E17">
              <w:rPr>
                <w:rStyle w:val="medium"/>
                <w:b/>
                <w:bCs/>
                <w:color w:val="542E8E"/>
              </w:rPr>
              <w:t>2017</w:t>
            </w:r>
          </w:p>
        </w:tc>
      </w:tr>
      <w:tr w:rsidRPr="005C5E17" w:rsidR="00F423CA" w:rsidTr="005C5E17">
        <w:trPr>
          <w:trHeight w:val="113"/>
        </w:trPr>
        <w:tc>
          <w:tcPr>
            <w:tcW w:w="227" w:type="dxa"/>
            <w:tcBorders>
              <w:top w:val="single" w:color="000000" w:sz="8" w:space="0"/>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891" w:type="dxa"/>
            <w:tcBorders>
              <w:top w:val="single" w:color="000000" w:sz="8" w:space="0"/>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medium"/>
                <w:b/>
                <w:bCs/>
              </w:rPr>
              <w:t>Controlled</w:t>
            </w:r>
          </w:p>
        </w:tc>
        <w:tc>
          <w:tcPr>
            <w:tcW w:w="3912" w:type="dxa"/>
            <w:tcBorders>
              <w:top w:val="single" w:color="000000" w:sz="8" w:space="0"/>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8" w:space="0"/>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1021" w:type="dxa"/>
            <w:tcBorders>
              <w:top w:val="single" w:color="000000" w:sz="8" w:space="0"/>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r>
      <w:tr w:rsidRPr="005C5E17" w:rsidR="00F423CA" w:rsidTr="005C5E17">
        <w:trPr>
          <w:trHeight w:val="113"/>
        </w:trPr>
        <w:tc>
          <w:tcPr>
            <w:tcW w:w="227"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1</w:t>
            </w:r>
          </w:p>
        </w:tc>
        <w:tc>
          <w:tcPr>
            <w:tcW w:w="2891"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italic"/>
              </w:rPr>
              <w:t>Corrections Act 1986 (No. 117/1986), s.104ZW</w:t>
            </w:r>
          </w:p>
        </w:tc>
        <w:tc>
          <w:tcPr>
            <w:tcW w:w="3912"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 xml:space="preserve">Compensation to CCS from the </w:t>
            </w:r>
            <w:proofErr w:type="spellStart"/>
            <w:r w:rsidRPr="005C5E17">
              <w:t>WorkCover</w:t>
            </w:r>
            <w:proofErr w:type="spellEnd"/>
            <w:r w:rsidRPr="005C5E17">
              <w:t xml:space="preserve"> Authority Fund under the </w:t>
            </w:r>
            <w:r w:rsidRPr="005C5E17">
              <w:rPr>
                <w:rStyle w:val="italic"/>
              </w:rPr>
              <w:t>Accident Compensation Act 1985</w:t>
            </w:r>
          </w:p>
        </w:tc>
        <w:tc>
          <w:tcPr>
            <w:tcW w:w="1020"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72 </w:t>
            </w:r>
          </w:p>
        </w:tc>
        <w:tc>
          <w:tcPr>
            <w:tcW w:w="1021"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68 </w:t>
            </w:r>
          </w:p>
        </w:tc>
      </w:tr>
      <w:tr w:rsidRPr="005C5E17" w:rsidR="00F423CA" w:rsidTr="00925BBD">
        <w:trPr>
          <w:trHeight w:val="113"/>
        </w:trPr>
        <w:tc>
          <w:tcPr>
            <w:tcW w:w="227"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t>2</w:t>
            </w:r>
          </w:p>
        </w:tc>
        <w:tc>
          <w:tcPr>
            <w:tcW w:w="2891"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rPr>
                <w:rStyle w:val="italic"/>
              </w:rPr>
              <w:t>Emergency Management Act 1986 (Act No. 30/1986), s.32</w:t>
            </w:r>
          </w:p>
        </w:tc>
        <w:tc>
          <w:tcPr>
            <w:tcW w:w="3912"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t>Payments to volunteers for work related injuries under the Act</w:t>
            </w:r>
          </w:p>
        </w:tc>
        <w:tc>
          <w:tcPr>
            <w:tcW w:w="1020"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Rtable"/>
              <w:spacing w:after="0" w:line="240" w:lineRule="auto"/>
            </w:pPr>
            <w:r w:rsidRPr="005C5E17">
              <w:t xml:space="preserve">181 </w:t>
            </w:r>
          </w:p>
        </w:tc>
        <w:tc>
          <w:tcPr>
            <w:tcW w:w="1021"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Rtable"/>
              <w:spacing w:after="0" w:line="240" w:lineRule="auto"/>
            </w:pPr>
            <w:r w:rsidRPr="005C5E17">
              <w:t xml:space="preserve">230 </w:t>
            </w:r>
          </w:p>
        </w:tc>
      </w:tr>
      <w:tr w:rsidRPr="005C5E17" w:rsidR="00F423CA" w:rsidTr="00925BBD">
        <w:trPr>
          <w:trHeight w:val="113"/>
        </w:trPr>
        <w:tc>
          <w:tcPr>
            <w:tcW w:w="227"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t>3</w:t>
            </w:r>
          </w:p>
        </w:tc>
        <w:tc>
          <w:tcPr>
            <w:tcW w:w="2891"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rPr>
                <w:rStyle w:val="italic"/>
              </w:rPr>
              <w:t>Victoria State Emergency Service Act 2005 (Act No. 51/2005), s.52</w:t>
            </w:r>
          </w:p>
        </w:tc>
        <w:tc>
          <w:tcPr>
            <w:tcW w:w="3912"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t>Payments to volunteers for work related injuries under the Act</w:t>
            </w:r>
          </w:p>
        </w:tc>
        <w:tc>
          <w:tcPr>
            <w:tcW w:w="1020"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Rtable"/>
              <w:spacing w:after="0" w:line="240" w:lineRule="auto"/>
            </w:pPr>
            <w:r w:rsidRPr="005C5E17">
              <w:t xml:space="preserve">401 </w:t>
            </w:r>
          </w:p>
        </w:tc>
        <w:tc>
          <w:tcPr>
            <w:tcW w:w="1021"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Rtable"/>
              <w:spacing w:after="0" w:line="240" w:lineRule="auto"/>
            </w:pPr>
            <w:r w:rsidRPr="005C5E17">
              <w:t xml:space="preserve">311 </w:t>
            </w:r>
          </w:p>
        </w:tc>
      </w:tr>
      <w:tr w:rsidRPr="005C5E17" w:rsidR="00F423CA" w:rsidTr="005C5E17">
        <w:trPr>
          <w:trHeight w:val="113"/>
        </w:trPr>
        <w:tc>
          <w:tcPr>
            <w:tcW w:w="227"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4</w:t>
            </w:r>
          </w:p>
        </w:tc>
        <w:tc>
          <w:tcPr>
            <w:tcW w:w="2891"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italic"/>
              </w:rPr>
              <w:t>Financial Management Act 1994 (No. 18/1994), s.10</w:t>
            </w:r>
          </w:p>
        </w:tc>
        <w:tc>
          <w:tcPr>
            <w:tcW w:w="3912"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 xml:space="preserve">Payments of Commonwealth grants under section 10 of the </w:t>
            </w:r>
            <w:r w:rsidRPr="005C5E17">
              <w:rPr>
                <w:rStyle w:val="italic"/>
              </w:rPr>
              <w:t>Financial Management Act 1994</w:t>
            </w:r>
          </w:p>
        </w:tc>
        <w:tc>
          <w:tcPr>
            <w:tcW w:w="1020"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0 </w:t>
            </w:r>
          </w:p>
        </w:tc>
        <w:tc>
          <w:tcPr>
            <w:tcW w:w="1021"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579 </w:t>
            </w:r>
          </w:p>
        </w:tc>
      </w:tr>
      <w:tr w:rsidRPr="005C5E17" w:rsidR="00F423CA" w:rsidTr="005C5E17">
        <w:trPr>
          <w:trHeight w:val="113"/>
        </w:trPr>
        <w:tc>
          <w:tcPr>
            <w:tcW w:w="227" w:type="dxa"/>
            <w:tcBorders>
              <w:top w:val="nil"/>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891"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medium"/>
                <w:b/>
                <w:bCs/>
              </w:rPr>
              <w:t>Total</w:t>
            </w:r>
          </w:p>
        </w:tc>
        <w:tc>
          <w:tcPr>
            <w:tcW w:w="3912"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rPr>
                <w:rStyle w:val="medium"/>
                <w:b/>
                <w:bCs/>
              </w:rPr>
              <w:t xml:space="preserve">654 </w:t>
            </w:r>
          </w:p>
        </w:tc>
        <w:tc>
          <w:tcPr>
            <w:tcW w:w="1021"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rPr>
                <w:rStyle w:val="medium"/>
                <w:b/>
                <w:bCs/>
              </w:rPr>
              <w:t xml:space="preserve">1,188 </w:t>
            </w:r>
          </w:p>
        </w:tc>
      </w:tr>
      <w:tr w:rsidRPr="005C5E17" w:rsidR="00F423CA" w:rsidTr="005C5E17">
        <w:trPr>
          <w:trHeight w:val="113"/>
        </w:trPr>
        <w:tc>
          <w:tcPr>
            <w:tcW w:w="227" w:type="dxa"/>
            <w:tcBorders>
              <w:top w:val="nil"/>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891" w:type="dxa"/>
            <w:tcBorders>
              <w:top w:val="single" w:color="000000" w:sz="12" w:space="0"/>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medium"/>
                <w:b/>
                <w:bCs/>
              </w:rPr>
              <w:t>Administered</w:t>
            </w:r>
          </w:p>
        </w:tc>
        <w:tc>
          <w:tcPr>
            <w:tcW w:w="3912" w:type="dxa"/>
            <w:tcBorders>
              <w:top w:val="single" w:color="000000" w:sz="12" w:space="0"/>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12" w:space="0"/>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1021" w:type="dxa"/>
            <w:tcBorders>
              <w:top w:val="single" w:color="000000" w:sz="12" w:space="0"/>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r>
      <w:tr w:rsidRPr="005C5E17" w:rsidR="00F423CA" w:rsidTr="005C5E17">
        <w:trPr>
          <w:trHeight w:val="113"/>
        </w:trPr>
        <w:tc>
          <w:tcPr>
            <w:tcW w:w="227"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5</w:t>
            </w:r>
          </w:p>
        </w:tc>
        <w:tc>
          <w:tcPr>
            <w:tcW w:w="2891"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italic"/>
              </w:rPr>
              <w:t xml:space="preserve">Melbourne City Link Act 1995 </w:t>
            </w:r>
            <w:r w:rsidRPr="005C5E17">
              <w:rPr>
                <w:rStyle w:val="italic"/>
              </w:rPr>
              <w:br/>
              <w:t>(No. 107/1995), s.14 (4)</w:t>
            </w:r>
          </w:p>
        </w:tc>
        <w:tc>
          <w:tcPr>
            <w:tcW w:w="3912"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Payments to City Link</w:t>
            </w:r>
          </w:p>
        </w:tc>
        <w:tc>
          <w:tcPr>
            <w:tcW w:w="1020"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1,370 </w:t>
            </w:r>
          </w:p>
        </w:tc>
        <w:tc>
          <w:tcPr>
            <w:tcW w:w="1021"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2,064 </w:t>
            </w:r>
          </w:p>
        </w:tc>
      </w:tr>
      <w:tr w:rsidRPr="005C5E17" w:rsidR="00F423CA" w:rsidTr="00925BBD">
        <w:trPr>
          <w:trHeight w:val="113"/>
        </w:trPr>
        <w:tc>
          <w:tcPr>
            <w:tcW w:w="227"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t>6</w:t>
            </w:r>
          </w:p>
        </w:tc>
        <w:tc>
          <w:tcPr>
            <w:tcW w:w="2891"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proofErr w:type="spellStart"/>
            <w:r w:rsidRPr="005C5E17">
              <w:rPr>
                <w:rStyle w:val="italic"/>
              </w:rPr>
              <w:t>EastLink</w:t>
            </w:r>
            <w:proofErr w:type="spellEnd"/>
            <w:r w:rsidRPr="005C5E17">
              <w:rPr>
                <w:rStyle w:val="italic"/>
              </w:rPr>
              <w:t xml:space="preserve"> Project Act 2004 </w:t>
            </w:r>
            <w:r w:rsidRPr="005C5E17">
              <w:rPr>
                <w:rStyle w:val="italic"/>
              </w:rPr>
              <w:br/>
              <w:t>(No 39/2004), s.26</w:t>
            </w:r>
          </w:p>
        </w:tc>
        <w:tc>
          <w:tcPr>
            <w:tcW w:w="3912"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Ltable"/>
              <w:spacing w:after="0" w:line="240" w:lineRule="auto"/>
            </w:pPr>
            <w:r w:rsidRPr="005C5E17">
              <w:t>Payments to East Link</w:t>
            </w:r>
          </w:p>
        </w:tc>
        <w:tc>
          <w:tcPr>
            <w:tcW w:w="1020"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Rtable"/>
              <w:spacing w:after="0" w:line="240" w:lineRule="auto"/>
            </w:pPr>
            <w:r w:rsidRPr="005C5E17">
              <w:t xml:space="preserve">1,172 </w:t>
            </w:r>
          </w:p>
        </w:tc>
        <w:tc>
          <w:tcPr>
            <w:tcW w:w="1021" w:type="dxa"/>
            <w:tcBorders>
              <w:top w:val="nil"/>
              <w:left w:val="nil"/>
              <w:bottom w:val="nil"/>
              <w:right w:val="nil"/>
            </w:tcBorders>
            <w:tcMar>
              <w:top w:w="28" w:type="dxa"/>
              <w:left w:w="57" w:type="dxa"/>
              <w:bottom w:w="28" w:type="dxa"/>
              <w:right w:w="57" w:type="dxa"/>
            </w:tcMar>
          </w:tcPr>
          <w:p w:rsidRPr="005C5E17" w:rsidR="00F423CA" w:rsidP="005C5E17" w:rsidRDefault="004E2DCE">
            <w:pPr>
              <w:pStyle w:val="bodytableRtable"/>
              <w:spacing w:after="0" w:line="240" w:lineRule="auto"/>
            </w:pPr>
            <w:r w:rsidRPr="005C5E17">
              <w:t xml:space="preserve">1,907 </w:t>
            </w:r>
          </w:p>
        </w:tc>
      </w:tr>
      <w:tr w:rsidRPr="005C5E17" w:rsidR="00F423CA" w:rsidTr="005C5E17">
        <w:trPr>
          <w:trHeight w:val="113"/>
        </w:trPr>
        <w:tc>
          <w:tcPr>
            <w:tcW w:w="227" w:type="dxa"/>
            <w:tcBorders>
              <w:top w:val="nil"/>
              <w:left w:val="nil"/>
              <w:bottom w:val="nil"/>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7</w:t>
            </w:r>
          </w:p>
        </w:tc>
        <w:tc>
          <w:tcPr>
            <w:tcW w:w="2891"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italic"/>
              </w:rPr>
              <w:t xml:space="preserve">Crown Proceedings Act 1958 </w:t>
            </w:r>
            <w:r w:rsidRPr="005C5E17">
              <w:rPr>
                <w:rStyle w:val="italic"/>
              </w:rPr>
              <w:br/>
              <w:t xml:space="preserve">(No. 6232/1958), s.26 </w:t>
            </w:r>
          </w:p>
        </w:tc>
        <w:tc>
          <w:tcPr>
            <w:tcW w:w="3912"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t>Payments from Crown Proceedings in the Supreme Court of Victoria</w:t>
            </w:r>
          </w:p>
        </w:tc>
        <w:tc>
          <w:tcPr>
            <w:tcW w:w="1020"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2,490 </w:t>
            </w:r>
          </w:p>
        </w:tc>
        <w:tc>
          <w:tcPr>
            <w:tcW w:w="1021" w:type="dxa"/>
            <w:tcBorders>
              <w:top w:val="nil"/>
              <w:left w:val="nil"/>
              <w:bottom w:val="single" w:color="000000" w:sz="6"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t xml:space="preserve">1,470 </w:t>
            </w:r>
          </w:p>
        </w:tc>
      </w:tr>
      <w:tr w:rsidRPr="005C5E17" w:rsidR="00F423CA" w:rsidTr="005C5E17">
        <w:trPr>
          <w:trHeight w:val="113"/>
        </w:trPr>
        <w:tc>
          <w:tcPr>
            <w:tcW w:w="227" w:type="dxa"/>
            <w:tcBorders>
              <w:top w:val="nil"/>
              <w:left w:val="nil"/>
              <w:bottom w:val="nil"/>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2891"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4E2DCE">
            <w:pPr>
              <w:pStyle w:val="bodytableLtable"/>
              <w:spacing w:after="0" w:line="240" w:lineRule="auto"/>
            </w:pPr>
            <w:r w:rsidRPr="005C5E17">
              <w:rPr>
                <w:rStyle w:val="medium"/>
                <w:b/>
                <w:bCs/>
              </w:rPr>
              <w:t>Total</w:t>
            </w:r>
          </w:p>
        </w:tc>
        <w:tc>
          <w:tcPr>
            <w:tcW w:w="3912"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rPr>
                <w:rStyle w:val="medium"/>
                <w:b/>
                <w:bCs/>
              </w:rPr>
              <w:t xml:space="preserve">5,032 </w:t>
            </w:r>
          </w:p>
        </w:tc>
        <w:tc>
          <w:tcPr>
            <w:tcW w:w="1021" w:type="dxa"/>
            <w:tcBorders>
              <w:top w:val="single" w:color="000000" w:sz="6" w:space="0"/>
              <w:left w:val="nil"/>
              <w:bottom w:val="single" w:color="000000" w:sz="12" w:space="0"/>
              <w:right w:val="nil"/>
            </w:tcBorders>
            <w:tcMar>
              <w:top w:w="57" w:type="dxa"/>
              <w:left w:w="57" w:type="dxa"/>
              <w:bottom w:w="57" w:type="dxa"/>
              <w:right w:w="57" w:type="dxa"/>
            </w:tcMar>
          </w:tcPr>
          <w:p w:rsidRPr="005C5E17" w:rsidR="00F423CA" w:rsidP="005C5E17" w:rsidRDefault="004E2DCE">
            <w:pPr>
              <w:pStyle w:val="bodytableRtable"/>
              <w:spacing w:after="0" w:line="240" w:lineRule="auto"/>
            </w:pPr>
            <w:r w:rsidRPr="005C5E17">
              <w:rPr>
                <w:rStyle w:val="medium"/>
                <w:b/>
                <w:bCs/>
              </w:rPr>
              <w:t xml:space="preserve">5,441 </w:t>
            </w:r>
          </w:p>
        </w:tc>
      </w:tr>
    </w:tbl>
    <w:p w:rsidRPr="00925BBD" w:rsidR="00925BBD" w:rsidP="00925BBD" w:rsidRDefault="00925BBD">
      <w:pPr>
        <w:pStyle w:val="Bodycopy"/>
      </w:pPr>
    </w:p>
    <w:p w:rsidR="00F423CA" w:rsidP="00925BBD" w:rsidRDefault="004E2DCE">
      <w:pPr>
        <w:pStyle w:val="H3"/>
      </w:pPr>
      <w:r>
        <w:t>2.4 Interest income</w:t>
      </w:r>
    </w:p>
    <w:tbl>
      <w:tblPr>
        <w:tblW w:w="0" w:type="auto"/>
        <w:tblInd w:w="57" w:type="dxa"/>
        <w:tblLayout w:type="fixed"/>
        <w:tblCellMar>
          <w:left w:w="0" w:type="dxa"/>
          <w:right w:w="0" w:type="dxa"/>
        </w:tblCellMar>
        <w:tblLook w:firstRow="0" w:lastRow="0" w:firstColumn="0" w:lastColumn="0" w:noHBand="0" w:noVBand="0" w:val="0000"/>
      </w:tblPr>
      <w:tblGrid>
        <w:gridCol w:w="380"/>
        <w:gridCol w:w="5868"/>
        <w:gridCol w:w="1417"/>
        <w:gridCol w:w="1417"/>
      </w:tblGrid>
      <w:tr w:rsidR="00F423CA" w:rsidTr="005C5E17">
        <w:trPr>
          <w:trHeight w:val="113"/>
          <w:tblHeader/>
        </w:trPr>
        <w:tc>
          <w:tcPr>
            <w:tcW w:w="380"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5868"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 thousand)</w:t>
            </w:r>
          </w:p>
        </w:tc>
      </w:tr>
      <w:tr w:rsidR="00F423CA" w:rsidTr="005C5E17">
        <w:trPr>
          <w:trHeight w:val="113"/>
          <w:tblHeader/>
        </w:trPr>
        <w:tc>
          <w:tcPr>
            <w:tcW w:w="380"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5868"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2018</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2017</w:t>
            </w:r>
          </w:p>
        </w:tc>
      </w:tr>
      <w:tr w:rsidR="00F423CA" w:rsidTr="005C5E17">
        <w:trPr>
          <w:trHeight w:val="113"/>
        </w:trPr>
        <w:tc>
          <w:tcPr>
            <w:tcW w:w="9082" w:type="dxa"/>
            <w:gridSpan w:val="4"/>
            <w:tcBorders>
              <w:top w:val="single" w:color="000000" w:sz="6" w:space="0"/>
              <w:left w:val="nil"/>
              <w:bottom w:val="nil"/>
              <w:right w:val="nil"/>
            </w:tcBorders>
            <w:tcMar>
              <w:top w:w="57" w:type="dxa"/>
              <w:left w:w="57" w:type="dxa"/>
              <w:bottom w:w="57" w:type="dxa"/>
              <w:right w:w="57" w:type="dxa"/>
            </w:tcMar>
            <w:vAlign w:val="bottom"/>
          </w:tcPr>
          <w:p w:rsidR="00F423CA" w:rsidP="005C5E17" w:rsidRDefault="004E2DCE">
            <w:pPr>
              <w:pStyle w:val="bodytableLtable"/>
              <w:spacing w:after="0" w:line="240" w:lineRule="auto"/>
            </w:pPr>
            <w:r>
              <w:t>Interest from financial assets not at fair value through profit/loss:</w:t>
            </w:r>
          </w:p>
        </w:tc>
      </w:tr>
      <w:tr w:rsidR="00F423CA" w:rsidTr="00925BBD">
        <w:trPr>
          <w:trHeight w:val="113"/>
        </w:trPr>
        <w:tc>
          <w:tcPr>
            <w:tcW w:w="6248" w:type="dxa"/>
            <w:gridSpan w:val="2"/>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Ltable"/>
              <w:spacing w:after="0" w:line="240" w:lineRule="auto"/>
              <w:ind w:left="227" w:hanging="227"/>
            </w:pPr>
            <w:r>
              <w:t>Interest from deposits and investments</w:t>
            </w:r>
          </w:p>
        </w:tc>
        <w:tc>
          <w:tcPr>
            <w:tcW w:w="1417"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1,814 </w:t>
            </w:r>
          </w:p>
        </w:tc>
        <w:tc>
          <w:tcPr>
            <w:tcW w:w="1417"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5,445 </w:t>
            </w:r>
          </w:p>
        </w:tc>
      </w:tr>
      <w:tr w:rsidR="00F423CA" w:rsidTr="005C5E17">
        <w:trPr>
          <w:trHeight w:val="113"/>
        </w:trPr>
        <w:tc>
          <w:tcPr>
            <w:tcW w:w="6248" w:type="dxa"/>
            <w:gridSpan w:val="2"/>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Ltable"/>
              <w:spacing w:after="0" w:line="240" w:lineRule="auto"/>
              <w:ind w:left="227" w:hanging="227"/>
            </w:pPr>
            <w:r>
              <w:t>Interest from real estate agent and conveyancer trust accounts</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25,794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23,839 </w:t>
            </w:r>
          </w:p>
        </w:tc>
      </w:tr>
      <w:tr w:rsidR="00F423CA" w:rsidTr="005C5E17">
        <w:trPr>
          <w:trHeight w:val="113"/>
        </w:trPr>
        <w:tc>
          <w:tcPr>
            <w:tcW w:w="6248"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Ltable"/>
              <w:spacing w:after="0" w:line="240" w:lineRule="auto"/>
            </w:pPr>
            <w:r>
              <w:rPr>
                <w:rStyle w:val="medium"/>
                <w:b/>
                <w:bCs/>
              </w:rPr>
              <w:t>Total interest income</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rPr>
              <w:t xml:space="preserve">27,608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rPr>
              <w:t xml:space="preserve">29,284 </w:t>
            </w:r>
          </w:p>
        </w:tc>
      </w:tr>
    </w:tbl>
    <w:p w:rsidR="00F423CA" w:rsidRDefault="00F423CA">
      <w:pPr>
        <w:pStyle w:val="Bodycopy"/>
      </w:pPr>
    </w:p>
    <w:p w:rsidR="00F423CA" w:rsidRDefault="004E2DCE">
      <w:pPr>
        <w:pStyle w:val="Bodycopy"/>
      </w:pPr>
      <w:r>
        <w:rPr>
          <w:rStyle w:val="medium"/>
          <w:b/>
          <w:bCs/>
          <w:spacing w:val="-2"/>
        </w:rPr>
        <w:t>Interest income</w:t>
      </w:r>
      <w:r>
        <w:rPr>
          <w:spacing w:val="-2"/>
        </w:rPr>
        <w:t xml:space="preserve"> includes interest received on bank term d</w:t>
      </w:r>
      <w:r w:rsidR="005C5E17">
        <w:rPr>
          <w:spacing w:val="-2"/>
        </w:rPr>
        <w:t xml:space="preserve">eposits and other investments. </w:t>
      </w:r>
      <w:r>
        <w:rPr>
          <w:spacing w:val="-2"/>
        </w:rPr>
        <w:t xml:space="preserve">Interest income </w:t>
      </w:r>
      <w:r>
        <w:t>is recognised using the effective interest method, which allocates interest over the relevant period.</w:t>
      </w:r>
    </w:p>
    <w:p w:rsidR="00F423CA" w:rsidRDefault="004E2DCE">
      <w:pPr>
        <w:pStyle w:val="H3"/>
      </w:pPr>
      <w:r>
        <w:t>2.5 Grant income</w:t>
      </w:r>
    </w:p>
    <w:tbl>
      <w:tblPr>
        <w:tblW w:w="0" w:type="auto"/>
        <w:tblInd w:w="57" w:type="dxa"/>
        <w:tblLayout w:type="fixed"/>
        <w:tblCellMar>
          <w:left w:w="0" w:type="dxa"/>
          <w:right w:w="0" w:type="dxa"/>
        </w:tblCellMar>
        <w:tblLook w:firstRow="0" w:lastRow="0" w:firstColumn="0" w:lastColumn="0" w:noHBand="0" w:noVBand="0" w:val="0000"/>
      </w:tblPr>
      <w:tblGrid>
        <w:gridCol w:w="380"/>
        <w:gridCol w:w="5856"/>
        <w:gridCol w:w="1418"/>
        <w:gridCol w:w="1417"/>
      </w:tblGrid>
      <w:tr w:rsidR="00F423CA" w:rsidTr="005C5E17">
        <w:trPr>
          <w:trHeight w:val="113"/>
          <w:tblHeader/>
        </w:trPr>
        <w:tc>
          <w:tcPr>
            <w:tcW w:w="380"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5856"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8"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 thousand)</w:t>
            </w:r>
          </w:p>
        </w:tc>
      </w:tr>
      <w:tr w:rsidR="00F423CA" w:rsidTr="005C5E17">
        <w:trPr>
          <w:trHeight w:val="113"/>
          <w:tblHeader/>
        </w:trPr>
        <w:tc>
          <w:tcPr>
            <w:tcW w:w="380"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5856"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2018</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2017</w:t>
            </w:r>
          </w:p>
        </w:tc>
      </w:tr>
      <w:tr w:rsidR="00F423CA" w:rsidTr="005C5E17">
        <w:trPr>
          <w:trHeight w:val="113"/>
        </w:trPr>
        <w:tc>
          <w:tcPr>
            <w:tcW w:w="9071" w:type="dxa"/>
            <w:gridSpan w:val="4"/>
            <w:tcBorders>
              <w:top w:val="single" w:color="000000" w:sz="6" w:space="0"/>
              <w:left w:val="nil"/>
              <w:bottom w:val="nil"/>
              <w:right w:val="nil"/>
            </w:tcBorders>
            <w:tcMar>
              <w:top w:w="57" w:type="dxa"/>
              <w:left w:w="57" w:type="dxa"/>
              <w:bottom w:w="57" w:type="dxa"/>
              <w:right w:w="57" w:type="dxa"/>
            </w:tcMar>
            <w:vAlign w:val="bottom"/>
          </w:tcPr>
          <w:p w:rsidR="00F423CA" w:rsidP="005C5E17" w:rsidRDefault="004E2DCE">
            <w:pPr>
              <w:pStyle w:val="bodytableLtable"/>
              <w:spacing w:after="0" w:line="240" w:lineRule="auto"/>
            </w:pPr>
            <w:r>
              <w:t>Received from:</w:t>
            </w:r>
          </w:p>
        </w:tc>
      </w:tr>
      <w:tr w:rsidR="00F423CA" w:rsidTr="00925BBD">
        <w:trPr>
          <w:trHeight w:val="113"/>
        </w:trPr>
        <w:tc>
          <w:tcPr>
            <w:tcW w:w="6236" w:type="dxa"/>
            <w:gridSpan w:val="2"/>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Ltable"/>
              <w:spacing w:after="0" w:line="240" w:lineRule="auto"/>
              <w:ind w:left="227" w:hanging="227"/>
            </w:pPr>
            <w:r>
              <w:t>General government within portfolio</w:t>
            </w:r>
          </w:p>
        </w:tc>
        <w:tc>
          <w:tcPr>
            <w:tcW w:w="1418"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7 </w:t>
            </w:r>
          </w:p>
        </w:tc>
        <w:tc>
          <w:tcPr>
            <w:tcW w:w="1417"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0 </w:t>
            </w:r>
          </w:p>
        </w:tc>
      </w:tr>
      <w:tr w:rsidR="00F423CA" w:rsidTr="00925BBD">
        <w:trPr>
          <w:trHeight w:val="113"/>
        </w:trPr>
        <w:tc>
          <w:tcPr>
            <w:tcW w:w="6236" w:type="dxa"/>
            <w:gridSpan w:val="2"/>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Ltable"/>
              <w:spacing w:after="0" w:line="240" w:lineRule="auto"/>
              <w:ind w:left="227" w:hanging="227"/>
            </w:pPr>
            <w:r>
              <w:t>General government outside portfolio</w:t>
            </w:r>
          </w:p>
        </w:tc>
        <w:tc>
          <w:tcPr>
            <w:tcW w:w="1418"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21,301 </w:t>
            </w:r>
          </w:p>
        </w:tc>
        <w:tc>
          <w:tcPr>
            <w:tcW w:w="1417"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19,122 </w:t>
            </w:r>
          </w:p>
        </w:tc>
      </w:tr>
      <w:tr w:rsidR="00F423CA" w:rsidTr="005C5E17">
        <w:trPr>
          <w:trHeight w:val="113"/>
        </w:trPr>
        <w:tc>
          <w:tcPr>
            <w:tcW w:w="6236" w:type="dxa"/>
            <w:gridSpan w:val="2"/>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Ltable"/>
              <w:spacing w:after="0" w:line="240" w:lineRule="auto"/>
              <w:ind w:left="227" w:hanging="227"/>
            </w:pPr>
            <w:r>
              <w:t>Other</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0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100 </w:t>
            </w:r>
          </w:p>
        </w:tc>
      </w:tr>
      <w:tr w:rsidR="00F423CA" w:rsidTr="005C5E17">
        <w:trPr>
          <w:trHeight w:val="113"/>
        </w:trPr>
        <w:tc>
          <w:tcPr>
            <w:tcW w:w="6236"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Ltable"/>
              <w:spacing w:after="0" w:line="240" w:lineRule="auto"/>
            </w:pPr>
            <w:r>
              <w:rPr>
                <w:rStyle w:val="medium"/>
                <w:b/>
                <w:bCs/>
              </w:rPr>
              <w:t>Total grant income</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rPr>
              <w:t xml:space="preserve">21,308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rPr>
              <w:t xml:space="preserve">19,222 </w:t>
            </w:r>
          </w:p>
        </w:tc>
      </w:tr>
    </w:tbl>
    <w:p w:rsidRPr="00925BBD" w:rsidR="00F423CA" w:rsidP="00925BBD" w:rsidRDefault="00F423CA">
      <w:pPr>
        <w:pStyle w:val="Bodycopy"/>
      </w:pPr>
    </w:p>
    <w:p w:rsidR="00F423CA" w:rsidRDefault="004E2DCE">
      <w:pPr>
        <w:pStyle w:val="Bodycopy"/>
      </w:pPr>
      <w:r>
        <w:rPr>
          <w:rStyle w:val="medium"/>
          <w:b/>
          <w:bCs/>
        </w:rPr>
        <w:t>Grant income</w:t>
      </w:r>
      <w:r>
        <w:t xml:space="preserve"> arises from transactions in which a party provides goods or assets (or extinguishes a liability) to the department without receiving approximately equal value in return.  While grants may result in the provision of some goods or services to the transferring party, they do not provide a claim to receive benefits directly of approximately equal value (and are termed ‘non-reciprocal’ transfers).  Receipt and sacrifice of approximately equal value may occur, but only by coincidence.  For non-reciprocal grants, the department recognises revenue when the grant is receivable or received.</w:t>
      </w:r>
    </w:p>
    <w:p w:rsidR="00F423CA" w:rsidRDefault="004E2DCE">
      <w:pPr>
        <w:pStyle w:val="Bodycopy"/>
      </w:pPr>
      <w:r>
        <w:lastRenderedPageBreak/>
        <w:t xml:space="preserve">Grants can be received as </w:t>
      </w:r>
      <w:proofErr w:type="gramStart"/>
      <w:r>
        <w:t>general purpose</w:t>
      </w:r>
      <w:proofErr w:type="gramEnd"/>
      <w:r>
        <w:t xml:space="preserve"> grants, which refers to grants which are not subject to conditions regarding their </w:t>
      </w:r>
      <w:r w:rsidR="00925BBD">
        <w:t xml:space="preserve">use. </w:t>
      </w:r>
      <w:r>
        <w:t>Alternatively, they may be received as specific purpose grants, which are paid for a particular purpose and/or have conditions attached regarding their use.</w:t>
      </w:r>
    </w:p>
    <w:p w:rsidR="00F423CA" w:rsidRDefault="004E2DCE">
      <w:pPr>
        <w:pStyle w:val="Bodycopy"/>
      </w:pPr>
      <w:r>
        <w:t>Some grants are reciprocal in nature (i.e. equal value is given back by the recipient of the grant to the provider).  The department recognises income when it has satisfied its performance obligations under the terms of the grant.</w:t>
      </w:r>
    </w:p>
    <w:p w:rsidR="00F423CA" w:rsidRDefault="004E2DCE">
      <w:pPr>
        <w:pStyle w:val="H3"/>
      </w:pPr>
      <w:r>
        <w:t>2.6 Other income</w:t>
      </w:r>
    </w:p>
    <w:tbl>
      <w:tblPr>
        <w:tblW w:w="0" w:type="auto"/>
        <w:tblInd w:w="57" w:type="dxa"/>
        <w:tblLayout w:type="fixed"/>
        <w:tblCellMar>
          <w:left w:w="0" w:type="dxa"/>
          <w:right w:w="0" w:type="dxa"/>
        </w:tblCellMar>
        <w:tblLook w:firstRow="0" w:lastRow="0" w:firstColumn="0" w:lastColumn="0" w:noHBand="0" w:noVBand="0" w:val="0000"/>
      </w:tblPr>
      <w:tblGrid>
        <w:gridCol w:w="380"/>
        <w:gridCol w:w="5856"/>
        <w:gridCol w:w="1418"/>
        <w:gridCol w:w="1417"/>
      </w:tblGrid>
      <w:tr w:rsidR="00F423CA" w:rsidTr="005C5E17">
        <w:trPr>
          <w:trHeight w:val="113"/>
          <w:tblHeader/>
        </w:trPr>
        <w:tc>
          <w:tcPr>
            <w:tcW w:w="380"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5856"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8"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 thousand)</w:t>
            </w:r>
          </w:p>
        </w:tc>
      </w:tr>
      <w:tr w:rsidR="00F423CA" w:rsidTr="005C5E17">
        <w:trPr>
          <w:trHeight w:val="113"/>
          <w:tblHeader/>
        </w:trPr>
        <w:tc>
          <w:tcPr>
            <w:tcW w:w="380"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5856"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F423CA">
            <w:pPr>
              <w:pStyle w:val="NoParagraphStyle"/>
              <w:spacing w:line="240" w:lineRule="auto"/>
              <w:textAlignment w:val="auto"/>
              <w:rPr>
                <w:rFonts w:ascii="Arial" w:hAnsi="Arial" w:cs="Arial"/>
                <w:color w:val="auto"/>
              </w:rPr>
            </w:pP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2018</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color w:val="542E8E"/>
              </w:rPr>
              <w:t>2017</w:t>
            </w:r>
          </w:p>
        </w:tc>
      </w:tr>
      <w:tr w:rsidR="00F423CA" w:rsidTr="005C5E17">
        <w:trPr>
          <w:trHeight w:val="113"/>
        </w:trPr>
        <w:tc>
          <w:tcPr>
            <w:tcW w:w="6236" w:type="dxa"/>
            <w:gridSpan w:val="2"/>
            <w:tcBorders>
              <w:top w:val="single" w:color="000000" w:sz="6" w:space="0"/>
              <w:left w:val="nil"/>
              <w:bottom w:val="nil"/>
              <w:right w:val="nil"/>
            </w:tcBorders>
            <w:tcMar>
              <w:top w:w="57" w:type="dxa"/>
              <w:left w:w="57" w:type="dxa"/>
              <w:bottom w:w="57" w:type="dxa"/>
              <w:right w:w="57" w:type="dxa"/>
            </w:tcMar>
            <w:vAlign w:val="bottom"/>
          </w:tcPr>
          <w:p w:rsidR="00F423CA" w:rsidP="005C5E17" w:rsidRDefault="004E2DCE">
            <w:pPr>
              <w:pStyle w:val="bodytableLtable"/>
              <w:spacing w:after="0" w:line="240" w:lineRule="auto"/>
            </w:pPr>
            <w:r>
              <w:t>Fines and fees</w:t>
            </w:r>
          </w:p>
        </w:tc>
        <w:tc>
          <w:tcPr>
            <w:tcW w:w="1418" w:type="dxa"/>
            <w:tcBorders>
              <w:top w:val="single" w:color="000000" w:sz="6" w:space="0"/>
              <w:left w:val="nil"/>
              <w:bottom w:val="nil"/>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17,235 </w:t>
            </w:r>
          </w:p>
        </w:tc>
        <w:tc>
          <w:tcPr>
            <w:tcW w:w="1417" w:type="dxa"/>
            <w:tcBorders>
              <w:top w:val="single" w:color="000000" w:sz="6" w:space="0"/>
              <w:left w:val="nil"/>
              <w:bottom w:val="nil"/>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14,277 </w:t>
            </w:r>
          </w:p>
        </w:tc>
      </w:tr>
      <w:tr w:rsidR="00F423CA" w:rsidTr="00925BBD">
        <w:trPr>
          <w:trHeight w:val="113"/>
        </w:trPr>
        <w:tc>
          <w:tcPr>
            <w:tcW w:w="6236" w:type="dxa"/>
            <w:gridSpan w:val="2"/>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Ltable"/>
              <w:spacing w:after="0" w:line="240" w:lineRule="auto"/>
            </w:pPr>
            <w:r>
              <w:t>Dividends from investments</w:t>
            </w:r>
          </w:p>
        </w:tc>
        <w:tc>
          <w:tcPr>
            <w:tcW w:w="1418"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7,416 </w:t>
            </w:r>
          </w:p>
        </w:tc>
        <w:tc>
          <w:tcPr>
            <w:tcW w:w="1417"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20,991 </w:t>
            </w:r>
          </w:p>
        </w:tc>
      </w:tr>
      <w:tr w:rsidR="00F423CA" w:rsidTr="00925BBD">
        <w:trPr>
          <w:trHeight w:val="113"/>
        </w:trPr>
        <w:tc>
          <w:tcPr>
            <w:tcW w:w="6236" w:type="dxa"/>
            <w:gridSpan w:val="2"/>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Ltable"/>
              <w:spacing w:after="0" w:line="240" w:lineRule="auto"/>
            </w:pPr>
            <w:r>
              <w:t>Income from Residential Tenancies Bond Authority (RTBA)</w:t>
            </w:r>
          </w:p>
        </w:tc>
        <w:tc>
          <w:tcPr>
            <w:tcW w:w="1418"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18,700 </w:t>
            </w:r>
          </w:p>
        </w:tc>
        <w:tc>
          <w:tcPr>
            <w:tcW w:w="1417"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10,500 </w:t>
            </w:r>
          </w:p>
        </w:tc>
      </w:tr>
      <w:tr w:rsidR="00F423CA" w:rsidTr="00925BBD">
        <w:trPr>
          <w:trHeight w:val="113"/>
        </w:trPr>
        <w:tc>
          <w:tcPr>
            <w:tcW w:w="6236" w:type="dxa"/>
            <w:gridSpan w:val="2"/>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Ltable"/>
              <w:spacing w:after="0" w:line="240" w:lineRule="auto"/>
            </w:pPr>
            <w:r>
              <w:t>Income from Victorian Building Authority (VBA)</w:t>
            </w:r>
          </w:p>
        </w:tc>
        <w:tc>
          <w:tcPr>
            <w:tcW w:w="1418"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13,950 </w:t>
            </w:r>
          </w:p>
        </w:tc>
        <w:tc>
          <w:tcPr>
            <w:tcW w:w="1417" w:type="dxa"/>
            <w:tcBorders>
              <w:top w:val="nil"/>
              <w:left w:val="nil"/>
              <w:bottom w:val="nil"/>
              <w:right w:val="nil"/>
            </w:tcBorders>
            <w:tcMar>
              <w:top w:w="28" w:type="dxa"/>
              <w:left w:w="57" w:type="dxa"/>
              <w:bottom w:w="28" w:type="dxa"/>
              <w:right w:w="57" w:type="dxa"/>
            </w:tcMar>
            <w:vAlign w:val="bottom"/>
          </w:tcPr>
          <w:p w:rsidR="00F423CA" w:rsidP="005C5E17" w:rsidRDefault="004E2DCE">
            <w:pPr>
              <w:pStyle w:val="bodytableRtable"/>
              <w:spacing w:after="0" w:line="240" w:lineRule="auto"/>
            </w:pPr>
            <w:r>
              <w:t xml:space="preserve">12,354 </w:t>
            </w:r>
          </w:p>
        </w:tc>
      </w:tr>
      <w:tr w:rsidR="00F423CA" w:rsidTr="005C5E17">
        <w:trPr>
          <w:trHeight w:val="113"/>
        </w:trPr>
        <w:tc>
          <w:tcPr>
            <w:tcW w:w="6236" w:type="dxa"/>
            <w:gridSpan w:val="2"/>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Ltable"/>
              <w:spacing w:after="0" w:line="240" w:lineRule="auto"/>
            </w:pPr>
            <w:r>
              <w:t>Other</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13,286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t xml:space="preserve">5,095 </w:t>
            </w:r>
          </w:p>
        </w:tc>
      </w:tr>
      <w:tr w:rsidR="00F423CA" w:rsidTr="005C5E17">
        <w:trPr>
          <w:trHeight w:val="113"/>
        </w:trPr>
        <w:tc>
          <w:tcPr>
            <w:tcW w:w="6236"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Ltable"/>
              <w:spacing w:after="0" w:line="240" w:lineRule="auto"/>
            </w:pPr>
            <w:r>
              <w:rPr>
                <w:rStyle w:val="medium"/>
                <w:b/>
                <w:bCs/>
              </w:rPr>
              <w:t>Total other income</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rPr>
              <w:t xml:space="preserve">70,587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5C5E17" w:rsidRDefault="004E2DCE">
            <w:pPr>
              <w:pStyle w:val="bodytableRtable"/>
              <w:spacing w:after="0" w:line="240" w:lineRule="auto"/>
            </w:pPr>
            <w:r>
              <w:rPr>
                <w:rStyle w:val="medium"/>
                <w:b/>
                <w:bCs/>
              </w:rPr>
              <w:t xml:space="preserve">63,217 </w:t>
            </w:r>
          </w:p>
        </w:tc>
      </w:tr>
    </w:tbl>
    <w:p w:rsidRPr="00925BBD" w:rsidR="00F423CA" w:rsidP="00925BBD" w:rsidRDefault="00F423CA">
      <w:pPr>
        <w:pStyle w:val="Bodycopy"/>
      </w:pPr>
    </w:p>
    <w:p w:rsidR="00F423CA" w:rsidRDefault="004E2DCE">
      <w:pPr>
        <w:pStyle w:val="Bodycopy"/>
      </w:pPr>
      <w:r>
        <w:rPr>
          <w:rStyle w:val="medium"/>
          <w:b/>
          <w:bCs/>
        </w:rPr>
        <w:t>Fines and fees</w:t>
      </w:r>
      <w:r>
        <w:t xml:space="preserve"> are recognised upon the receipt of cash paid into various trust funds in accordance with their associated legislation.</w:t>
      </w:r>
    </w:p>
    <w:p w:rsidR="00F423CA" w:rsidRDefault="004E2DCE">
      <w:pPr>
        <w:pStyle w:val="Bodycopy"/>
      </w:pPr>
      <w:r>
        <w:rPr>
          <w:rStyle w:val="medium"/>
          <w:b/>
          <w:bCs/>
        </w:rPr>
        <w:t>Dividends from investments</w:t>
      </w:r>
      <w:r>
        <w:t xml:space="preserve"> are recognised when the right to receive payment is established.  Dividends represent the income arising from the department’s investments in financial assets.</w:t>
      </w:r>
    </w:p>
    <w:p w:rsidR="00F423CA" w:rsidRDefault="004E2DCE">
      <w:pPr>
        <w:pStyle w:val="Bodycopy"/>
      </w:pPr>
      <w:r>
        <w:rPr>
          <w:rStyle w:val="medium"/>
          <w:b/>
          <w:bCs/>
        </w:rPr>
        <w:t>Income from RTBA</w:t>
      </w:r>
      <w:r>
        <w:t xml:space="preserve"> is recognised upon the receipt of cash paid into the Residential Tenancies Fund by the RTBA in accordance with section 437 of the </w:t>
      </w:r>
      <w:r>
        <w:rPr>
          <w:rStyle w:val="italic"/>
        </w:rPr>
        <w:t>Residential Tenancies Act 1997</w:t>
      </w:r>
      <w:r>
        <w:t>.</w:t>
      </w:r>
    </w:p>
    <w:p w:rsidR="00F423CA" w:rsidRDefault="004E2DCE">
      <w:pPr>
        <w:pStyle w:val="Bodycopy"/>
      </w:pPr>
      <w:r>
        <w:rPr>
          <w:rStyle w:val="medium"/>
          <w:b/>
          <w:bCs/>
        </w:rPr>
        <w:t>Income from VBA</w:t>
      </w:r>
      <w:r>
        <w:t xml:space="preserve"> relates to the Domestic Building Fund’s share of the building permit levy, and registration and application fees collected by the VBA under the </w:t>
      </w:r>
      <w:r>
        <w:rPr>
          <w:rStyle w:val="italic"/>
        </w:rPr>
        <w:t>Building Act 1993</w:t>
      </w:r>
      <w:r>
        <w:t>.</w:t>
      </w:r>
    </w:p>
    <w:p w:rsidR="00F423CA" w:rsidRDefault="004E2DCE">
      <w:pPr>
        <w:pStyle w:val="H3"/>
      </w:pPr>
      <w:r>
        <w:t>2.7 Annotated income agreements</w:t>
      </w:r>
    </w:p>
    <w:p w:rsidR="00F423CA" w:rsidRDefault="004E2DCE">
      <w:pPr>
        <w:pStyle w:val="Bodycopy"/>
      </w:pPr>
      <w:r>
        <w:t xml:space="preserve">The department is permitted under section 29 of the </w:t>
      </w:r>
      <w:r>
        <w:rPr>
          <w:rStyle w:val="italic"/>
        </w:rPr>
        <w:t>Financial Management Act 1994</w:t>
      </w:r>
      <w:r>
        <w:t xml:space="preserve"> to have certain income annotated to the annual appropriation.  The income which forms part of a section 29 agreement is recognised by the department and the receipts paid into the consolidated fund as an administered item.  At the point of income recognition, section 29 provides for an equivalent amount to be added to the annual appropriation.</w:t>
      </w:r>
    </w:p>
    <w:p w:rsidR="00F423CA" w:rsidRDefault="004E2DCE">
      <w:pPr>
        <w:pStyle w:val="Bodycopy"/>
      </w:pPr>
      <w:r>
        <w:t xml:space="preserve">The following is a list of annotated income agreements approved by the Treasurer under section 29 of the </w:t>
      </w:r>
      <w:r>
        <w:rPr>
          <w:rStyle w:val="italic"/>
        </w:rPr>
        <w:t>Financial Management Act 1994</w:t>
      </w:r>
      <w:r>
        <w:t>:</w:t>
      </w:r>
    </w:p>
    <w:tbl>
      <w:tblPr>
        <w:tblW w:w="0" w:type="auto"/>
        <w:tblInd w:w="57" w:type="dxa"/>
        <w:tblLayout w:type="fixed"/>
        <w:tblCellMar>
          <w:left w:w="0" w:type="dxa"/>
          <w:right w:w="0" w:type="dxa"/>
        </w:tblCellMar>
        <w:tblLook w:firstRow="0" w:lastRow="0" w:firstColumn="0" w:lastColumn="0" w:noHBand="0" w:noVBand="0" w:val="0000"/>
      </w:tblPr>
      <w:tblGrid>
        <w:gridCol w:w="380"/>
        <w:gridCol w:w="5842"/>
        <w:gridCol w:w="1417"/>
        <w:gridCol w:w="1418"/>
      </w:tblGrid>
      <w:tr w:rsidRPr="00A96FCB" w:rsidR="00F423CA" w:rsidTr="00A96FCB">
        <w:trPr>
          <w:trHeight w:val="113"/>
          <w:tblHeader/>
        </w:trPr>
        <w:tc>
          <w:tcPr>
            <w:tcW w:w="380"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4E2DCE">
            <w:pPr>
              <w:pStyle w:val="bodytableLtable"/>
              <w:spacing w:after="0" w:line="240" w:lineRule="auto"/>
              <w:jc w:val="right"/>
            </w:pPr>
            <w:r w:rsidRPr="00A96FCB">
              <w:rPr>
                <w:rStyle w:val="medium"/>
                <w:b/>
                <w:bCs/>
                <w:color w:val="542E8E"/>
              </w:rPr>
              <w:t>($ thousand)</w:t>
            </w:r>
          </w:p>
        </w:tc>
      </w:tr>
      <w:tr w:rsidRPr="00A96FCB" w:rsidR="00F423CA" w:rsidTr="00A96FCB">
        <w:trPr>
          <w:trHeight w:val="113"/>
          <w:tblHeader/>
        </w:trPr>
        <w:tc>
          <w:tcPr>
            <w:tcW w:w="38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4E2DCE">
            <w:pPr>
              <w:pStyle w:val="bodytableLtable"/>
              <w:spacing w:after="0" w:line="240" w:lineRule="auto"/>
              <w:jc w:val="right"/>
            </w:pPr>
            <w:r w:rsidRPr="00A96FCB">
              <w:rPr>
                <w:rStyle w:val="medium"/>
                <w:b/>
                <w:bCs/>
                <w:color w:val="542E8E"/>
              </w:rPr>
              <w:t>2018</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A96FCB" w:rsidR="00F423CA" w:rsidP="00A96FCB" w:rsidRDefault="004E2DCE">
            <w:pPr>
              <w:pStyle w:val="bodytableLtable"/>
              <w:spacing w:after="0" w:line="240" w:lineRule="auto"/>
              <w:jc w:val="right"/>
            </w:pPr>
            <w:r w:rsidRPr="00A96FCB">
              <w:rPr>
                <w:rStyle w:val="medium"/>
                <w:b/>
                <w:bCs/>
                <w:color w:val="542E8E"/>
              </w:rPr>
              <w:t>2017</w:t>
            </w:r>
          </w:p>
        </w:tc>
      </w:tr>
      <w:tr w:rsidRPr="00A96FCB" w:rsidR="00F423CA" w:rsidTr="00A96FCB">
        <w:trPr>
          <w:trHeight w:val="113"/>
        </w:trPr>
        <w:tc>
          <w:tcPr>
            <w:tcW w:w="9057" w:type="dxa"/>
            <w:gridSpan w:val="4"/>
            <w:tcBorders>
              <w:top w:val="single" w:color="000000" w:sz="8" w:space="0"/>
              <w:left w:val="nil"/>
              <w:bottom w:val="nil"/>
              <w:right w:val="nil"/>
            </w:tcBorders>
            <w:tcMar>
              <w:top w:w="57" w:type="dxa"/>
              <w:left w:w="57" w:type="dxa"/>
              <w:bottom w:w="57" w:type="dxa"/>
              <w:right w:w="57" w:type="dxa"/>
            </w:tcMar>
            <w:vAlign w:val="bottom"/>
          </w:tcPr>
          <w:p w:rsidRPr="00A96FCB" w:rsidR="00F423CA" w:rsidP="00A96FCB" w:rsidRDefault="004E2DCE">
            <w:pPr>
              <w:pStyle w:val="bodytableLtable"/>
              <w:spacing w:after="0" w:line="240" w:lineRule="auto"/>
            </w:pPr>
            <w:r w:rsidRPr="00A96FCB">
              <w:rPr>
                <w:rStyle w:val="medium"/>
                <w:b/>
                <w:bCs/>
              </w:rPr>
              <w:t>User charges, or sales of goods and services</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Consumer Affairs Victoria publications and conferences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70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10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Corrections Victoria prison industries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15,878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14,600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Crime Statistics Agency</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254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576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Emergency alerting system</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13,176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11,836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Emergency services management</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23,491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23,086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Fees for legal services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38,841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35,909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Gaming and liquor regulation</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696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1,244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Infringement Court fees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39,809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39,995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Public information, education, training and mediation services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709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1,200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Registrar of Births, Deaths and Marriages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6,515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6,204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Secretariat Legal Education and Board of Examiners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2,750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2,758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Victorian Institute of Forensic Medicine services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11,030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11,169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Victoria Police policing services and event management</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9,459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11,303 </w:t>
            </w:r>
          </w:p>
        </w:tc>
      </w:tr>
      <w:tr w:rsidRPr="00A96FCB" w:rsidR="00F423CA" w:rsidTr="00925BBD">
        <w:trPr>
          <w:trHeight w:val="113"/>
        </w:trPr>
        <w:tc>
          <w:tcPr>
            <w:tcW w:w="9057" w:type="dxa"/>
            <w:gridSpan w:val="4"/>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rPr>
                <w:rStyle w:val="medium"/>
                <w:b/>
                <w:bCs/>
              </w:rPr>
              <w:t>Asset sales</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Victoria Police asset sales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324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2,485 </w:t>
            </w:r>
          </w:p>
        </w:tc>
      </w:tr>
      <w:tr w:rsidRPr="00A96FCB" w:rsidR="00F423CA" w:rsidTr="00925BBD">
        <w:trPr>
          <w:trHeight w:val="113"/>
        </w:trPr>
        <w:tc>
          <w:tcPr>
            <w:tcW w:w="9057" w:type="dxa"/>
            <w:gridSpan w:val="4"/>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rPr>
                <w:rStyle w:val="medium"/>
                <w:b/>
                <w:bCs/>
              </w:rPr>
              <w:t>Commonwealth specific purpose payments</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National bushfire mitigation program</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0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898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National coronial information system</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0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800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National disaster resilience program</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10,440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2,088 </w:t>
            </w:r>
          </w:p>
        </w:tc>
      </w:tr>
      <w:tr w:rsidRPr="00A96FCB" w:rsidR="00F423CA" w:rsidTr="00925BBD">
        <w:trPr>
          <w:trHeight w:val="113"/>
        </w:trPr>
        <w:tc>
          <w:tcPr>
            <w:tcW w:w="380" w:type="dxa"/>
            <w:tcBorders>
              <w:top w:val="nil"/>
              <w:left w:val="nil"/>
              <w:bottom w:val="nil"/>
              <w:right w:val="nil"/>
            </w:tcBorders>
            <w:tcMar>
              <w:top w:w="28" w:type="dxa"/>
              <w:left w:w="57" w:type="dxa"/>
              <w:bottom w:w="28"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Ltable"/>
              <w:spacing w:after="0" w:line="240" w:lineRule="auto"/>
            </w:pPr>
            <w:r w:rsidRPr="00A96FCB">
              <w:t>Provision of fire services</w:t>
            </w:r>
          </w:p>
        </w:tc>
        <w:tc>
          <w:tcPr>
            <w:tcW w:w="1417"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3,250 </w:t>
            </w:r>
          </w:p>
        </w:tc>
        <w:tc>
          <w:tcPr>
            <w:tcW w:w="1418" w:type="dxa"/>
            <w:tcBorders>
              <w:top w:val="nil"/>
              <w:left w:val="nil"/>
              <w:bottom w:val="nil"/>
              <w:right w:val="nil"/>
            </w:tcBorders>
            <w:tcMar>
              <w:top w:w="28" w:type="dxa"/>
              <w:left w:w="57" w:type="dxa"/>
              <w:bottom w:w="28" w:type="dxa"/>
              <w:right w:w="57" w:type="dxa"/>
            </w:tcMar>
            <w:vAlign w:val="bottom"/>
          </w:tcPr>
          <w:p w:rsidRPr="00A96FCB" w:rsidR="00F423CA" w:rsidP="00A96FCB" w:rsidRDefault="004E2DCE">
            <w:pPr>
              <w:pStyle w:val="bodytableRtable"/>
              <w:spacing w:after="0" w:line="240" w:lineRule="auto"/>
            </w:pPr>
            <w:r w:rsidRPr="00A96FCB">
              <w:t xml:space="preserve">3,108 </w:t>
            </w:r>
          </w:p>
        </w:tc>
      </w:tr>
      <w:tr w:rsidRPr="00A96FCB" w:rsidR="00F423CA" w:rsidTr="00A96FCB">
        <w:trPr>
          <w:trHeight w:val="113"/>
        </w:trPr>
        <w:tc>
          <w:tcPr>
            <w:tcW w:w="380" w:type="dxa"/>
            <w:tcBorders>
              <w:top w:val="nil"/>
              <w:left w:val="nil"/>
              <w:bottom w:val="single" w:color="000000" w:sz="6" w:space="0"/>
              <w:right w:val="nil"/>
            </w:tcBorders>
            <w:tcMar>
              <w:top w:w="57" w:type="dxa"/>
              <w:left w:w="57" w:type="dxa"/>
              <w:bottom w:w="57" w:type="dxa"/>
              <w:right w:w="57" w:type="dxa"/>
            </w:tcMar>
            <w:vAlign w:val="bottom"/>
          </w:tcPr>
          <w:p w:rsidRPr="00A96FCB" w:rsidR="00F423CA" w:rsidP="00A96FCB" w:rsidRDefault="00F423CA">
            <w:pPr>
              <w:pStyle w:val="NoParagraphStyle"/>
              <w:spacing w:line="240" w:lineRule="auto"/>
              <w:textAlignment w:val="auto"/>
              <w:rPr>
                <w:rFonts w:ascii="Arial" w:hAnsi="Arial" w:cs="Arial"/>
                <w:color w:val="auto"/>
                <w:sz w:val="16"/>
                <w:szCs w:val="16"/>
              </w:rPr>
            </w:pPr>
          </w:p>
        </w:tc>
        <w:tc>
          <w:tcPr>
            <w:tcW w:w="5842" w:type="dxa"/>
            <w:tcBorders>
              <w:top w:val="nil"/>
              <w:left w:val="nil"/>
              <w:bottom w:val="single" w:color="000000" w:sz="6" w:space="0"/>
              <w:right w:val="nil"/>
            </w:tcBorders>
            <w:tcMar>
              <w:top w:w="57" w:type="dxa"/>
              <w:left w:w="57" w:type="dxa"/>
              <w:bottom w:w="57" w:type="dxa"/>
              <w:right w:w="57" w:type="dxa"/>
            </w:tcMar>
            <w:vAlign w:val="bottom"/>
          </w:tcPr>
          <w:p w:rsidRPr="00A96FCB" w:rsidR="00F423CA" w:rsidP="00A96FCB" w:rsidRDefault="004E2DCE">
            <w:pPr>
              <w:pStyle w:val="bodytableLtable"/>
              <w:spacing w:after="0" w:line="240" w:lineRule="auto"/>
            </w:pPr>
            <w:r w:rsidRPr="00A96FCB">
              <w:t>Victoria legal aid</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A96FCB" w:rsidR="00F423CA" w:rsidP="00A96FCB" w:rsidRDefault="004E2DCE">
            <w:pPr>
              <w:pStyle w:val="bodytableRtable"/>
              <w:spacing w:after="0" w:line="240" w:lineRule="auto"/>
            </w:pPr>
            <w:r w:rsidRPr="00A96FCB">
              <w:t xml:space="preserve">61,388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A96FCB" w:rsidR="00F423CA" w:rsidP="00A96FCB" w:rsidRDefault="004E2DCE">
            <w:pPr>
              <w:pStyle w:val="bodytableRtable"/>
              <w:spacing w:after="0" w:line="240" w:lineRule="auto"/>
            </w:pPr>
            <w:r w:rsidRPr="00A96FCB">
              <w:t xml:space="preserve">59,904 </w:t>
            </w:r>
          </w:p>
        </w:tc>
      </w:tr>
      <w:tr w:rsidRPr="00A96FCB" w:rsidR="00F423CA" w:rsidTr="00A96FCB">
        <w:trPr>
          <w:trHeight w:val="113"/>
        </w:trPr>
        <w:tc>
          <w:tcPr>
            <w:tcW w:w="6222"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A96FCB" w:rsidR="00F423CA" w:rsidP="00A96FCB" w:rsidRDefault="004E2DCE">
            <w:pPr>
              <w:pStyle w:val="bodytableLtable"/>
              <w:spacing w:after="0" w:line="240" w:lineRule="auto"/>
            </w:pPr>
            <w:r w:rsidRPr="00A96FCB">
              <w:rPr>
                <w:rStyle w:val="medium"/>
                <w:b/>
                <w:bCs/>
              </w:rPr>
              <w:t>Total annotated income agreements</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96FCB" w:rsidR="00F423CA" w:rsidP="00A96FCB" w:rsidRDefault="004E2DCE">
            <w:pPr>
              <w:pStyle w:val="bodytableRtable"/>
              <w:spacing w:after="0" w:line="240" w:lineRule="auto"/>
            </w:pPr>
            <w:r w:rsidRPr="00A96FCB">
              <w:rPr>
                <w:rStyle w:val="medium"/>
                <w:b/>
                <w:bCs/>
              </w:rPr>
              <w:t xml:space="preserve">238,080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A96FCB" w:rsidR="00F423CA" w:rsidP="00A96FCB" w:rsidRDefault="004E2DCE">
            <w:pPr>
              <w:pStyle w:val="bodytableRtable"/>
              <w:spacing w:after="0" w:line="240" w:lineRule="auto"/>
            </w:pPr>
            <w:r w:rsidRPr="00A96FCB">
              <w:rPr>
                <w:rStyle w:val="medium"/>
                <w:b/>
                <w:bCs/>
              </w:rPr>
              <w:t xml:space="preserve">229,173 </w:t>
            </w:r>
          </w:p>
        </w:tc>
      </w:tr>
    </w:tbl>
    <w:p w:rsidR="00F423CA" w:rsidRDefault="004E2DCE">
      <w:pPr>
        <w:pStyle w:val="H2"/>
      </w:pPr>
      <w:bookmarkStart w:id="12" w:name="_Toc525290070"/>
      <w:r>
        <w:lastRenderedPageBreak/>
        <w:t>3. Cost of delivering services</w:t>
      </w:r>
      <w:bookmarkEnd w:id="12"/>
    </w:p>
    <w:p w:rsidR="00F423CA" w:rsidRDefault="004E2DCE">
      <w:pPr>
        <w:pStyle w:val="H3"/>
      </w:pPr>
      <w:r>
        <w:t>3.1 Introduction</w:t>
      </w:r>
    </w:p>
    <w:p w:rsidR="00F423CA" w:rsidRDefault="004E2DCE">
      <w:pPr>
        <w:pStyle w:val="Bodycopy"/>
      </w:pPr>
      <w:r>
        <w:t>This note provides an account of the expenses incurred by the department in delivering services and outputs.  In note 2, the funds that enable the provision of services were disclosed and in this note the cost associated with provision of services are recorded.  Note 4 discloses aggregated information in relation to the income and expenses by output.</w:t>
      </w:r>
    </w:p>
    <w:p w:rsidR="00F423CA" w:rsidRDefault="004E2DCE">
      <w:pPr>
        <w:pStyle w:val="H3"/>
      </w:pPr>
      <w:r>
        <w:t>3.2 Employee benefits</w:t>
      </w:r>
    </w:p>
    <w:p w:rsidR="00F423CA" w:rsidRDefault="004E2DCE">
      <w:pPr>
        <w:pStyle w:val="H4"/>
      </w:pPr>
      <w:r>
        <w:t>3.2.1 Employee benefit expense in the comprehensive operating statement</w:t>
      </w:r>
    </w:p>
    <w:tbl>
      <w:tblPr>
        <w:tblW w:w="0" w:type="auto"/>
        <w:tblInd w:w="57" w:type="dxa"/>
        <w:tblLayout w:type="fixed"/>
        <w:tblCellMar>
          <w:left w:w="0" w:type="dxa"/>
          <w:right w:w="0" w:type="dxa"/>
        </w:tblCellMar>
        <w:tblLook w:firstRow="0" w:lastRow="0" w:firstColumn="0" w:lastColumn="0" w:noHBand="0" w:noVBand="0" w:val="0000"/>
      </w:tblPr>
      <w:tblGrid>
        <w:gridCol w:w="485"/>
        <w:gridCol w:w="5737"/>
        <w:gridCol w:w="1417"/>
        <w:gridCol w:w="1418"/>
      </w:tblGrid>
      <w:tr w:rsidR="00F423CA" w:rsidTr="002B34F8">
        <w:trPr>
          <w:trHeight w:val="60"/>
          <w:tblHeader/>
        </w:trPr>
        <w:tc>
          <w:tcPr>
            <w:tcW w:w="485" w:type="dxa"/>
            <w:tcBorders>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5737" w:type="dxa"/>
            <w:tcBorders>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417" w:type="dxa"/>
            <w:tcBorders>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418" w:type="dxa"/>
            <w:tcBorders>
              <w:bottom w:val="single" w:color="532F8E" w:sz="4" w:space="0"/>
            </w:tcBorders>
            <w:shd w:val="solid" w:color="FFFFFF" w:fill="auto"/>
            <w:tcMar>
              <w:top w:w="57" w:type="dxa"/>
              <w:left w:w="57" w:type="dxa"/>
              <w:bottom w:w="57" w:type="dxa"/>
              <w:right w:w="57" w:type="dxa"/>
            </w:tcMar>
          </w:tcPr>
          <w:p w:rsidR="00F423CA" w:rsidP="002B34F8" w:rsidRDefault="004E2DCE">
            <w:pPr>
              <w:pStyle w:val="bodytableLtable"/>
              <w:spacing w:after="0" w:line="240" w:lineRule="auto"/>
              <w:jc w:val="right"/>
            </w:pPr>
            <w:r>
              <w:rPr>
                <w:rStyle w:val="medium"/>
                <w:b/>
                <w:bCs/>
                <w:color w:val="542E8E"/>
              </w:rPr>
              <w:t>($ thousand)</w:t>
            </w:r>
          </w:p>
        </w:tc>
      </w:tr>
      <w:tr w:rsidR="00F423CA" w:rsidTr="002B34F8">
        <w:trPr>
          <w:trHeight w:val="60"/>
          <w:tblHeader/>
        </w:trPr>
        <w:tc>
          <w:tcPr>
            <w:tcW w:w="485"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5737"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532F8E" w:sz="4" w:space="0"/>
              <w:bottom w:val="single" w:color="532F8E" w:sz="4" w:space="0"/>
            </w:tcBorders>
            <w:shd w:val="solid" w:color="FFFFFF" w:fill="auto"/>
            <w:tcMar>
              <w:top w:w="57" w:type="dxa"/>
              <w:left w:w="57" w:type="dxa"/>
              <w:bottom w:w="57" w:type="dxa"/>
              <w:right w:w="57" w:type="dxa"/>
            </w:tcMar>
          </w:tcPr>
          <w:p w:rsidR="00F423CA" w:rsidP="002B34F8" w:rsidRDefault="004E2DCE">
            <w:pPr>
              <w:pStyle w:val="bodytableLtable"/>
              <w:spacing w:after="0" w:line="240" w:lineRule="auto"/>
              <w:jc w:val="right"/>
            </w:pPr>
            <w:r>
              <w:rPr>
                <w:rStyle w:val="medium"/>
                <w:b/>
                <w:bCs/>
                <w:color w:val="542E8E"/>
              </w:rPr>
              <w:t>2018</w:t>
            </w:r>
          </w:p>
        </w:tc>
        <w:tc>
          <w:tcPr>
            <w:tcW w:w="1418" w:type="dxa"/>
            <w:tcBorders>
              <w:top w:val="single" w:color="532F8E" w:sz="4" w:space="0"/>
              <w:bottom w:val="single" w:color="532F8E" w:sz="4" w:space="0"/>
            </w:tcBorders>
            <w:shd w:val="solid" w:color="FFFFFF" w:fill="auto"/>
            <w:tcMar>
              <w:top w:w="57" w:type="dxa"/>
              <w:left w:w="57" w:type="dxa"/>
              <w:bottom w:w="57" w:type="dxa"/>
              <w:right w:w="57" w:type="dxa"/>
            </w:tcMar>
          </w:tcPr>
          <w:p w:rsidR="00F423CA" w:rsidP="002B34F8" w:rsidRDefault="004E2DCE">
            <w:pPr>
              <w:pStyle w:val="bodytableLtable"/>
              <w:spacing w:after="0" w:line="240" w:lineRule="auto"/>
              <w:jc w:val="right"/>
            </w:pPr>
            <w:r>
              <w:rPr>
                <w:rStyle w:val="medium"/>
                <w:b/>
                <w:bCs/>
                <w:color w:val="542E8E"/>
              </w:rPr>
              <w:t>2017</w:t>
            </w:r>
          </w:p>
        </w:tc>
      </w:tr>
      <w:tr w:rsidR="00F423CA" w:rsidTr="002B34F8">
        <w:trPr>
          <w:trHeight w:val="60"/>
        </w:trPr>
        <w:tc>
          <w:tcPr>
            <w:tcW w:w="6222" w:type="dxa"/>
            <w:gridSpan w:val="2"/>
            <w:tcBorders>
              <w:top w:val="single" w:color="532F8E" w:sz="4" w:space="0"/>
            </w:tcBorders>
            <w:tcMar>
              <w:top w:w="57" w:type="dxa"/>
              <w:left w:w="57" w:type="dxa"/>
              <w:bottom w:w="57" w:type="dxa"/>
              <w:right w:w="57" w:type="dxa"/>
            </w:tcMar>
          </w:tcPr>
          <w:p w:rsidR="00F423CA" w:rsidP="002B34F8" w:rsidRDefault="004E2DCE">
            <w:pPr>
              <w:pStyle w:val="bodytableLtable"/>
              <w:spacing w:after="0" w:line="240" w:lineRule="auto"/>
            </w:pPr>
            <w:r>
              <w:t>Salary and wages</w:t>
            </w:r>
          </w:p>
        </w:tc>
        <w:tc>
          <w:tcPr>
            <w:tcW w:w="1417" w:type="dxa"/>
            <w:tcBorders>
              <w:top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719,502 </w:t>
            </w:r>
          </w:p>
        </w:tc>
        <w:tc>
          <w:tcPr>
            <w:tcW w:w="1418" w:type="dxa"/>
            <w:tcBorders>
              <w:top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601,930 </w:t>
            </w:r>
          </w:p>
        </w:tc>
      </w:tr>
      <w:tr w:rsidR="00F423CA" w:rsidTr="00925BBD">
        <w:trPr>
          <w:trHeight w:val="60"/>
        </w:trPr>
        <w:tc>
          <w:tcPr>
            <w:tcW w:w="6222" w:type="dxa"/>
            <w:gridSpan w:val="2"/>
            <w:tcMar>
              <w:top w:w="28" w:type="dxa"/>
              <w:left w:w="57" w:type="dxa"/>
              <w:bottom w:w="28" w:type="dxa"/>
              <w:right w:w="57" w:type="dxa"/>
            </w:tcMar>
          </w:tcPr>
          <w:p w:rsidR="00F423CA" w:rsidP="002B34F8" w:rsidRDefault="004E2DCE">
            <w:pPr>
              <w:pStyle w:val="bodytableLtable"/>
              <w:spacing w:after="0" w:line="240" w:lineRule="auto"/>
            </w:pPr>
            <w:r>
              <w:t>Superannuation</w:t>
            </w:r>
          </w:p>
        </w:tc>
        <w:tc>
          <w:tcPr>
            <w:tcW w:w="1417" w:type="dxa"/>
            <w:tcMar>
              <w:top w:w="28" w:type="dxa"/>
              <w:left w:w="57" w:type="dxa"/>
              <w:bottom w:w="28" w:type="dxa"/>
              <w:right w:w="57" w:type="dxa"/>
            </w:tcMar>
          </w:tcPr>
          <w:p w:rsidR="00F423CA" w:rsidP="002B34F8" w:rsidRDefault="004E2DCE">
            <w:pPr>
              <w:pStyle w:val="bodytableRtable"/>
              <w:spacing w:after="0" w:line="240" w:lineRule="auto"/>
            </w:pPr>
            <w:r>
              <w:t xml:space="preserve">71,020 </w:t>
            </w:r>
          </w:p>
        </w:tc>
        <w:tc>
          <w:tcPr>
            <w:tcW w:w="1418" w:type="dxa"/>
            <w:tcMar>
              <w:top w:w="28" w:type="dxa"/>
              <w:left w:w="57" w:type="dxa"/>
              <w:bottom w:w="28" w:type="dxa"/>
              <w:right w:w="57" w:type="dxa"/>
            </w:tcMar>
          </w:tcPr>
          <w:p w:rsidR="00F423CA" w:rsidP="002B34F8" w:rsidRDefault="004E2DCE">
            <w:pPr>
              <w:pStyle w:val="bodytableRtable"/>
              <w:spacing w:after="0" w:line="240" w:lineRule="auto"/>
            </w:pPr>
            <w:r>
              <w:t xml:space="preserve">59,490 </w:t>
            </w:r>
          </w:p>
        </w:tc>
      </w:tr>
      <w:tr w:rsidR="00F423CA" w:rsidTr="00925BBD">
        <w:trPr>
          <w:trHeight w:val="60"/>
        </w:trPr>
        <w:tc>
          <w:tcPr>
            <w:tcW w:w="6222" w:type="dxa"/>
            <w:gridSpan w:val="2"/>
            <w:tcMar>
              <w:top w:w="28" w:type="dxa"/>
              <w:left w:w="57" w:type="dxa"/>
              <w:bottom w:w="28" w:type="dxa"/>
              <w:right w:w="57" w:type="dxa"/>
            </w:tcMar>
          </w:tcPr>
          <w:p w:rsidR="00F423CA" w:rsidP="002B34F8" w:rsidRDefault="004E2DCE">
            <w:pPr>
              <w:pStyle w:val="bodytableLtable"/>
              <w:spacing w:after="0" w:line="240" w:lineRule="auto"/>
            </w:pPr>
            <w:r>
              <w:t>Annual leave and long service leave</w:t>
            </w:r>
          </w:p>
        </w:tc>
        <w:tc>
          <w:tcPr>
            <w:tcW w:w="1417" w:type="dxa"/>
            <w:tcMar>
              <w:top w:w="28" w:type="dxa"/>
              <w:left w:w="57" w:type="dxa"/>
              <w:bottom w:w="28" w:type="dxa"/>
              <w:right w:w="57" w:type="dxa"/>
            </w:tcMar>
          </w:tcPr>
          <w:p w:rsidR="00F423CA" w:rsidP="002B34F8" w:rsidRDefault="004E2DCE">
            <w:pPr>
              <w:pStyle w:val="bodytableRtable"/>
              <w:spacing w:after="0" w:line="240" w:lineRule="auto"/>
            </w:pPr>
            <w:r>
              <w:t xml:space="preserve">96,960 </w:t>
            </w:r>
          </w:p>
        </w:tc>
        <w:tc>
          <w:tcPr>
            <w:tcW w:w="1418" w:type="dxa"/>
            <w:tcMar>
              <w:top w:w="28" w:type="dxa"/>
              <w:left w:w="57" w:type="dxa"/>
              <w:bottom w:w="28" w:type="dxa"/>
              <w:right w:w="57" w:type="dxa"/>
            </w:tcMar>
          </w:tcPr>
          <w:p w:rsidR="00F423CA" w:rsidP="002B34F8" w:rsidRDefault="004E2DCE">
            <w:pPr>
              <w:pStyle w:val="bodytableRtable"/>
              <w:spacing w:after="0" w:line="240" w:lineRule="auto"/>
            </w:pPr>
            <w:r>
              <w:t xml:space="preserve">81,009 </w:t>
            </w:r>
          </w:p>
        </w:tc>
      </w:tr>
      <w:tr w:rsidR="00F423CA" w:rsidTr="00925BBD">
        <w:trPr>
          <w:trHeight w:val="60"/>
        </w:trPr>
        <w:tc>
          <w:tcPr>
            <w:tcW w:w="6222" w:type="dxa"/>
            <w:gridSpan w:val="2"/>
            <w:tcMar>
              <w:top w:w="28" w:type="dxa"/>
              <w:left w:w="57" w:type="dxa"/>
              <w:bottom w:w="28" w:type="dxa"/>
              <w:right w:w="57" w:type="dxa"/>
            </w:tcMar>
          </w:tcPr>
          <w:p w:rsidR="00F423CA" w:rsidP="002B34F8" w:rsidRDefault="004E2DCE">
            <w:pPr>
              <w:pStyle w:val="bodytableLtable"/>
              <w:spacing w:after="0" w:line="240" w:lineRule="auto"/>
            </w:pPr>
            <w:r>
              <w:t xml:space="preserve">Other on-costs (fringe benefits tax, payroll tax and </w:t>
            </w:r>
            <w:proofErr w:type="spellStart"/>
            <w:r>
              <w:t>workcover</w:t>
            </w:r>
            <w:proofErr w:type="spellEnd"/>
            <w:r>
              <w:t xml:space="preserve"> levy)</w:t>
            </w:r>
          </w:p>
        </w:tc>
        <w:tc>
          <w:tcPr>
            <w:tcW w:w="1417" w:type="dxa"/>
            <w:tcMar>
              <w:top w:w="28" w:type="dxa"/>
              <w:left w:w="57" w:type="dxa"/>
              <w:bottom w:w="28" w:type="dxa"/>
              <w:right w:w="57" w:type="dxa"/>
            </w:tcMar>
          </w:tcPr>
          <w:p w:rsidR="00F423CA" w:rsidP="002B34F8" w:rsidRDefault="004E2DCE">
            <w:pPr>
              <w:pStyle w:val="bodytableRtable"/>
              <w:spacing w:after="0" w:line="240" w:lineRule="auto"/>
            </w:pPr>
            <w:r>
              <w:t xml:space="preserve">73,010 </w:t>
            </w:r>
          </w:p>
        </w:tc>
        <w:tc>
          <w:tcPr>
            <w:tcW w:w="1418" w:type="dxa"/>
            <w:tcMar>
              <w:top w:w="28" w:type="dxa"/>
              <w:left w:w="57" w:type="dxa"/>
              <w:bottom w:w="28" w:type="dxa"/>
              <w:right w:w="57" w:type="dxa"/>
            </w:tcMar>
          </w:tcPr>
          <w:p w:rsidR="00F423CA" w:rsidP="002B34F8" w:rsidRDefault="004E2DCE">
            <w:pPr>
              <w:pStyle w:val="bodytableRtable"/>
              <w:spacing w:after="0" w:line="240" w:lineRule="auto"/>
            </w:pPr>
            <w:r>
              <w:t xml:space="preserve">60,315 </w:t>
            </w:r>
          </w:p>
        </w:tc>
      </w:tr>
      <w:tr w:rsidR="00F423CA" w:rsidTr="002B34F8">
        <w:trPr>
          <w:trHeight w:val="60"/>
        </w:trPr>
        <w:tc>
          <w:tcPr>
            <w:tcW w:w="6222" w:type="dxa"/>
            <w:gridSpan w:val="2"/>
            <w:tcBorders>
              <w:bottom w:val="single" w:color="532F8E" w:sz="4" w:space="0"/>
            </w:tcBorders>
            <w:tcMar>
              <w:top w:w="57" w:type="dxa"/>
              <w:left w:w="57" w:type="dxa"/>
              <w:bottom w:w="57" w:type="dxa"/>
              <w:right w:w="57" w:type="dxa"/>
            </w:tcMar>
          </w:tcPr>
          <w:p w:rsidR="00F423CA" w:rsidP="002B34F8" w:rsidRDefault="004E2DCE">
            <w:pPr>
              <w:pStyle w:val="bodytableLtable"/>
              <w:spacing w:after="0" w:line="240" w:lineRule="auto"/>
            </w:pPr>
            <w:r>
              <w:t>Termination benefits</w:t>
            </w:r>
          </w:p>
        </w:tc>
        <w:tc>
          <w:tcPr>
            <w:tcW w:w="1417" w:type="dxa"/>
            <w:tcBorders>
              <w:bottom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839 </w:t>
            </w:r>
          </w:p>
        </w:tc>
        <w:tc>
          <w:tcPr>
            <w:tcW w:w="1418" w:type="dxa"/>
            <w:tcBorders>
              <w:bottom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622 </w:t>
            </w:r>
          </w:p>
        </w:tc>
      </w:tr>
      <w:tr w:rsidR="00F423CA" w:rsidTr="002B34F8">
        <w:trPr>
          <w:trHeight w:val="60"/>
        </w:trPr>
        <w:tc>
          <w:tcPr>
            <w:tcW w:w="6222" w:type="dxa"/>
            <w:gridSpan w:val="2"/>
            <w:tcBorders>
              <w:top w:val="single" w:color="532F8E" w:sz="4" w:space="0"/>
              <w:bottom w:val="single" w:color="532F8E" w:sz="4" w:space="0"/>
            </w:tcBorders>
            <w:tcMar>
              <w:top w:w="57" w:type="dxa"/>
              <w:left w:w="57" w:type="dxa"/>
              <w:bottom w:w="57" w:type="dxa"/>
              <w:right w:w="57" w:type="dxa"/>
            </w:tcMar>
          </w:tcPr>
          <w:p w:rsidR="00F423CA" w:rsidP="002B34F8" w:rsidRDefault="004E2DCE">
            <w:pPr>
              <w:pStyle w:val="bodytableLtable"/>
              <w:spacing w:after="0" w:line="240" w:lineRule="auto"/>
            </w:pPr>
            <w:r>
              <w:rPr>
                <w:rStyle w:val="medium"/>
                <w:b/>
                <w:bCs/>
              </w:rPr>
              <w:t>Total employee benefit expense</w:t>
            </w:r>
          </w:p>
        </w:tc>
        <w:tc>
          <w:tcPr>
            <w:tcW w:w="1417" w:type="dxa"/>
            <w:tcBorders>
              <w:top w:val="single" w:color="532F8E" w:sz="4" w:space="0"/>
              <w:bottom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rPr>
                <w:rStyle w:val="medium"/>
                <w:b/>
                <w:bCs/>
              </w:rPr>
              <w:t xml:space="preserve">961,331 </w:t>
            </w:r>
          </w:p>
        </w:tc>
        <w:tc>
          <w:tcPr>
            <w:tcW w:w="1418" w:type="dxa"/>
            <w:tcBorders>
              <w:top w:val="single" w:color="532F8E" w:sz="4" w:space="0"/>
              <w:bottom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rPr>
                <w:rStyle w:val="medium"/>
                <w:b/>
                <w:bCs/>
              </w:rPr>
              <w:t xml:space="preserve">803,366 </w:t>
            </w:r>
          </w:p>
        </w:tc>
      </w:tr>
    </w:tbl>
    <w:p w:rsidR="00F423CA" w:rsidRDefault="00F423CA">
      <w:pPr>
        <w:pStyle w:val="Bodycopy"/>
        <w:rPr>
          <w:sz w:val="21"/>
          <w:szCs w:val="21"/>
        </w:rPr>
      </w:pPr>
    </w:p>
    <w:p w:rsidR="00F423CA" w:rsidRDefault="004E2DCE">
      <w:pPr>
        <w:pStyle w:val="Bodycopy"/>
      </w:pPr>
      <w:r>
        <w:rPr>
          <w:rStyle w:val="medium"/>
          <w:b/>
          <w:bCs/>
        </w:rPr>
        <w:t>Employee benefit expense</w:t>
      </w:r>
      <w:r>
        <w:t xml:space="preserve"> includes all costs related to employment including wages and salaries, fringe benefits tax, leave entitlements, termination payments and </w:t>
      </w:r>
      <w:proofErr w:type="spellStart"/>
      <w:r>
        <w:t>WorkCover</w:t>
      </w:r>
      <w:proofErr w:type="spellEnd"/>
      <w:r>
        <w:t xml:space="preserve"> premiums.</w:t>
      </w:r>
    </w:p>
    <w:p w:rsidR="00F423CA" w:rsidRDefault="004E2DCE">
      <w:pPr>
        <w:pStyle w:val="Bodycopy"/>
      </w:pPr>
      <w:r>
        <w:t>The amount recognised in the comprehensive operating statement in relation to superannuation is employer contributions for members of both defined benefit and defined contribution superannuation plans that are paid or payable during the reporting period.  The department does not recognise any defined benefit liabilities because it has no legal or constructive obligation to pay future benefits relating to its employees.  Instead, the Department of Treasury and Finance discloses in its annual financial statements the net defined benefit cost related to the members of these plans as an administered liability (on behalf of the State as the sponsoring employer).</w:t>
      </w:r>
    </w:p>
    <w:p w:rsidR="00F423CA" w:rsidRDefault="004E2DCE">
      <w:pPr>
        <w:pStyle w:val="Bodycopy"/>
      </w:pPr>
      <w:r>
        <w:t>Termination benefits are payable when employment is terminated before normal retirement date, or when an employee accepts an offer of benefits in exchange for the termination of employment.  Termination benefits are recognised when the department is demonstrably committed to terminating the employment of current employees according to a detailed formal plan without possibility of withdrawal or providing termination benefits as a result of an offer made to encourage voluntary redundancy.  Benefits falling due more than 12 months after the end of the reporting period are discounted to present value.</w:t>
      </w:r>
    </w:p>
    <w:p w:rsidR="00F423CA" w:rsidRDefault="004E2DCE">
      <w:pPr>
        <w:pStyle w:val="H4"/>
      </w:pPr>
      <w:r>
        <w:t>3.2.2 Employee benefit provisions in the balance sheet</w:t>
      </w:r>
    </w:p>
    <w:p w:rsidR="00F423CA" w:rsidRDefault="004E2DCE">
      <w:pPr>
        <w:pStyle w:val="Bodycopy"/>
      </w:pPr>
      <w:r>
        <w:t>Provision is made for benefits accruing to employees in respect of annual leave and long service leave for services rendered to the reporting date and recorded as an expense during the period the services are delivered.</w:t>
      </w:r>
    </w:p>
    <w:tbl>
      <w:tblPr>
        <w:tblW w:w="0" w:type="auto"/>
        <w:tblInd w:w="57" w:type="dxa"/>
        <w:tblLayout w:type="fixed"/>
        <w:tblCellMar>
          <w:left w:w="0" w:type="dxa"/>
          <w:right w:w="0" w:type="dxa"/>
        </w:tblCellMar>
        <w:tblLook w:firstRow="0" w:lastRow="0" w:firstColumn="0" w:lastColumn="0" w:noHBand="0" w:noVBand="0" w:val="0000"/>
      </w:tblPr>
      <w:tblGrid>
        <w:gridCol w:w="485"/>
        <w:gridCol w:w="5737"/>
        <w:gridCol w:w="1417"/>
        <w:gridCol w:w="1418"/>
      </w:tblGrid>
      <w:tr w:rsidR="00F423CA" w:rsidTr="002B34F8">
        <w:trPr>
          <w:trHeight w:val="60"/>
          <w:tblHeader/>
        </w:trPr>
        <w:tc>
          <w:tcPr>
            <w:tcW w:w="485" w:type="dxa"/>
            <w:tcBorders>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5737" w:type="dxa"/>
            <w:tcBorders>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417" w:type="dxa"/>
            <w:tcBorders>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418" w:type="dxa"/>
            <w:tcBorders>
              <w:bottom w:val="single" w:color="532F8E" w:sz="4" w:space="0"/>
            </w:tcBorders>
            <w:shd w:val="solid" w:color="FFFFFF" w:fill="auto"/>
            <w:tcMar>
              <w:top w:w="57" w:type="dxa"/>
              <w:left w:w="57" w:type="dxa"/>
              <w:bottom w:w="57" w:type="dxa"/>
              <w:right w:w="57" w:type="dxa"/>
            </w:tcMar>
          </w:tcPr>
          <w:p w:rsidRPr="002B34F8" w:rsidR="00F423CA" w:rsidP="002B34F8" w:rsidRDefault="004E2DCE">
            <w:pPr>
              <w:pStyle w:val="bodytableLtable"/>
              <w:spacing w:after="0" w:line="240" w:lineRule="auto"/>
              <w:jc w:val="right"/>
            </w:pPr>
            <w:r w:rsidRPr="002B34F8">
              <w:rPr>
                <w:rStyle w:val="medium"/>
                <w:b/>
                <w:bCs/>
                <w:color w:val="542E8E"/>
              </w:rPr>
              <w:t>($ thousand)</w:t>
            </w:r>
          </w:p>
        </w:tc>
      </w:tr>
      <w:tr w:rsidR="00F423CA" w:rsidTr="002B34F8">
        <w:trPr>
          <w:trHeight w:val="60"/>
          <w:tblHeader/>
        </w:trPr>
        <w:tc>
          <w:tcPr>
            <w:tcW w:w="485"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5737"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4E2DCE">
            <w:pPr>
              <w:pStyle w:val="bodytableLtable"/>
              <w:spacing w:after="0" w:line="240" w:lineRule="auto"/>
              <w:jc w:val="right"/>
            </w:pPr>
            <w:r w:rsidRPr="002B34F8">
              <w:rPr>
                <w:rStyle w:val="medium"/>
                <w:b/>
                <w:bCs/>
                <w:color w:val="542E8E"/>
              </w:rPr>
              <w:t>2018</w:t>
            </w:r>
          </w:p>
        </w:tc>
        <w:tc>
          <w:tcPr>
            <w:tcW w:w="1418"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4E2DCE">
            <w:pPr>
              <w:pStyle w:val="bodytableLtable"/>
              <w:spacing w:after="0" w:line="240" w:lineRule="auto"/>
              <w:jc w:val="right"/>
            </w:pPr>
            <w:r w:rsidRPr="002B34F8">
              <w:rPr>
                <w:rStyle w:val="medium"/>
                <w:b/>
                <w:bCs/>
                <w:color w:val="542E8E"/>
              </w:rPr>
              <w:t>2017</w:t>
            </w:r>
          </w:p>
        </w:tc>
      </w:tr>
      <w:tr w:rsidR="00F423CA" w:rsidTr="002B34F8">
        <w:trPr>
          <w:trHeight w:val="60"/>
        </w:trPr>
        <w:tc>
          <w:tcPr>
            <w:tcW w:w="9057" w:type="dxa"/>
            <w:gridSpan w:val="4"/>
            <w:tcBorders>
              <w:top w:val="single" w:color="532F8E" w:sz="4" w:space="0"/>
            </w:tcBorders>
            <w:tcMar>
              <w:top w:w="57" w:type="dxa"/>
              <w:left w:w="57" w:type="dxa"/>
              <w:bottom w:w="57" w:type="dxa"/>
              <w:right w:w="57" w:type="dxa"/>
            </w:tcMar>
          </w:tcPr>
          <w:p w:rsidRPr="002B34F8" w:rsidR="00F423CA" w:rsidP="002B34F8" w:rsidRDefault="004E2DCE">
            <w:pPr>
              <w:pStyle w:val="bodytableLtable"/>
              <w:spacing w:after="0" w:line="240" w:lineRule="auto"/>
            </w:pPr>
            <w:r w:rsidRPr="002B34F8">
              <w:rPr>
                <w:rStyle w:val="bold"/>
              </w:rPr>
              <w:t>Current provisions</w:t>
            </w:r>
          </w:p>
        </w:tc>
      </w:tr>
      <w:tr w:rsidR="00F423CA" w:rsidTr="00925BBD">
        <w:trPr>
          <w:trHeight w:val="60"/>
        </w:trPr>
        <w:tc>
          <w:tcPr>
            <w:tcW w:w="9057" w:type="dxa"/>
            <w:gridSpan w:val="4"/>
            <w:tcMar>
              <w:top w:w="28" w:type="dxa"/>
              <w:left w:w="57" w:type="dxa"/>
              <w:bottom w:w="28" w:type="dxa"/>
              <w:right w:w="57" w:type="dxa"/>
            </w:tcMar>
          </w:tcPr>
          <w:p w:rsidRPr="002B34F8" w:rsidR="00F423CA" w:rsidP="002B34F8" w:rsidRDefault="004E2DCE">
            <w:pPr>
              <w:pStyle w:val="bodytableLtable"/>
              <w:spacing w:after="0" w:line="240" w:lineRule="auto"/>
            </w:pPr>
            <w:r w:rsidRPr="002B34F8">
              <w:rPr>
                <w:rStyle w:val="medium"/>
                <w:b/>
                <w:bCs/>
              </w:rPr>
              <w:t>Annual leave</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Unconditional and expected to settle within 12 months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63,126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53,170 </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Unconditional and expected to settle after 12 months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8,801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7,828 </w:t>
            </w:r>
          </w:p>
        </w:tc>
      </w:tr>
      <w:tr w:rsidR="00F423CA" w:rsidTr="00925BBD">
        <w:trPr>
          <w:trHeight w:val="60"/>
        </w:trPr>
        <w:tc>
          <w:tcPr>
            <w:tcW w:w="9057" w:type="dxa"/>
            <w:gridSpan w:val="4"/>
            <w:tcMar>
              <w:top w:w="28" w:type="dxa"/>
              <w:left w:w="57" w:type="dxa"/>
              <w:bottom w:w="28" w:type="dxa"/>
              <w:right w:w="57" w:type="dxa"/>
            </w:tcMar>
          </w:tcPr>
          <w:p w:rsidRPr="002B34F8" w:rsidR="00F423CA" w:rsidP="002B34F8" w:rsidRDefault="004E2DCE">
            <w:pPr>
              <w:pStyle w:val="bodytableLtable"/>
              <w:spacing w:after="0" w:line="240" w:lineRule="auto"/>
            </w:pPr>
            <w:r w:rsidRPr="002B34F8">
              <w:rPr>
                <w:rStyle w:val="medium"/>
                <w:b/>
                <w:bCs/>
              </w:rPr>
              <w:t>Long service leave</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Unconditional and expected to settle within 12 months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9,938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8,675 </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Unconditional and expected to settle after 12 months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83,970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72,394 </w:t>
            </w:r>
          </w:p>
        </w:tc>
      </w:tr>
      <w:tr w:rsidR="00F423CA" w:rsidTr="00925BBD">
        <w:trPr>
          <w:trHeight w:val="60"/>
        </w:trPr>
        <w:tc>
          <w:tcPr>
            <w:tcW w:w="9057" w:type="dxa"/>
            <w:gridSpan w:val="4"/>
            <w:tcMar>
              <w:top w:w="28" w:type="dxa"/>
              <w:left w:w="57" w:type="dxa"/>
              <w:bottom w:w="28" w:type="dxa"/>
              <w:right w:w="57" w:type="dxa"/>
            </w:tcMar>
          </w:tcPr>
          <w:p w:rsidRPr="002B34F8" w:rsidR="00F423CA" w:rsidP="002B34F8" w:rsidRDefault="004E2DCE">
            <w:pPr>
              <w:pStyle w:val="bodytableLtable"/>
              <w:spacing w:after="0" w:line="240" w:lineRule="auto"/>
            </w:pPr>
            <w:r w:rsidRPr="002B34F8">
              <w:rPr>
                <w:rStyle w:val="medium"/>
                <w:b/>
                <w:bCs/>
              </w:rPr>
              <w:t>On-costs</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Unconditional and expected to settle within 12 months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17,977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14,961 </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Unconditional and expected to settle after 12 months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18,130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15,364 </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bodytableLtable"/>
              <w:spacing w:after="0" w:line="240" w:lineRule="auto"/>
            </w:pPr>
            <w:r w:rsidRPr="002B34F8">
              <w:rPr>
                <w:rStyle w:val="medium"/>
                <w:b/>
                <w:bCs/>
              </w:rPr>
              <w:t>Total current provisions for employee benefits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rPr>
                <w:rStyle w:val="medium"/>
                <w:b/>
                <w:bCs/>
              </w:rPr>
              <w:t xml:space="preserve">201,942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rPr>
                <w:rStyle w:val="medium"/>
                <w:b/>
                <w:bCs/>
              </w:rPr>
              <w:t xml:space="preserve">172,392 </w:t>
            </w:r>
          </w:p>
        </w:tc>
      </w:tr>
      <w:tr w:rsidR="00F423CA" w:rsidTr="00925BBD">
        <w:trPr>
          <w:trHeight w:val="60"/>
        </w:trPr>
        <w:tc>
          <w:tcPr>
            <w:tcW w:w="9057" w:type="dxa"/>
            <w:gridSpan w:val="4"/>
            <w:tcMar>
              <w:top w:w="28" w:type="dxa"/>
              <w:left w:w="57" w:type="dxa"/>
              <w:bottom w:w="28" w:type="dxa"/>
              <w:right w:w="57" w:type="dxa"/>
            </w:tcMar>
          </w:tcPr>
          <w:p w:rsidRPr="002B34F8" w:rsidR="00F423CA" w:rsidP="002B34F8" w:rsidRDefault="004E2DCE">
            <w:pPr>
              <w:pStyle w:val="bodytableLtable"/>
              <w:spacing w:after="0" w:line="240" w:lineRule="auto"/>
            </w:pPr>
            <w:r w:rsidRPr="002B34F8">
              <w:rPr>
                <w:rStyle w:val="medium"/>
                <w:b/>
                <w:bCs/>
              </w:rPr>
              <w:t>Non-current provisions</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Employee benefits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22,705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25,188 </w:t>
            </w:r>
          </w:p>
        </w:tc>
      </w:tr>
      <w:tr w:rsidR="00F423CA" w:rsidTr="00925BBD">
        <w:trPr>
          <w:trHeight w:val="60"/>
        </w:trPr>
        <w:tc>
          <w:tcPr>
            <w:tcW w:w="6222" w:type="dxa"/>
            <w:gridSpan w:val="2"/>
            <w:tcMar>
              <w:top w:w="28" w:type="dxa"/>
              <w:left w:w="57" w:type="dxa"/>
              <w:bottom w:w="28" w:type="dxa"/>
              <w:right w:w="57" w:type="dxa"/>
            </w:tcMar>
          </w:tcPr>
          <w:p w:rsidRPr="002B34F8" w:rsidR="00F423CA" w:rsidP="002B34F8" w:rsidRDefault="004E2DCE">
            <w:pPr>
              <w:pStyle w:val="tablebullets"/>
            </w:pPr>
            <w:r w:rsidRPr="002B34F8">
              <w:t>Employee on-costs</w:t>
            </w:r>
          </w:p>
        </w:tc>
        <w:tc>
          <w:tcPr>
            <w:tcW w:w="1417"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4,116 </w:t>
            </w:r>
          </w:p>
        </w:tc>
        <w:tc>
          <w:tcPr>
            <w:tcW w:w="1418" w:type="dxa"/>
            <w:tcMar>
              <w:top w:w="28" w:type="dxa"/>
              <w:left w:w="57" w:type="dxa"/>
              <w:bottom w:w="28" w:type="dxa"/>
              <w:right w:w="57" w:type="dxa"/>
            </w:tcMar>
          </w:tcPr>
          <w:p w:rsidRPr="002B34F8" w:rsidR="00F423CA" w:rsidP="002B34F8" w:rsidRDefault="004E2DCE">
            <w:pPr>
              <w:pStyle w:val="bodytableRtable"/>
              <w:spacing w:after="0" w:line="240" w:lineRule="auto"/>
            </w:pPr>
            <w:r w:rsidRPr="002B34F8">
              <w:t xml:space="preserve">4,757 </w:t>
            </w:r>
          </w:p>
        </w:tc>
      </w:tr>
      <w:tr w:rsidR="00F423CA" w:rsidTr="002B34F8">
        <w:trPr>
          <w:trHeight w:val="60"/>
        </w:trPr>
        <w:tc>
          <w:tcPr>
            <w:tcW w:w="6222" w:type="dxa"/>
            <w:gridSpan w:val="2"/>
            <w:tcBorders>
              <w:bottom w:val="single" w:color="532F8E" w:sz="4" w:space="0"/>
            </w:tcBorders>
            <w:tcMar>
              <w:top w:w="57" w:type="dxa"/>
              <w:left w:w="57" w:type="dxa"/>
              <w:bottom w:w="57" w:type="dxa"/>
              <w:right w:w="57" w:type="dxa"/>
            </w:tcMar>
          </w:tcPr>
          <w:p w:rsidRPr="002B34F8" w:rsidR="00F423CA" w:rsidP="002B34F8" w:rsidRDefault="004E2DCE">
            <w:pPr>
              <w:pStyle w:val="bodytableLtable"/>
              <w:spacing w:after="0" w:line="240" w:lineRule="auto"/>
            </w:pPr>
            <w:r w:rsidRPr="002B34F8">
              <w:rPr>
                <w:rStyle w:val="medium"/>
                <w:b/>
                <w:bCs/>
              </w:rPr>
              <w:t>Total non-current provisions for employee benefits</w:t>
            </w:r>
          </w:p>
        </w:tc>
        <w:tc>
          <w:tcPr>
            <w:tcW w:w="1417" w:type="dxa"/>
            <w:tcBorders>
              <w:bottom w:val="single" w:color="532F8E" w:sz="4" w:space="0"/>
            </w:tcBorders>
            <w:tcMar>
              <w:top w:w="57" w:type="dxa"/>
              <w:left w:w="57" w:type="dxa"/>
              <w:bottom w:w="57" w:type="dxa"/>
              <w:right w:w="57" w:type="dxa"/>
            </w:tcMar>
          </w:tcPr>
          <w:p w:rsidRPr="002B34F8" w:rsidR="00F423CA" w:rsidP="002B34F8" w:rsidRDefault="004E2DCE">
            <w:pPr>
              <w:pStyle w:val="bodytableRtable"/>
              <w:spacing w:after="0" w:line="240" w:lineRule="auto"/>
            </w:pPr>
            <w:r w:rsidRPr="002B34F8">
              <w:rPr>
                <w:rStyle w:val="medium"/>
                <w:b/>
                <w:bCs/>
              </w:rPr>
              <w:t xml:space="preserve">26,821 </w:t>
            </w:r>
          </w:p>
        </w:tc>
        <w:tc>
          <w:tcPr>
            <w:tcW w:w="1418" w:type="dxa"/>
            <w:tcBorders>
              <w:bottom w:val="single" w:color="532F8E" w:sz="4" w:space="0"/>
            </w:tcBorders>
            <w:tcMar>
              <w:top w:w="57" w:type="dxa"/>
              <w:left w:w="57" w:type="dxa"/>
              <w:bottom w:w="57" w:type="dxa"/>
              <w:right w:w="57" w:type="dxa"/>
            </w:tcMar>
          </w:tcPr>
          <w:p w:rsidRPr="002B34F8" w:rsidR="00F423CA" w:rsidP="002B34F8" w:rsidRDefault="004E2DCE">
            <w:pPr>
              <w:pStyle w:val="bodytableRtable"/>
              <w:spacing w:after="0" w:line="240" w:lineRule="auto"/>
            </w:pPr>
            <w:r w:rsidRPr="002B34F8">
              <w:rPr>
                <w:rStyle w:val="medium"/>
                <w:b/>
                <w:bCs/>
              </w:rPr>
              <w:t xml:space="preserve">29,945 </w:t>
            </w:r>
          </w:p>
        </w:tc>
      </w:tr>
      <w:tr w:rsidR="00F423CA" w:rsidTr="002B34F8">
        <w:trPr>
          <w:trHeight w:val="60"/>
        </w:trPr>
        <w:tc>
          <w:tcPr>
            <w:tcW w:w="6222" w:type="dxa"/>
            <w:gridSpan w:val="2"/>
            <w:tcBorders>
              <w:top w:val="single" w:color="532F8E" w:sz="4" w:space="0"/>
              <w:bottom w:val="single" w:color="532F8E" w:sz="4" w:space="0"/>
            </w:tcBorders>
            <w:tcMar>
              <w:top w:w="57" w:type="dxa"/>
              <w:left w:w="57" w:type="dxa"/>
              <w:bottom w:w="57" w:type="dxa"/>
              <w:right w:w="57" w:type="dxa"/>
            </w:tcMar>
          </w:tcPr>
          <w:p w:rsidRPr="002B34F8" w:rsidR="00F423CA" w:rsidP="002B34F8" w:rsidRDefault="004E2DCE">
            <w:pPr>
              <w:pStyle w:val="bodytableLtable"/>
              <w:spacing w:after="0" w:line="240" w:lineRule="auto"/>
            </w:pPr>
            <w:r w:rsidRPr="002B34F8">
              <w:rPr>
                <w:rStyle w:val="medium"/>
                <w:b/>
                <w:bCs/>
              </w:rPr>
              <w:t>Total provisions for employee benefits</w:t>
            </w:r>
          </w:p>
        </w:tc>
        <w:tc>
          <w:tcPr>
            <w:tcW w:w="1417" w:type="dxa"/>
            <w:tcBorders>
              <w:top w:val="single" w:color="532F8E" w:sz="4" w:space="0"/>
              <w:bottom w:val="single" w:color="532F8E" w:sz="4" w:space="0"/>
            </w:tcBorders>
            <w:tcMar>
              <w:top w:w="57" w:type="dxa"/>
              <w:left w:w="57" w:type="dxa"/>
              <w:bottom w:w="57" w:type="dxa"/>
              <w:right w:w="57" w:type="dxa"/>
            </w:tcMar>
          </w:tcPr>
          <w:p w:rsidRPr="002B34F8" w:rsidR="00F423CA" w:rsidP="002B34F8" w:rsidRDefault="004E2DCE">
            <w:pPr>
              <w:pStyle w:val="bodytableRtable"/>
              <w:spacing w:after="0" w:line="240" w:lineRule="auto"/>
            </w:pPr>
            <w:r w:rsidRPr="002B34F8">
              <w:rPr>
                <w:rStyle w:val="medium"/>
                <w:b/>
                <w:bCs/>
              </w:rPr>
              <w:t xml:space="preserve">228,763 </w:t>
            </w:r>
          </w:p>
        </w:tc>
        <w:tc>
          <w:tcPr>
            <w:tcW w:w="1418" w:type="dxa"/>
            <w:tcBorders>
              <w:top w:val="single" w:color="532F8E" w:sz="4" w:space="0"/>
              <w:bottom w:val="single" w:color="532F8E" w:sz="4" w:space="0"/>
            </w:tcBorders>
            <w:tcMar>
              <w:top w:w="57" w:type="dxa"/>
              <w:left w:w="57" w:type="dxa"/>
              <w:bottom w:w="57" w:type="dxa"/>
              <w:right w:w="57" w:type="dxa"/>
            </w:tcMar>
          </w:tcPr>
          <w:p w:rsidRPr="002B34F8" w:rsidR="00F423CA" w:rsidP="002B34F8" w:rsidRDefault="004E2DCE">
            <w:pPr>
              <w:pStyle w:val="bodytableRtable"/>
              <w:spacing w:after="0" w:line="240" w:lineRule="auto"/>
            </w:pPr>
            <w:r w:rsidRPr="002B34F8">
              <w:rPr>
                <w:rStyle w:val="medium"/>
                <w:b/>
                <w:bCs/>
              </w:rPr>
              <w:t xml:space="preserve">202,337 </w:t>
            </w:r>
          </w:p>
        </w:tc>
      </w:tr>
    </w:tbl>
    <w:p w:rsidR="00F423CA" w:rsidRDefault="00F423CA">
      <w:pPr>
        <w:pStyle w:val="Bodycopy"/>
      </w:pPr>
    </w:p>
    <w:p w:rsidR="00925BBD" w:rsidRDefault="00925BBD">
      <w:pPr>
        <w:rPr>
          <w:rFonts w:ascii="Arial" w:hAnsi="Arial" w:cs="Arial"/>
          <w:i/>
          <w:iCs/>
          <w:color w:val="542E8E"/>
          <w:sz w:val="20"/>
          <w:szCs w:val="20"/>
          <w:lang w:val="en-GB"/>
        </w:rPr>
      </w:pPr>
      <w:r>
        <w:br w:type="page"/>
      </w:r>
    </w:p>
    <w:p w:rsidR="00F423CA" w:rsidRDefault="004E2DCE">
      <w:pPr>
        <w:pStyle w:val="H4A"/>
      </w:pPr>
      <w:r>
        <w:lastRenderedPageBreak/>
        <w:t>Reconciliation of movement in employee on-cost provision</w:t>
      </w:r>
    </w:p>
    <w:tbl>
      <w:tblPr>
        <w:tblW w:w="0" w:type="auto"/>
        <w:tblInd w:w="57" w:type="dxa"/>
        <w:tblLayout w:type="fixed"/>
        <w:tblCellMar>
          <w:left w:w="0" w:type="dxa"/>
          <w:right w:w="0" w:type="dxa"/>
        </w:tblCellMar>
        <w:tblLook w:firstRow="0" w:lastRow="0" w:firstColumn="0" w:lastColumn="0" w:noHBand="0" w:noVBand="0" w:val="0000"/>
      </w:tblPr>
      <w:tblGrid>
        <w:gridCol w:w="485"/>
        <w:gridCol w:w="6035"/>
        <w:gridCol w:w="1134"/>
        <w:gridCol w:w="1417"/>
      </w:tblGrid>
      <w:tr w:rsidR="00F423CA" w:rsidTr="00925BBD">
        <w:trPr>
          <w:trHeight w:val="60"/>
          <w:tblHeader/>
        </w:trPr>
        <w:tc>
          <w:tcPr>
            <w:tcW w:w="485" w:type="dxa"/>
            <w:tcBorders>
              <w:top w:val="single" w:color="FFFFFF" w:themeColor="background1"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6035" w:type="dxa"/>
            <w:tcBorders>
              <w:top w:val="single" w:color="FFFFFF" w:themeColor="background1"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FFFFFF" w:themeColor="background1"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FFFFFF" w:themeColor="background1" w:sz="4" w:space="0"/>
              <w:bottom w:val="single" w:color="532F8E" w:sz="4" w:space="0"/>
              <w:right w:val="single" w:color="FFFFFF" w:themeColor="background1" w:sz="4" w:space="0"/>
            </w:tcBorders>
            <w:shd w:val="solid" w:color="FFFFFF" w:fill="auto"/>
            <w:tcMar>
              <w:top w:w="57" w:type="dxa"/>
              <w:left w:w="57" w:type="dxa"/>
              <w:bottom w:w="57" w:type="dxa"/>
              <w:right w:w="57" w:type="dxa"/>
            </w:tcMar>
          </w:tcPr>
          <w:p w:rsidR="00F423CA" w:rsidP="002B34F8" w:rsidRDefault="004E2DCE">
            <w:pPr>
              <w:pStyle w:val="bodytableLtable"/>
              <w:spacing w:after="0" w:line="240" w:lineRule="auto"/>
              <w:jc w:val="right"/>
            </w:pPr>
            <w:r>
              <w:rPr>
                <w:rStyle w:val="medium"/>
                <w:b/>
                <w:bCs/>
                <w:color w:val="542E8E"/>
              </w:rPr>
              <w:t>($ thousand)</w:t>
            </w:r>
          </w:p>
        </w:tc>
      </w:tr>
      <w:tr w:rsidR="00F423CA" w:rsidTr="00925BBD">
        <w:trPr>
          <w:trHeight w:val="60"/>
          <w:tblHeader/>
        </w:trPr>
        <w:tc>
          <w:tcPr>
            <w:tcW w:w="485"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6035" w:type="dxa"/>
            <w:tcBorders>
              <w:top w:val="single" w:color="532F8E" w:sz="4" w:space="0"/>
              <w:bottom w:val="single" w:color="532F8E" w:sz="4" w:space="0"/>
            </w:tcBorders>
            <w:shd w:val="solid" w:color="FFFFFF" w:fill="auto"/>
            <w:tcMar>
              <w:top w:w="57" w:type="dxa"/>
              <w:left w:w="57" w:type="dxa"/>
              <w:bottom w:w="57" w:type="dxa"/>
              <w:right w:w="57" w:type="dxa"/>
            </w:tcMar>
          </w:tcPr>
          <w:p w:rsidRPr="002B34F8" w:rsidR="00F423CA" w:rsidP="002B34F8"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532F8E" w:sz="4" w:space="0"/>
              <w:bottom w:val="single" w:color="532F8E" w:sz="4" w:space="0"/>
            </w:tcBorders>
            <w:shd w:val="solid" w:color="FFFFFF" w:fill="auto"/>
            <w:tcMar>
              <w:top w:w="57" w:type="dxa"/>
              <w:left w:w="57" w:type="dxa"/>
              <w:bottom w:w="57" w:type="dxa"/>
              <w:right w:w="57" w:type="dxa"/>
            </w:tcMar>
          </w:tcPr>
          <w:p w:rsidR="00F423CA" w:rsidP="002B34F8" w:rsidRDefault="004E2DCE">
            <w:pPr>
              <w:pStyle w:val="bodytableLtable"/>
              <w:spacing w:after="0" w:line="240" w:lineRule="auto"/>
              <w:jc w:val="right"/>
            </w:pPr>
            <w:r>
              <w:rPr>
                <w:rStyle w:val="medium"/>
                <w:b/>
                <w:bCs/>
                <w:color w:val="542E8E"/>
              </w:rPr>
              <w:t>2018</w:t>
            </w:r>
          </w:p>
        </w:tc>
        <w:tc>
          <w:tcPr>
            <w:tcW w:w="1417" w:type="dxa"/>
            <w:tcBorders>
              <w:top w:val="single" w:color="532F8E" w:sz="4" w:space="0"/>
              <w:bottom w:val="single" w:color="532F8E" w:sz="4" w:space="0"/>
              <w:right w:val="single" w:color="FFFFFF" w:themeColor="background1" w:sz="4" w:space="0"/>
            </w:tcBorders>
            <w:shd w:val="solid" w:color="FFFFFF" w:fill="auto"/>
            <w:tcMar>
              <w:top w:w="57" w:type="dxa"/>
              <w:left w:w="57" w:type="dxa"/>
              <w:bottom w:w="57" w:type="dxa"/>
              <w:right w:w="57" w:type="dxa"/>
            </w:tcMar>
          </w:tcPr>
          <w:p w:rsidR="00F423CA" w:rsidP="002B34F8" w:rsidRDefault="004E2DCE">
            <w:pPr>
              <w:pStyle w:val="bodytableLtable"/>
              <w:spacing w:after="0" w:line="240" w:lineRule="auto"/>
              <w:jc w:val="right"/>
            </w:pPr>
            <w:r>
              <w:rPr>
                <w:rStyle w:val="medium"/>
                <w:b/>
                <w:bCs/>
                <w:color w:val="542E8E"/>
              </w:rPr>
              <w:t>2017</w:t>
            </w:r>
          </w:p>
        </w:tc>
      </w:tr>
      <w:tr w:rsidR="00F423CA" w:rsidTr="00925BBD">
        <w:trPr>
          <w:trHeight w:val="60"/>
        </w:trPr>
        <w:tc>
          <w:tcPr>
            <w:tcW w:w="6520" w:type="dxa"/>
            <w:gridSpan w:val="2"/>
            <w:tcBorders>
              <w:top w:val="single" w:color="532F8E" w:sz="4" w:space="0"/>
            </w:tcBorders>
            <w:tcMar>
              <w:top w:w="57" w:type="dxa"/>
              <w:left w:w="57" w:type="dxa"/>
              <w:bottom w:w="57" w:type="dxa"/>
              <w:right w:w="57" w:type="dxa"/>
            </w:tcMar>
          </w:tcPr>
          <w:p w:rsidR="00F423CA" w:rsidP="002B34F8" w:rsidRDefault="004E2DCE">
            <w:pPr>
              <w:pStyle w:val="bodytableLtable"/>
              <w:spacing w:after="0" w:line="240" w:lineRule="auto"/>
            </w:pPr>
            <w:r>
              <w:rPr>
                <w:rStyle w:val="bold"/>
              </w:rPr>
              <w:t>Opening balance</w:t>
            </w:r>
          </w:p>
        </w:tc>
        <w:tc>
          <w:tcPr>
            <w:tcW w:w="1134" w:type="dxa"/>
            <w:tcBorders>
              <w:top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rPr>
                <w:rStyle w:val="bold"/>
              </w:rPr>
              <w:t xml:space="preserve">35,082 </w:t>
            </w:r>
          </w:p>
        </w:tc>
        <w:tc>
          <w:tcPr>
            <w:tcW w:w="1417" w:type="dxa"/>
            <w:tcBorders>
              <w:top w:val="single" w:color="532F8E" w:sz="4" w:space="0"/>
              <w:right w:val="single" w:color="FFFFFF" w:themeColor="background1" w:sz="4" w:space="0"/>
            </w:tcBorders>
            <w:tcMar>
              <w:top w:w="57" w:type="dxa"/>
              <w:left w:w="57" w:type="dxa"/>
              <w:bottom w:w="57" w:type="dxa"/>
              <w:right w:w="57" w:type="dxa"/>
            </w:tcMar>
          </w:tcPr>
          <w:p w:rsidR="00F423CA" w:rsidP="002B34F8" w:rsidRDefault="004E2DCE">
            <w:pPr>
              <w:pStyle w:val="bodytableRtable"/>
              <w:spacing w:after="0" w:line="240" w:lineRule="auto"/>
            </w:pPr>
            <w:r>
              <w:rPr>
                <w:rStyle w:val="bold"/>
              </w:rPr>
              <w:t xml:space="preserve">27,651 </w:t>
            </w:r>
          </w:p>
        </w:tc>
      </w:tr>
      <w:tr w:rsidR="00F423CA" w:rsidTr="00925BBD">
        <w:trPr>
          <w:trHeight w:val="60"/>
        </w:trPr>
        <w:tc>
          <w:tcPr>
            <w:tcW w:w="6520" w:type="dxa"/>
            <w:gridSpan w:val="2"/>
            <w:tcMar>
              <w:top w:w="28" w:type="dxa"/>
              <w:left w:w="57" w:type="dxa"/>
              <w:bottom w:w="28" w:type="dxa"/>
              <w:right w:w="57" w:type="dxa"/>
            </w:tcMar>
          </w:tcPr>
          <w:p w:rsidR="00F423CA" w:rsidP="002B34F8" w:rsidRDefault="004E2DCE">
            <w:pPr>
              <w:pStyle w:val="bodytableLtable"/>
              <w:spacing w:after="0" w:line="240" w:lineRule="auto"/>
            </w:pPr>
            <w:r>
              <w:t>Additional provisions recognised</w:t>
            </w:r>
          </w:p>
        </w:tc>
        <w:tc>
          <w:tcPr>
            <w:tcW w:w="1134" w:type="dxa"/>
            <w:tcMar>
              <w:top w:w="28" w:type="dxa"/>
              <w:left w:w="57" w:type="dxa"/>
              <w:bottom w:w="28" w:type="dxa"/>
              <w:right w:w="57" w:type="dxa"/>
            </w:tcMar>
          </w:tcPr>
          <w:p w:rsidR="00F423CA" w:rsidP="002B34F8" w:rsidRDefault="004E2DCE">
            <w:pPr>
              <w:pStyle w:val="bodytableRtable"/>
              <w:spacing w:after="0" w:line="240" w:lineRule="auto"/>
            </w:pPr>
            <w:r>
              <w:t xml:space="preserve">24,630 </w:t>
            </w:r>
          </w:p>
        </w:tc>
        <w:tc>
          <w:tcPr>
            <w:tcW w:w="1417" w:type="dxa"/>
            <w:tcBorders>
              <w:right w:val="single" w:color="FFFFFF" w:themeColor="background1" w:sz="4" w:space="0"/>
            </w:tcBorders>
            <w:tcMar>
              <w:top w:w="28" w:type="dxa"/>
              <w:left w:w="57" w:type="dxa"/>
              <w:bottom w:w="28" w:type="dxa"/>
              <w:right w:w="57" w:type="dxa"/>
            </w:tcMar>
          </w:tcPr>
          <w:p w:rsidR="00F423CA" w:rsidP="002B34F8" w:rsidRDefault="004E2DCE">
            <w:pPr>
              <w:pStyle w:val="bodytableRtable"/>
              <w:spacing w:after="0" w:line="240" w:lineRule="auto"/>
            </w:pPr>
            <w:r>
              <w:t xml:space="preserve">21,392 </w:t>
            </w:r>
          </w:p>
        </w:tc>
      </w:tr>
      <w:tr w:rsidR="00F423CA" w:rsidTr="00925BBD">
        <w:trPr>
          <w:trHeight w:val="60"/>
        </w:trPr>
        <w:tc>
          <w:tcPr>
            <w:tcW w:w="6520" w:type="dxa"/>
            <w:gridSpan w:val="2"/>
            <w:tcMar>
              <w:top w:w="28" w:type="dxa"/>
              <w:left w:w="57" w:type="dxa"/>
              <w:bottom w:w="28" w:type="dxa"/>
              <w:right w:w="57" w:type="dxa"/>
            </w:tcMar>
          </w:tcPr>
          <w:p w:rsidR="00F423CA" w:rsidP="002B34F8" w:rsidRDefault="004E2DCE">
            <w:pPr>
              <w:pStyle w:val="bodytableLtable"/>
              <w:spacing w:after="0" w:line="240" w:lineRule="auto"/>
            </w:pPr>
            <w:r>
              <w:t>Additions due to transfer in</w:t>
            </w:r>
          </w:p>
        </w:tc>
        <w:tc>
          <w:tcPr>
            <w:tcW w:w="1134" w:type="dxa"/>
            <w:tcMar>
              <w:top w:w="28" w:type="dxa"/>
              <w:left w:w="57" w:type="dxa"/>
              <w:bottom w:w="28" w:type="dxa"/>
              <w:right w:w="57" w:type="dxa"/>
            </w:tcMar>
          </w:tcPr>
          <w:p w:rsidR="00F423CA" w:rsidP="002B34F8" w:rsidRDefault="004E2DCE">
            <w:pPr>
              <w:pStyle w:val="bodytableRtable"/>
              <w:spacing w:after="0" w:line="240" w:lineRule="auto"/>
            </w:pPr>
            <w:r>
              <w:t xml:space="preserve">0 </w:t>
            </w:r>
          </w:p>
        </w:tc>
        <w:tc>
          <w:tcPr>
            <w:tcW w:w="1417" w:type="dxa"/>
            <w:tcBorders>
              <w:right w:val="single" w:color="FFFFFF" w:themeColor="background1" w:sz="4" w:space="0"/>
            </w:tcBorders>
            <w:tcMar>
              <w:top w:w="28" w:type="dxa"/>
              <w:left w:w="57" w:type="dxa"/>
              <w:bottom w:w="28" w:type="dxa"/>
              <w:right w:w="57" w:type="dxa"/>
            </w:tcMar>
          </w:tcPr>
          <w:p w:rsidR="00F423CA" w:rsidP="002B34F8" w:rsidRDefault="004E2DCE">
            <w:pPr>
              <w:pStyle w:val="bodytableRtable"/>
              <w:spacing w:after="0" w:line="240" w:lineRule="auto"/>
            </w:pPr>
            <w:r>
              <w:t xml:space="preserve">2,264 </w:t>
            </w:r>
          </w:p>
        </w:tc>
      </w:tr>
      <w:tr w:rsidR="00F423CA" w:rsidTr="002B34F8">
        <w:trPr>
          <w:trHeight w:val="60"/>
        </w:trPr>
        <w:tc>
          <w:tcPr>
            <w:tcW w:w="6520" w:type="dxa"/>
            <w:gridSpan w:val="2"/>
            <w:tcBorders>
              <w:bottom w:val="single" w:color="532F8E" w:sz="4" w:space="0"/>
            </w:tcBorders>
            <w:tcMar>
              <w:top w:w="57" w:type="dxa"/>
              <w:left w:w="57" w:type="dxa"/>
              <w:bottom w:w="57" w:type="dxa"/>
              <w:right w:w="57" w:type="dxa"/>
            </w:tcMar>
          </w:tcPr>
          <w:p w:rsidR="00F423CA" w:rsidP="002B34F8" w:rsidRDefault="004E2DCE">
            <w:pPr>
              <w:pStyle w:val="bodytableLtable"/>
              <w:spacing w:after="0" w:line="240" w:lineRule="auto"/>
            </w:pPr>
            <w:r>
              <w:t>Reductions arising from payments/other sacrifices of future economic benefits</w:t>
            </w:r>
          </w:p>
        </w:tc>
        <w:tc>
          <w:tcPr>
            <w:tcW w:w="1134" w:type="dxa"/>
            <w:tcBorders>
              <w:bottom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(19,489) </w:t>
            </w:r>
          </w:p>
        </w:tc>
        <w:tc>
          <w:tcPr>
            <w:tcW w:w="1417" w:type="dxa"/>
            <w:tcBorders>
              <w:bottom w:val="single" w:color="532F8E" w:sz="4" w:space="0"/>
              <w:right w:val="single" w:color="FFFFFF" w:themeColor="background1"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(16,225) </w:t>
            </w:r>
          </w:p>
        </w:tc>
      </w:tr>
      <w:tr w:rsidR="00F423CA" w:rsidTr="002B34F8">
        <w:trPr>
          <w:trHeight w:val="60"/>
        </w:trPr>
        <w:tc>
          <w:tcPr>
            <w:tcW w:w="6520" w:type="dxa"/>
            <w:gridSpan w:val="2"/>
            <w:tcBorders>
              <w:top w:val="single" w:color="532F8E" w:sz="4" w:space="0"/>
              <w:bottom w:val="single" w:color="532F8E" w:sz="4" w:space="0"/>
            </w:tcBorders>
            <w:tcMar>
              <w:top w:w="57" w:type="dxa"/>
              <w:left w:w="57" w:type="dxa"/>
              <w:bottom w:w="57" w:type="dxa"/>
              <w:right w:w="57" w:type="dxa"/>
            </w:tcMar>
          </w:tcPr>
          <w:p w:rsidR="00F423CA" w:rsidP="002B34F8" w:rsidRDefault="004E2DCE">
            <w:pPr>
              <w:pStyle w:val="bodytableLtable"/>
              <w:spacing w:after="0" w:line="240" w:lineRule="auto"/>
            </w:pPr>
            <w:r>
              <w:rPr>
                <w:rStyle w:val="medium"/>
                <w:b/>
                <w:bCs/>
              </w:rPr>
              <w:t>Closing balance</w:t>
            </w:r>
          </w:p>
        </w:tc>
        <w:tc>
          <w:tcPr>
            <w:tcW w:w="1134" w:type="dxa"/>
            <w:tcBorders>
              <w:top w:val="single" w:color="532F8E" w:sz="4" w:space="0"/>
              <w:bottom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rPr>
                <w:rStyle w:val="medium"/>
                <w:b/>
                <w:bCs/>
              </w:rPr>
              <w:t xml:space="preserve">40,223 </w:t>
            </w:r>
          </w:p>
        </w:tc>
        <w:tc>
          <w:tcPr>
            <w:tcW w:w="1417" w:type="dxa"/>
            <w:tcBorders>
              <w:top w:val="single" w:color="532F8E" w:sz="4" w:space="0"/>
              <w:bottom w:val="single" w:color="532F8E" w:sz="4" w:space="0"/>
              <w:right w:val="single" w:color="FFFFFF" w:themeColor="background1" w:sz="4" w:space="0"/>
            </w:tcBorders>
            <w:tcMar>
              <w:top w:w="57" w:type="dxa"/>
              <w:left w:w="57" w:type="dxa"/>
              <w:bottom w:w="57" w:type="dxa"/>
              <w:right w:w="57" w:type="dxa"/>
            </w:tcMar>
          </w:tcPr>
          <w:p w:rsidR="00F423CA" w:rsidP="002B34F8" w:rsidRDefault="004E2DCE">
            <w:pPr>
              <w:pStyle w:val="bodytableRtable"/>
              <w:spacing w:after="0" w:line="240" w:lineRule="auto"/>
            </w:pPr>
            <w:r>
              <w:rPr>
                <w:rStyle w:val="medium"/>
                <w:b/>
                <w:bCs/>
              </w:rPr>
              <w:t xml:space="preserve">35,082 </w:t>
            </w:r>
          </w:p>
        </w:tc>
      </w:tr>
      <w:tr w:rsidR="00F423CA" w:rsidTr="002B34F8">
        <w:trPr>
          <w:trHeight w:val="60"/>
        </w:trPr>
        <w:tc>
          <w:tcPr>
            <w:tcW w:w="6520" w:type="dxa"/>
            <w:gridSpan w:val="2"/>
            <w:tcBorders>
              <w:top w:val="single" w:color="532F8E" w:sz="4" w:space="0"/>
            </w:tcBorders>
            <w:tcMar>
              <w:top w:w="57" w:type="dxa"/>
              <w:left w:w="57" w:type="dxa"/>
              <w:bottom w:w="57" w:type="dxa"/>
              <w:right w:w="57" w:type="dxa"/>
            </w:tcMar>
          </w:tcPr>
          <w:p w:rsidR="00F423CA" w:rsidP="002B34F8" w:rsidRDefault="004E2DCE">
            <w:pPr>
              <w:pStyle w:val="bodytableLtable"/>
              <w:spacing w:after="0" w:line="240" w:lineRule="auto"/>
            </w:pPr>
            <w:r>
              <w:t>Current</w:t>
            </w:r>
          </w:p>
        </w:tc>
        <w:tc>
          <w:tcPr>
            <w:tcW w:w="1134" w:type="dxa"/>
            <w:tcBorders>
              <w:top w:val="single" w:color="532F8E"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36,107 </w:t>
            </w:r>
          </w:p>
        </w:tc>
        <w:tc>
          <w:tcPr>
            <w:tcW w:w="1417" w:type="dxa"/>
            <w:tcBorders>
              <w:top w:val="single" w:color="532F8E" w:sz="4" w:space="0"/>
              <w:right w:val="single" w:color="FFFFFF" w:themeColor="background1"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30,325 </w:t>
            </w:r>
          </w:p>
        </w:tc>
      </w:tr>
      <w:tr w:rsidR="00F423CA" w:rsidTr="002B34F8">
        <w:trPr>
          <w:trHeight w:val="60"/>
        </w:trPr>
        <w:tc>
          <w:tcPr>
            <w:tcW w:w="6520" w:type="dxa"/>
            <w:gridSpan w:val="2"/>
            <w:tcBorders>
              <w:bottom w:val="single" w:color="000000" w:sz="12" w:space="0"/>
            </w:tcBorders>
            <w:tcMar>
              <w:top w:w="57" w:type="dxa"/>
              <w:left w:w="57" w:type="dxa"/>
              <w:bottom w:w="57" w:type="dxa"/>
              <w:right w:w="57" w:type="dxa"/>
            </w:tcMar>
          </w:tcPr>
          <w:p w:rsidR="00F423CA" w:rsidP="002B34F8" w:rsidRDefault="004E2DCE">
            <w:pPr>
              <w:pStyle w:val="bodytableLtable"/>
              <w:spacing w:after="0" w:line="240" w:lineRule="auto"/>
            </w:pPr>
            <w:r>
              <w:t>Non-current</w:t>
            </w:r>
          </w:p>
        </w:tc>
        <w:tc>
          <w:tcPr>
            <w:tcW w:w="1134" w:type="dxa"/>
            <w:tcBorders>
              <w:bottom w:val="single" w:color="000000" w:sz="12" w:space="0"/>
            </w:tcBorders>
            <w:tcMar>
              <w:top w:w="57" w:type="dxa"/>
              <w:left w:w="57" w:type="dxa"/>
              <w:bottom w:w="57" w:type="dxa"/>
              <w:right w:w="57" w:type="dxa"/>
            </w:tcMar>
          </w:tcPr>
          <w:p w:rsidR="00F423CA" w:rsidP="002B34F8" w:rsidRDefault="004E2DCE">
            <w:pPr>
              <w:pStyle w:val="bodytableRtable"/>
              <w:spacing w:after="0" w:line="240" w:lineRule="auto"/>
            </w:pPr>
            <w:r>
              <w:t xml:space="preserve">4,116 </w:t>
            </w:r>
          </w:p>
        </w:tc>
        <w:tc>
          <w:tcPr>
            <w:tcW w:w="1417" w:type="dxa"/>
            <w:tcBorders>
              <w:bottom w:val="single" w:color="000000" w:sz="12" w:space="0"/>
              <w:right w:val="single" w:color="FFFFFF" w:themeColor="background1" w:sz="4" w:space="0"/>
            </w:tcBorders>
            <w:tcMar>
              <w:top w:w="57" w:type="dxa"/>
              <w:left w:w="57" w:type="dxa"/>
              <w:bottom w:w="57" w:type="dxa"/>
              <w:right w:w="57" w:type="dxa"/>
            </w:tcMar>
          </w:tcPr>
          <w:p w:rsidR="00F423CA" w:rsidP="002B34F8" w:rsidRDefault="004E2DCE">
            <w:pPr>
              <w:pStyle w:val="bodytableRtable"/>
              <w:spacing w:after="0" w:line="240" w:lineRule="auto"/>
            </w:pPr>
            <w:r>
              <w:t xml:space="preserve">4,757 </w:t>
            </w:r>
          </w:p>
        </w:tc>
      </w:tr>
    </w:tbl>
    <w:p w:rsidR="00F423CA" w:rsidRDefault="00F423CA">
      <w:pPr>
        <w:pStyle w:val="Bodycopy"/>
        <w:rPr>
          <w:sz w:val="20"/>
          <w:szCs w:val="20"/>
        </w:rPr>
      </w:pPr>
    </w:p>
    <w:p w:rsidR="00F423CA" w:rsidRDefault="004E2DCE">
      <w:pPr>
        <w:pStyle w:val="Bodycopy"/>
      </w:pPr>
      <w:r>
        <w:rPr>
          <w:rStyle w:val="medium"/>
          <w:b/>
          <w:bCs/>
        </w:rPr>
        <w:t>Liabilities for annual leave</w:t>
      </w:r>
      <w:r>
        <w:t xml:space="preserve"> are recognised in the provision for employee benefits as current liabilities.  Those liabilities that are expected to be settled within 12 months of the reporting period are measured at nominal values.  Those liabilities that are not expected to be settled within 12 months are also recognised in the provision for employee benefits as current </w:t>
      </w:r>
      <w:proofErr w:type="gramStart"/>
      <w:r>
        <w:t>liabilities, but</w:t>
      </w:r>
      <w:proofErr w:type="gramEnd"/>
      <w:r>
        <w:t xml:space="preserve"> are measured at present value of the amounts expected to be paid when the liabilities are settled using the remuneration rate expected to apply at the time of settlement.</w:t>
      </w:r>
    </w:p>
    <w:p w:rsidR="00F423CA" w:rsidRDefault="004E2DCE">
      <w:pPr>
        <w:pStyle w:val="Bodycopy"/>
      </w:pPr>
      <w:r>
        <w:rPr>
          <w:rStyle w:val="medium"/>
          <w:b/>
          <w:bCs/>
        </w:rPr>
        <w:t>Liabilities for long service leave</w:t>
      </w:r>
      <w:r>
        <w:t xml:space="preserve"> are recognised in the provision for employee benefits.</w:t>
      </w:r>
    </w:p>
    <w:p w:rsidR="00F423CA" w:rsidRDefault="004E2DCE">
      <w:pPr>
        <w:pStyle w:val="Bodycopy"/>
      </w:pPr>
      <w:r>
        <w:rPr>
          <w:rStyle w:val="medium"/>
          <w:b/>
          <w:bCs/>
        </w:rPr>
        <w:t>Unconditional long service leave</w:t>
      </w:r>
      <w:r>
        <w:t xml:space="preserve"> is disclosed as a current liability, even where the department does not expect to settle the liability within 12 months because it will not have the unconditional right to defer the settlement of the entitlement should an employee take leave within 12 months.</w:t>
      </w:r>
    </w:p>
    <w:p w:rsidR="00F423CA" w:rsidRDefault="004E2DCE">
      <w:pPr>
        <w:pStyle w:val="Bodycopy"/>
      </w:pPr>
      <w:r>
        <w:t>The components of this current long service leave liability are measured at:</w:t>
      </w:r>
    </w:p>
    <w:p w:rsidR="00F423CA" w:rsidRDefault="004E2DCE">
      <w:pPr>
        <w:pStyle w:val="BodycopyBullet"/>
      </w:pPr>
      <w:r>
        <w:t>undiscounted value if the department expects to wholly settle within 12 months; or</w:t>
      </w:r>
    </w:p>
    <w:p w:rsidR="00F423CA" w:rsidP="00925BBD" w:rsidRDefault="004E2DCE">
      <w:pPr>
        <w:pStyle w:val="BodycopyBulletspaceunder"/>
      </w:pPr>
      <w:r>
        <w:t>present value if the department does not expect to wholly settle within 12 months.</w:t>
      </w:r>
    </w:p>
    <w:p w:rsidR="00F423CA" w:rsidRDefault="004E2DCE">
      <w:pPr>
        <w:pStyle w:val="Bodycopy"/>
      </w:pPr>
      <w:r>
        <w:rPr>
          <w:rStyle w:val="medium"/>
          <w:b/>
          <w:bCs/>
        </w:rPr>
        <w:t>Conditional long service leave</w:t>
      </w:r>
      <w:r>
        <w:t xml:space="preserve"> is disclosed as a non-current liability.  There is an unconditional right to defer the settlement of the entitlement until the employee has completed the requisite years of service.  This non-current long service leave is measured at present value.</w:t>
      </w:r>
    </w:p>
    <w:p w:rsidR="00F423CA" w:rsidRDefault="004E2DCE">
      <w:pPr>
        <w:pStyle w:val="Bodycopy"/>
      </w:pPr>
      <w:r>
        <w:t>Any gain or loss following revaluation of the present value of non-current long service leave liability is recognised as a transaction, except to the extent that a gain or loss arises due to changes in interest rates for which it is then recognised as an ‘other economic flow’ (refer to note 9.3) in the net result.</w:t>
      </w:r>
    </w:p>
    <w:p w:rsidR="00F423CA" w:rsidRDefault="004E2DCE">
      <w:pPr>
        <w:pStyle w:val="Bodycopy"/>
      </w:pPr>
      <w:r>
        <w:rPr>
          <w:rStyle w:val="medium"/>
          <w:b/>
          <w:bCs/>
        </w:rPr>
        <w:t>Employee on-costs</w:t>
      </w:r>
      <w:r>
        <w:t xml:space="preserve"> such as payroll tax and workers compensation are not employee benefits.  They are disclosed separately as a component of the provision for employee benefits when the employment to which they relate has occurred.</w:t>
      </w:r>
    </w:p>
    <w:p w:rsidR="00F423CA" w:rsidRDefault="004E2DCE">
      <w:pPr>
        <w:pStyle w:val="Bodycopy"/>
      </w:pPr>
      <w:r>
        <w:rPr>
          <w:rStyle w:val="medium"/>
          <w:b/>
          <w:bCs/>
        </w:rPr>
        <w:t>No provision has been made for sick leave</w:t>
      </w:r>
      <w:r>
        <w:t xml:space="preserve"> as all sick leave is non-vesting and it is not considered probable that the average sick leave taken in the future will be greater than the benefits accrued in the future.  As sick leave is non-vesting, an expense is recognised in the comprehensive operating statement as it is taken.</w:t>
      </w:r>
    </w:p>
    <w:p w:rsidR="00F423CA" w:rsidRDefault="004E2DCE">
      <w:pPr>
        <w:pStyle w:val="Bodycopy"/>
      </w:pPr>
      <w:r>
        <w:rPr>
          <w:rStyle w:val="medium"/>
          <w:b/>
          <w:bCs/>
        </w:rPr>
        <w:t>Liabilities for wages and salaries</w:t>
      </w:r>
      <w:r>
        <w:t xml:space="preserve"> are in payables (note 6.3).</w:t>
      </w:r>
    </w:p>
    <w:p w:rsidR="00F423CA" w:rsidRDefault="004E2DCE">
      <w:pPr>
        <w:pStyle w:val="H4"/>
      </w:pPr>
      <w:r>
        <w:t>3.2.3 Superannuation contributions</w:t>
      </w:r>
    </w:p>
    <w:p w:rsidR="00F423CA" w:rsidRDefault="004E2DCE">
      <w:pPr>
        <w:pStyle w:val="Bodycopy"/>
      </w:pPr>
      <w:r>
        <w:t>Employees of the department are entitled to receive superannuation benefits and the department contributes to both defined benefit and defined contribution plans.  The defined benefit plans provide benefits based on years of service and final average salary.</w:t>
      </w:r>
    </w:p>
    <w:p w:rsidR="00F423CA" w:rsidRDefault="004E2DCE">
      <w:pPr>
        <w:pStyle w:val="Bodycopy"/>
      </w:pPr>
      <w:r>
        <w:t>As noted before, the defined benefit liability is recognised by the Department of Treasury and Finance as an administered liability.  However, superannuation contributions paid or payable for the reporting period are included as part of employee benefits expense in the comprehensive operating statement of the department.</w:t>
      </w:r>
    </w:p>
    <w:tbl>
      <w:tblPr>
        <w:tblW w:w="0" w:type="auto"/>
        <w:tblInd w:w="57" w:type="dxa"/>
        <w:tblLayout w:type="fixed"/>
        <w:tblCellMar>
          <w:left w:w="0" w:type="dxa"/>
          <w:right w:w="0" w:type="dxa"/>
        </w:tblCellMar>
        <w:tblLook w:firstRow="0" w:lastRow="0" w:firstColumn="0" w:lastColumn="0" w:noHBand="0" w:noVBand="0" w:val="0000"/>
      </w:tblPr>
      <w:tblGrid>
        <w:gridCol w:w="4082"/>
        <w:gridCol w:w="1247"/>
        <w:gridCol w:w="1247"/>
        <w:gridCol w:w="1248"/>
        <w:gridCol w:w="1247"/>
      </w:tblGrid>
      <w:tr w:rsidR="00F423CA" w:rsidTr="00925BBD">
        <w:trPr>
          <w:trHeight w:val="113"/>
          <w:tblHeader/>
        </w:trPr>
        <w:tc>
          <w:tcPr>
            <w:tcW w:w="408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24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24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24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24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00F423CA" w:rsidP="00925BBD" w:rsidRDefault="004E2DCE">
            <w:pPr>
              <w:pStyle w:val="bodytableLtable"/>
              <w:spacing w:after="0" w:line="240" w:lineRule="auto"/>
              <w:jc w:val="right"/>
            </w:pPr>
            <w:r>
              <w:rPr>
                <w:rStyle w:val="medium"/>
                <w:b/>
                <w:bCs/>
                <w:color w:val="542E8E"/>
              </w:rPr>
              <w:t>($ thousand)</w:t>
            </w:r>
          </w:p>
        </w:tc>
      </w:tr>
      <w:tr w:rsidR="00F423CA" w:rsidTr="00925BBD">
        <w:trPr>
          <w:trHeight w:val="113"/>
          <w:tblHeader/>
        </w:trPr>
        <w:tc>
          <w:tcPr>
            <w:tcW w:w="408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2494"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00F423CA" w:rsidP="00925BBD" w:rsidRDefault="004E2DCE">
            <w:pPr>
              <w:pStyle w:val="bodytableCtable"/>
              <w:spacing w:after="0" w:line="240" w:lineRule="auto"/>
              <w:jc w:val="right"/>
            </w:pPr>
            <w:r>
              <w:rPr>
                <w:rStyle w:val="medium"/>
                <w:b/>
                <w:bCs/>
                <w:color w:val="542E8E"/>
              </w:rPr>
              <w:t>Paid contribution</w:t>
            </w:r>
            <w:r>
              <w:rPr>
                <w:rStyle w:val="medium"/>
                <w:b/>
                <w:bCs/>
                <w:color w:val="542E8E"/>
              </w:rPr>
              <w:br/>
              <w:t>for year</w:t>
            </w:r>
          </w:p>
        </w:tc>
        <w:tc>
          <w:tcPr>
            <w:tcW w:w="2495"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00F423CA" w:rsidP="00925BBD" w:rsidRDefault="004E2DCE">
            <w:pPr>
              <w:pStyle w:val="bodytableCtable"/>
              <w:spacing w:after="0" w:line="240" w:lineRule="auto"/>
              <w:jc w:val="right"/>
            </w:pPr>
            <w:r>
              <w:rPr>
                <w:rStyle w:val="medium"/>
                <w:b/>
                <w:bCs/>
                <w:color w:val="542E8E"/>
              </w:rPr>
              <w:t>Contribution outstanding</w:t>
            </w:r>
            <w:r>
              <w:rPr>
                <w:rStyle w:val="medium"/>
                <w:b/>
                <w:bCs/>
                <w:color w:val="542E8E"/>
              </w:rPr>
              <w:br/>
              <w:t>at year end</w:t>
            </w:r>
          </w:p>
        </w:tc>
      </w:tr>
      <w:tr w:rsidR="00F423CA" w:rsidTr="00925BBD">
        <w:trPr>
          <w:trHeight w:val="113"/>
          <w:tblHeader/>
        </w:trPr>
        <w:tc>
          <w:tcPr>
            <w:tcW w:w="408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24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00F423CA" w:rsidP="00925BBD" w:rsidRDefault="004E2DCE">
            <w:pPr>
              <w:pStyle w:val="bodytableLtable"/>
              <w:spacing w:after="0" w:line="240" w:lineRule="auto"/>
              <w:jc w:val="right"/>
            </w:pPr>
            <w:r>
              <w:rPr>
                <w:rStyle w:val="medium"/>
                <w:b/>
                <w:bCs/>
                <w:color w:val="542E8E"/>
              </w:rPr>
              <w:t>2018</w:t>
            </w:r>
          </w:p>
        </w:tc>
        <w:tc>
          <w:tcPr>
            <w:tcW w:w="124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00F423CA" w:rsidP="00925BBD" w:rsidRDefault="004E2DCE">
            <w:pPr>
              <w:pStyle w:val="bodytableLtable"/>
              <w:spacing w:after="0" w:line="240" w:lineRule="auto"/>
              <w:jc w:val="right"/>
            </w:pPr>
            <w:r>
              <w:rPr>
                <w:rStyle w:val="medium"/>
                <w:b/>
                <w:bCs/>
                <w:color w:val="542E8E"/>
              </w:rPr>
              <w:t>2017</w:t>
            </w:r>
          </w:p>
        </w:tc>
        <w:tc>
          <w:tcPr>
            <w:tcW w:w="124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00F423CA" w:rsidP="00925BBD" w:rsidRDefault="004E2DCE">
            <w:pPr>
              <w:pStyle w:val="bodytableLtable"/>
              <w:spacing w:after="0" w:line="240" w:lineRule="auto"/>
              <w:jc w:val="right"/>
            </w:pPr>
            <w:r>
              <w:rPr>
                <w:rStyle w:val="medium"/>
                <w:b/>
                <w:bCs/>
                <w:color w:val="542E8E"/>
              </w:rPr>
              <w:t>2018</w:t>
            </w:r>
          </w:p>
        </w:tc>
        <w:tc>
          <w:tcPr>
            <w:tcW w:w="124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00F423CA" w:rsidP="00925BBD" w:rsidRDefault="004E2DCE">
            <w:pPr>
              <w:pStyle w:val="bodytableLtable"/>
              <w:spacing w:after="0" w:line="240" w:lineRule="auto"/>
              <w:jc w:val="right"/>
            </w:pPr>
            <w:r>
              <w:rPr>
                <w:rStyle w:val="medium"/>
                <w:b/>
                <w:bCs/>
                <w:color w:val="542E8E"/>
              </w:rPr>
              <w:t>2017</w:t>
            </w:r>
          </w:p>
        </w:tc>
      </w:tr>
      <w:tr w:rsidR="00F423CA" w:rsidTr="00925BBD">
        <w:trPr>
          <w:trHeight w:val="113"/>
        </w:trPr>
        <w:tc>
          <w:tcPr>
            <w:tcW w:w="9071" w:type="dxa"/>
            <w:gridSpan w:val="5"/>
            <w:tcBorders>
              <w:top w:val="single" w:color="000000" w:sz="8" w:space="0"/>
              <w:left w:val="nil"/>
              <w:bottom w:val="nil"/>
              <w:right w:val="nil"/>
            </w:tcBorders>
            <w:tcMar>
              <w:top w:w="57" w:type="dxa"/>
              <w:left w:w="57" w:type="dxa"/>
              <w:bottom w:w="57" w:type="dxa"/>
              <w:right w:w="57" w:type="dxa"/>
            </w:tcMar>
            <w:vAlign w:val="bottom"/>
          </w:tcPr>
          <w:p w:rsidR="00F423CA" w:rsidP="00925BBD" w:rsidRDefault="004E2DCE">
            <w:pPr>
              <w:pStyle w:val="bodytableLtable"/>
              <w:spacing w:after="0" w:line="240" w:lineRule="auto"/>
            </w:pPr>
            <w:r>
              <w:rPr>
                <w:rStyle w:val="medium"/>
                <w:b/>
                <w:bCs/>
              </w:rPr>
              <w:t>Defined benefit plans</w:t>
            </w:r>
          </w:p>
        </w:tc>
      </w:tr>
      <w:tr w:rsidR="00F423CA" w:rsidTr="00925BBD">
        <w:trPr>
          <w:trHeight w:val="113"/>
        </w:trPr>
        <w:tc>
          <w:tcPr>
            <w:tcW w:w="4082"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Ltable"/>
              <w:spacing w:after="0" w:line="240" w:lineRule="auto"/>
              <w:ind w:left="227" w:hanging="227"/>
            </w:pPr>
            <w:r>
              <w:t>Emergency Services and State Super</w:t>
            </w:r>
          </w:p>
        </w:tc>
        <w:tc>
          <w:tcPr>
            <w:tcW w:w="1247"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4,547 </w:t>
            </w:r>
          </w:p>
        </w:tc>
        <w:tc>
          <w:tcPr>
            <w:tcW w:w="1247"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4,408 </w:t>
            </w:r>
          </w:p>
        </w:tc>
        <w:tc>
          <w:tcPr>
            <w:tcW w:w="1248"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87 </w:t>
            </w:r>
          </w:p>
        </w:tc>
        <w:tc>
          <w:tcPr>
            <w:tcW w:w="1247"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78 </w:t>
            </w:r>
          </w:p>
        </w:tc>
      </w:tr>
      <w:tr w:rsidR="00F423CA" w:rsidTr="00925BBD">
        <w:trPr>
          <w:trHeight w:val="113"/>
        </w:trPr>
        <w:tc>
          <w:tcPr>
            <w:tcW w:w="9071" w:type="dxa"/>
            <w:gridSpan w:val="5"/>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Ltable"/>
              <w:spacing w:after="0" w:line="240" w:lineRule="auto"/>
            </w:pPr>
            <w:r>
              <w:rPr>
                <w:rStyle w:val="medium"/>
                <w:b/>
                <w:bCs/>
              </w:rPr>
              <w:t>Defined contribution plans</w:t>
            </w:r>
          </w:p>
        </w:tc>
      </w:tr>
      <w:tr w:rsidR="00F423CA" w:rsidTr="00925BBD">
        <w:trPr>
          <w:trHeight w:val="113"/>
        </w:trPr>
        <w:tc>
          <w:tcPr>
            <w:tcW w:w="4082"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Ltable"/>
              <w:spacing w:after="0" w:line="240" w:lineRule="auto"/>
              <w:ind w:left="227" w:hanging="227"/>
            </w:pPr>
            <w:proofErr w:type="spellStart"/>
            <w:r>
              <w:t>VicSuper</w:t>
            </w:r>
            <w:proofErr w:type="spellEnd"/>
          </w:p>
        </w:tc>
        <w:tc>
          <w:tcPr>
            <w:tcW w:w="1247"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47,324 </w:t>
            </w:r>
          </w:p>
        </w:tc>
        <w:tc>
          <w:tcPr>
            <w:tcW w:w="1247"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41,082 </w:t>
            </w:r>
          </w:p>
        </w:tc>
        <w:tc>
          <w:tcPr>
            <w:tcW w:w="1248"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954 </w:t>
            </w:r>
          </w:p>
        </w:tc>
        <w:tc>
          <w:tcPr>
            <w:tcW w:w="1247" w:type="dxa"/>
            <w:tcBorders>
              <w:top w:val="nil"/>
              <w:left w:val="nil"/>
              <w:bottom w:val="nil"/>
              <w:right w:val="nil"/>
            </w:tcBorders>
            <w:tcMar>
              <w:top w:w="28" w:type="dxa"/>
              <w:left w:w="57" w:type="dxa"/>
              <w:bottom w:w="28" w:type="dxa"/>
              <w:right w:w="57" w:type="dxa"/>
            </w:tcMar>
            <w:vAlign w:val="bottom"/>
          </w:tcPr>
          <w:p w:rsidR="00F423CA" w:rsidP="00925BBD" w:rsidRDefault="004E2DCE">
            <w:pPr>
              <w:pStyle w:val="bodytableRtable"/>
              <w:spacing w:after="0" w:line="240" w:lineRule="auto"/>
            </w:pPr>
            <w:r>
              <w:t xml:space="preserve">763 </w:t>
            </w:r>
          </w:p>
        </w:tc>
      </w:tr>
      <w:tr w:rsidR="00F423CA" w:rsidTr="00925BBD">
        <w:trPr>
          <w:trHeight w:val="113"/>
        </w:trPr>
        <w:tc>
          <w:tcPr>
            <w:tcW w:w="4082" w:type="dxa"/>
            <w:tcBorders>
              <w:top w:val="nil"/>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Ltable"/>
              <w:spacing w:after="0" w:line="240" w:lineRule="auto"/>
              <w:ind w:left="227" w:hanging="227"/>
            </w:pPr>
            <w:r>
              <w:t>Various other</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t xml:space="preserve">17,720 </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t xml:space="preserve">12,891 </w:t>
            </w:r>
          </w:p>
        </w:tc>
        <w:tc>
          <w:tcPr>
            <w:tcW w:w="1248" w:type="dxa"/>
            <w:tcBorders>
              <w:top w:val="nil"/>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t xml:space="preserve">388 </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t xml:space="preserve">268 </w:t>
            </w:r>
          </w:p>
        </w:tc>
      </w:tr>
      <w:tr w:rsidR="00F423CA" w:rsidTr="00925BBD">
        <w:trPr>
          <w:trHeight w:val="113"/>
        </w:trPr>
        <w:tc>
          <w:tcPr>
            <w:tcW w:w="4082"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Ltable"/>
              <w:spacing w:after="0" w:line="240" w:lineRule="auto"/>
            </w:pPr>
            <w:r>
              <w:rPr>
                <w:rStyle w:val="medium"/>
                <w:b/>
                <w:bCs/>
              </w:rPr>
              <w:t>Total</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rPr>
                <w:rStyle w:val="medium"/>
                <w:b/>
                <w:bCs/>
              </w:rPr>
              <w:t xml:space="preserve">69,591 </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rPr>
                <w:rStyle w:val="medium"/>
                <w:b/>
                <w:bCs/>
              </w:rPr>
              <w:t xml:space="preserve">58,381 </w:t>
            </w:r>
          </w:p>
        </w:tc>
        <w:tc>
          <w:tcPr>
            <w:tcW w:w="1248"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rPr>
                <w:rStyle w:val="medium"/>
                <w:b/>
                <w:bCs/>
              </w:rPr>
              <w:t xml:space="preserve">1,429 </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00F423CA" w:rsidP="00925BBD" w:rsidRDefault="004E2DCE">
            <w:pPr>
              <w:pStyle w:val="bodytableRtable"/>
              <w:spacing w:after="0" w:line="240" w:lineRule="auto"/>
            </w:pPr>
            <w:r>
              <w:rPr>
                <w:rStyle w:val="medium"/>
                <w:b/>
                <w:bCs/>
              </w:rPr>
              <w:t xml:space="preserve">1,109 </w:t>
            </w:r>
          </w:p>
        </w:tc>
      </w:tr>
    </w:tbl>
    <w:p w:rsidR="00925BBD" w:rsidRDefault="00925BBD">
      <w:pPr>
        <w:pStyle w:val="Bodycopy"/>
      </w:pPr>
    </w:p>
    <w:p w:rsidR="00F423CA" w:rsidRDefault="004E2DCE">
      <w:pPr>
        <w:pStyle w:val="Bodycopy"/>
      </w:pPr>
      <w:r>
        <w:t>The basis for contributions is determined by the various schemes.</w:t>
      </w:r>
    </w:p>
    <w:p w:rsidR="00F423CA" w:rsidRDefault="004E2DCE">
      <w:pPr>
        <w:pStyle w:val="H3"/>
      </w:pPr>
      <w:r>
        <w:lastRenderedPageBreak/>
        <w:t>3.3 Grant expense</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925BBD" w:rsidR="00F423CA" w:rsidTr="009D502C">
        <w:trPr>
          <w:trHeight w:val="113"/>
          <w:tblHeader/>
        </w:trPr>
        <w:tc>
          <w:tcPr>
            <w:tcW w:w="6236"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 thousand)</w:t>
            </w:r>
          </w:p>
        </w:tc>
      </w:tr>
      <w:tr w:rsidRPr="00925BBD" w:rsidR="00F423CA" w:rsidTr="00925BBD">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2017</w:t>
            </w:r>
          </w:p>
        </w:tc>
      </w:tr>
      <w:tr w:rsidRPr="00925BBD" w:rsidR="00F423CA" w:rsidTr="00925BBD">
        <w:trPr>
          <w:trHeight w:val="113"/>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pPr>
            <w:r w:rsidRPr="00925BBD">
              <w:t>Payments to:</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Victoria Police</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3,051,625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2,766,807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Country Fire Authority</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593,192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557,845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Metropolitan Fire and Emergency Services Board</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380,932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362,471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Victoria Legal Aid</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171,387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151,912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Office of Public Prosecutions</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70,816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65,984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Victoria State Emergency Service Authority</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57,765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57,237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Court Services Victoria</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23,406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21,000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Victorian Commission for Gambling and Liquor Regulation</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37,893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36,494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Victorian Institute of Forensic Medicine</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36,771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34,918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Emergency Services Telecommunications Authority</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45,324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49,692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Victorian Equal Opportunity and Human Rights Commission</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9,428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9,201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Sentencing Advisory Council</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2,018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1,854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ind w:left="227" w:hanging="227"/>
            </w:pPr>
            <w:r w:rsidRPr="00925BBD">
              <w:t>Victorian Responsible Gambling Foundation</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2,417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2,058 </w:t>
            </w:r>
          </w:p>
        </w:tc>
      </w:tr>
      <w:tr w:rsidRPr="00925BBD" w:rsidR="00F423CA" w:rsidTr="00925BBD">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ind w:left="227" w:hanging="227"/>
            </w:pPr>
            <w:r w:rsidRPr="00925BBD">
              <w:t>Other parties</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t xml:space="preserve">151,143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t xml:space="preserve">126,336 </w:t>
            </w:r>
          </w:p>
        </w:tc>
      </w:tr>
      <w:tr w:rsidRPr="00925BBD" w:rsidR="00F423CA" w:rsidTr="00925BBD">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pPr>
            <w:r w:rsidRPr="00925BBD">
              <w:rPr>
                <w:rStyle w:val="medium"/>
                <w:b/>
                <w:bCs/>
              </w:rPr>
              <w:t>Total grant expenses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rPr>
                <w:rStyle w:val="medium"/>
                <w:b/>
                <w:bCs/>
              </w:rPr>
              <w:t xml:space="preserve">4,634,117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rPr>
                <w:rStyle w:val="medium"/>
                <w:b/>
                <w:bCs/>
              </w:rPr>
              <w:t xml:space="preserve">4,243,809 </w:t>
            </w:r>
          </w:p>
        </w:tc>
      </w:tr>
    </w:tbl>
    <w:p w:rsidRPr="00925BBD" w:rsidR="00F423CA" w:rsidP="00925BBD" w:rsidRDefault="00F423CA">
      <w:pPr>
        <w:pStyle w:val="Bodycopy"/>
      </w:pPr>
    </w:p>
    <w:p w:rsidR="00F423CA" w:rsidRDefault="004E2DCE">
      <w:pPr>
        <w:pStyle w:val="Bodycopy"/>
      </w:pPr>
      <w:r>
        <w:rPr>
          <w:rStyle w:val="medium"/>
          <w:b/>
          <w:bCs/>
        </w:rPr>
        <w:t>Grant expenses</w:t>
      </w:r>
      <w:r>
        <w:t xml:space="preserve"> are contributions of the department’s resources to another party for specific or general purposes where there is no expectation that the amount will be repaid in equal value (either by money, goods or services).  Grant expenses are recognised in the reporting period in which they are paid or payable. </w:t>
      </w:r>
    </w:p>
    <w:p w:rsidR="00F423CA" w:rsidRDefault="004E2DCE">
      <w:pPr>
        <w:pStyle w:val="H3"/>
      </w:pPr>
      <w:r>
        <w:t>3.4 Capital asset charge</w:t>
      </w:r>
    </w:p>
    <w:tbl>
      <w:tblPr>
        <w:tblW w:w="0" w:type="auto"/>
        <w:tblInd w:w="57" w:type="dxa"/>
        <w:tblLayout w:type="fixed"/>
        <w:tblCellMar>
          <w:left w:w="0" w:type="dxa"/>
          <w:right w:w="0" w:type="dxa"/>
        </w:tblCellMar>
        <w:tblLook w:firstRow="0" w:lastRow="0" w:firstColumn="0" w:lastColumn="0" w:noHBand="0" w:noVBand="0" w:val="0000"/>
      </w:tblPr>
      <w:tblGrid>
        <w:gridCol w:w="380"/>
        <w:gridCol w:w="5856"/>
        <w:gridCol w:w="1418"/>
        <w:gridCol w:w="1417"/>
      </w:tblGrid>
      <w:tr w:rsidRPr="00925BBD" w:rsidR="00F423CA" w:rsidTr="009D502C">
        <w:trPr>
          <w:trHeight w:val="113"/>
          <w:tblHeader/>
        </w:trPr>
        <w:tc>
          <w:tcPr>
            <w:tcW w:w="380"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5856"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 thousand)</w:t>
            </w:r>
          </w:p>
        </w:tc>
      </w:tr>
      <w:tr w:rsidRPr="00925BBD" w:rsidR="00F423CA" w:rsidTr="00925BBD">
        <w:trPr>
          <w:trHeight w:val="113"/>
          <w:tblHeader/>
        </w:trPr>
        <w:tc>
          <w:tcPr>
            <w:tcW w:w="38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585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2017</w:t>
            </w:r>
          </w:p>
        </w:tc>
      </w:tr>
      <w:tr w:rsidRPr="00925BBD" w:rsidR="00F423CA" w:rsidTr="00925BBD">
        <w:trPr>
          <w:trHeight w:val="113"/>
        </w:trPr>
        <w:tc>
          <w:tcPr>
            <w:tcW w:w="6236" w:type="dxa"/>
            <w:gridSpan w:val="2"/>
            <w:tcBorders>
              <w:top w:val="single" w:color="000000" w:sz="8"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pPr>
            <w:r w:rsidRPr="00925BBD">
              <w:t>Capital asset charge</w:t>
            </w:r>
          </w:p>
        </w:tc>
        <w:tc>
          <w:tcPr>
            <w:tcW w:w="1418"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t xml:space="preserve">169,878 </w:t>
            </w:r>
          </w:p>
        </w:tc>
        <w:tc>
          <w:tcPr>
            <w:tcW w:w="1417"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t xml:space="preserve">151,608 </w:t>
            </w:r>
          </w:p>
        </w:tc>
      </w:tr>
    </w:tbl>
    <w:p w:rsidRPr="00925BBD" w:rsidR="00F423CA" w:rsidP="00925BBD" w:rsidRDefault="00F423CA">
      <w:pPr>
        <w:pStyle w:val="Bodycopy"/>
      </w:pPr>
    </w:p>
    <w:p w:rsidR="00F423CA" w:rsidRDefault="004E2DCE">
      <w:pPr>
        <w:pStyle w:val="Bodycopy"/>
      </w:pPr>
      <w:r w:rsidRPr="00925BBD">
        <w:rPr>
          <w:b/>
        </w:rPr>
        <w:t>A capital asset charge</w:t>
      </w:r>
      <w:r>
        <w:t xml:space="preserve"> is a charge levied on the written down value of controlled non-current physical assets in a department’s balance sheet.  It aims to attribute to the department outputs, a cost of capital used in service delivery.  Imposing this charge provides incentives for the department to identify and dispose of underutilised or surplus non-current physical assets.</w:t>
      </w:r>
    </w:p>
    <w:p w:rsidR="00F423CA" w:rsidRDefault="004E2DCE">
      <w:pPr>
        <w:pStyle w:val="H3"/>
      </w:pPr>
      <w:r>
        <w:t>3.5 Supplies and services</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925BBD" w:rsidR="00F423CA" w:rsidTr="009D502C">
        <w:trPr>
          <w:trHeight w:val="113"/>
          <w:tblHeader/>
        </w:trPr>
        <w:tc>
          <w:tcPr>
            <w:tcW w:w="6236"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FFFFFF" w:themeColor="background1" w:sz="4"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 thousand)</w:t>
            </w:r>
          </w:p>
        </w:tc>
      </w:tr>
      <w:tr w:rsidRPr="00925BBD" w:rsidR="00F423CA" w:rsidTr="00925BBD">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25BBD" w:rsidR="00F423CA" w:rsidP="00925BBD" w:rsidRDefault="004E2DCE">
            <w:pPr>
              <w:pStyle w:val="bodytableLtable"/>
              <w:spacing w:after="0" w:line="240" w:lineRule="auto"/>
              <w:jc w:val="right"/>
            </w:pPr>
            <w:r w:rsidRPr="00925BBD">
              <w:rPr>
                <w:rStyle w:val="medium"/>
                <w:b/>
                <w:bCs/>
                <w:color w:val="542E8E"/>
              </w:rPr>
              <w:t>2017</w:t>
            </w:r>
          </w:p>
        </w:tc>
      </w:tr>
      <w:tr w:rsidRPr="00925BBD" w:rsidR="00F423CA" w:rsidTr="00925BBD">
        <w:trPr>
          <w:trHeight w:val="113"/>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pPr>
            <w:r w:rsidRPr="00925BBD">
              <w:t>Outsourced contracts</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t xml:space="preserve">584,345 </w:t>
            </w: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t xml:space="preserve">454,686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pPr>
            <w:r w:rsidRPr="00925BBD">
              <w:t>Contractors, professional services and consultants</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116,832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115,892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pPr>
            <w:r w:rsidRPr="00925BBD">
              <w:t>Accommodation and property services</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73,579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59,347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pPr>
            <w:r w:rsidRPr="00925BBD">
              <w:t>Maintenance</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27,865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21,088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pPr>
            <w:r w:rsidRPr="00925BBD">
              <w:t>Technology services</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61,211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52,564 </w:t>
            </w:r>
          </w:p>
        </w:tc>
      </w:tr>
      <w:tr w:rsidRPr="00925BBD" w:rsidR="00F423CA" w:rsidTr="00925BBD">
        <w:trPr>
          <w:trHeight w:val="113"/>
        </w:trPr>
        <w:tc>
          <w:tcPr>
            <w:tcW w:w="6236"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Ltable"/>
              <w:spacing w:after="0" w:line="240" w:lineRule="auto"/>
            </w:pPr>
            <w:r w:rsidRPr="00925BBD">
              <w:t>Printing, stationery and other office expenses</w:t>
            </w:r>
          </w:p>
        </w:tc>
        <w:tc>
          <w:tcPr>
            <w:tcW w:w="1418"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30,939 </w:t>
            </w:r>
          </w:p>
        </w:tc>
        <w:tc>
          <w:tcPr>
            <w:tcW w:w="1417" w:type="dxa"/>
            <w:tcBorders>
              <w:top w:val="nil"/>
              <w:left w:val="nil"/>
              <w:bottom w:val="nil"/>
              <w:right w:val="nil"/>
            </w:tcBorders>
            <w:tcMar>
              <w:top w:w="28" w:type="dxa"/>
              <w:left w:w="57" w:type="dxa"/>
              <w:bottom w:w="28" w:type="dxa"/>
              <w:right w:w="57" w:type="dxa"/>
            </w:tcMar>
            <w:vAlign w:val="bottom"/>
          </w:tcPr>
          <w:p w:rsidRPr="00925BBD" w:rsidR="00F423CA" w:rsidP="00925BBD" w:rsidRDefault="004E2DCE">
            <w:pPr>
              <w:pStyle w:val="bodytableRtable"/>
              <w:spacing w:after="0" w:line="240" w:lineRule="auto"/>
            </w:pPr>
            <w:r w:rsidRPr="00925BBD">
              <w:t xml:space="preserve">31,195 </w:t>
            </w:r>
          </w:p>
        </w:tc>
      </w:tr>
      <w:tr w:rsidRPr="00925BBD" w:rsidR="00F423CA" w:rsidTr="00925BBD">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pPr>
            <w:r w:rsidRPr="00925BBD">
              <w:t>Other</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t xml:space="preserve">108,338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t xml:space="preserve">110,122 </w:t>
            </w:r>
          </w:p>
        </w:tc>
      </w:tr>
      <w:tr w:rsidRPr="00925BBD" w:rsidR="00F423CA" w:rsidTr="00925BBD">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Ltable"/>
              <w:spacing w:after="0" w:line="240" w:lineRule="auto"/>
            </w:pPr>
            <w:r w:rsidRPr="00925BBD">
              <w:rPr>
                <w:rStyle w:val="medium"/>
                <w:b/>
                <w:bCs/>
              </w:rPr>
              <w:t>Total supplies and services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rPr>
                <w:rStyle w:val="medium"/>
                <w:b/>
                <w:bCs/>
              </w:rPr>
              <w:t xml:space="preserve">1,003,109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25BBD" w:rsidR="00F423CA" w:rsidP="00925BBD" w:rsidRDefault="004E2DCE">
            <w:pPr>
              <w:pStyle w:val="bodytableRtable"/>
              <w:spacing w:after="0" w:line="240" w:lineRule="auto"/>
            </w:pPr>
            <w:r w:rsidRPr="00925BBD">
              <w:rPr>
                <w:rStyle w:val="medium"/>
                <w:b/>
                <w:bCs/>
              </w:rPr>
              <w:t xml:space="preserve">844,894 </w:t>
            </w:r>
          </w:p>
        </w:tc>
      </w:tr>
    </w:tbl>
    <w:p w:rsidRPr="00925BBD" w:rsidR="00F423CA" w:rsidP="00925BBD" w:rsidRDefault="00F423CA">
      <w:pPr>
        <w:pStyle w:val="Bodycopy"/>
      </w:pPr>
    </w:p>
    <w:p w:rsidR="00F423CA" w:rsidRDefault="004E2DCE">
      <w:pPr>
        <w:pStyle w:val="Bodycopy"/>
      </w:pPr>
      <w:r>
        <w:rPr>
          <w:rStyle w:val="medium"/>
          <w:b/>
          <w:bCs/>
        </w:rPr>
        <w:t>Supplies and services</w:t>
      </w:r>
      <w:r>
        <w:t xml:space="preserve"> generally represent the day-to-day running costs incurred in normal </w:t>
      </w:r>
      <w:proofErr w:type="gramStart"/>
      <w:r>
        <w:t>operations, and</w:t>
      </w:r>
      <w:proofErr w:type="gramEnd"/>
      <w:r>
        <w:t xml:space="preserve"> are recognised as an expense in the reporting period in which they are incurred.</w:t>
      </w:r>
    </w:p>
    <w:p w:rsidR="00F423CA" w:rsidRDefault="004E2DCE">
      <w:pPr>
        <w:pStyle w:val="Bodycopy"/>
      </w:pPr>
      <w:r>
        <w:rPr>
          <w:rStyle w:val="medium"/>
          <w:b/>
          <w:bCs/>
        </w:rPr>
        <w:t>Outsourced contracts</w:t>
      </w:r>
      <w:r>
        <w:t xml:space="preserve"> relate to expenses paid for outsourced functions of the department.  </w:t>
      </w:r>
    </w:p>
    <w:p w:rsidR="00F423CA" w:rsidRDefault="004E2DCE">
      <w:pPr>
        <w:pStyle w:val="Bodycopy"/>
      </w:pPr>
      <w:r>
        <w:rPr>
          <w:rStyle w:val="medium"/>
          <w:b/>
          <w:bCs/>
        </w:rPr>
        <w:t>Contractors, professional services and consultants</w:t>
      </w:r>
      <w:r>
        <w:t xml:space="preserve"> relate to the expenses paid for operational services, specialist professional services, expert analysis and strategic advice.</w:t>
      </w:r>
    </w:p>
    <w:p w:rsidR="00F423CA" w:rsidRDefault="004E2DCE">
      <w:pPr>
        <w:pStyle w:val="Bodycopy"/>
      </w:pPr>
      <w:r>
        <w:rPr>
          <w:rStyle w:val="medium"/>
          <w:b/>
          <w:bCs/>
        </w:rPr>
        <w:t>Accommodation and property services</w:t>
      </w:r>
      <w:r>
        <w:t xml:space="preserve"> relate to the expenses paid for accommodation leases, utilities, cleaning services, fire protection services, security services, storage costs and other services.</w:t>
      </w:r>
    </w:p>
    <w:p w:rsidR="00F423CA" w:rsidRDefault="004E2DCE">
      <w:pPr>
        <w:pStyle w:val="Bodycopy"/>
      </w:pPr>
      <w:r>
        <w:rPr>
          <w:rStyle w:val="medium"/>
          <w:b/>
          <w:bCs/>
        </w:rPr>
        <w:t>Maintenance</w:t>
      </w:r>
      <w:r>
        <w:t xml:space="preserve"> relate to the expenses paid for repairs and maintenance services.</w:t>
      </w:r>
    </w:p>
    <w:p w:rsidR="00F423CA" w:rsidRDefault="004E2DCE">
      <w:pPr>
        <w:pStyle w:val="Bodycopy"/>
      </w:pPr>
      <w:r>
        <w:rPr>
          <w:rStyle w:val="medium"/>
          <w:b/>
          <w:bCs/>
        </w:rPr>
        <w:t>Technology services</w:t>
      </w:r>
      <w:r>
        <w:t xml:space="preserve"> relate to the expenses paid for information and technology services.</w:t>
      </w:r>
    </w:p>
    <w:p w:rsidR="00F423CA" w:rsidRDefault="004E2DCE">
      <w:pPr>
        <w:pStyle w:val="Bodycopy"/>
      </w:pPr>
      <w:r>
        <w:rPr>
          <w:rStyle w:val="medium"/>
          <w:b/>
          <w:bCs/>
        </w:rPr>
        <w:t>Printing, stationery and other office expenses</w:t>
      </w:r>
      <w:r>
        <w:t xml:space="preserve"> relate to expenses paid for stationery, consumables, supplies, external </w:t>
      </w:r>
      <w:r>
        <w:lastRenderedPageBreak/>
        <w:t>printing, books, acts, regulations, statutory rulings, legal subscriptions, transcripts, newspapers, magazines, journals, media monitoring services, advertising, low value office equipment and other office expenses.</w:t>
      </w:r>
    </w:p>
    <w:p w:rsidR="00F423CA" w:rsidRDefault="00F423CA">
      <w:pPr>
        <w:pStyle w:val="Bodycopy"/>
      </w:pPr>
    </w:p>
    <w:p w:rsidR="00F423CA" w:rsidRDefault="004E2DCE">
      <w:pPr>
        <w:pStyle w:val="H2"/>
      </w:pPr>
      <w:bookmarkStart w:id="13" w:name="_Toc525290071"/>
      <w:r>
        <w:t>4. Disaggregated financial information by output</w:t>
      </w:r>
      <w:bookmarkEnd w:id="13"/>
    </w:p>
    <w:p w:rsidR="00F423CA" w:rsidRDefault="004E2DCE">
      <w:pPr>
        <w:pStyle w:val="H3"/>
      </w:pPr>
      <w:r>
        <w:t>4.1 Introduction</w:t>
      </w:r>
    </w:p>
    <w:p w:rsidR="00F423CA" w:rsidRDefault="004E2DCE">
      <w:pPr>
        <w:pStyle w:val="Bodycopy"/>
      </w:pPr>
      <w:r>
        <w:t>This section provides a description of the departmental outputs delivered during the year ended 30 June 2018 along with the objectives of those outputs.</w:t>
      </w:r>
    </w:p>
    <w:p w:rsidR="00F423CA" w:rsidRDefault="004E2DCE">
      <w:pPr>
        <w:pStyle w:val="Bodycopy"/>
      </w:pPr>
      <w:r>
        <w:t>This note disaggregates income that enables the delivery of services (described in note 2) by output and records the allocation of expenses incurred (described in note 3) also by output, which form part of controlled balances of the department.</w:t>
      </w:r>
    </w:p>
    <w:p w:rsidR="00F423CA" w:rsidRDefault="004E2DCE">
      <w:pPr>
        <w:pStyle w:val="Bodycopy"/>
      </w:pPr>
      <w:r>
        <w:t>It also provides information on items administered in connection with these outputs.</w:t>
      </w:r>
    </w:p>
    <w:p w:rsidR="00F423CA" w:rsidRDefault="004E2DCE">
      <w:pPr>
        <w:pStyle w:val="Bodycopy"/>
      </w:pPr>
      <w:r>
        <w:t>The distinction between controlled and administered items is drawn based on whether the department has the ability to deploy the resources in question for its own benefit (controlled items) or whether it does so on behalf of the State (administered).  The department remains accountable for transactions involving administered items, but it does not recognise these items in its financial statements.</w:t>
      </w:r>
    </w:p>
    <w:p w:rsidR="00F423CA" w:rsidRDefault="004E2DCE">
      <w:pPr>
        <w:pStyle w:val="H3"/>
      </w:pPr>
      <w:r>
        <w:t>4.2 Department outputs - descriptions and objectives</w:t>
      </w:r>
    </w:p>
    <w:p w:rsidR="00F423CA" w:rsidRDefault="004E2DCE">
      <w:pPr>
        <w:pStyle w:val="H4A"/>
      </w:pPr>
      <w:r>
        <w:t>Policing and crime prevention</w:t>
      </w:r>
    </w:p>
    <w:p w:rsidR="00F423CA" w:rsidRDefault="004E2DCE">
      <w:pPr>
        <w:pStyle w:val="Bodycopy"/>
      </w:pPr>
      <w:r>
        <w:rPr>
          <w:rStyle w:val="medium"/>
          <w:b/>
          <w:bCs/>
        </w:rPr>
        <w:t>Description of output:</w:t>
      </w:r>
      <w:r>
        <w:t xml:space="preserve"> This output group reports on activities relating to the provision of effective police and law enforcement services that aim to prevent, detect, investigate and prosecute crime, and promote safer road user behaviour.  It focuses on activities that enable Victorians to undertake their lawful pursuits confidently, safely and without fear of crime.</w:t>
      </w:r>
    </w:p>
    <w:p w:rsidR="00F423CA" w:rsidRDefault="004E2DCE">
      <w:pPr>
        <w:pStyle w:val="Bodycopy"/>
      </w:pPr>
      <w:r>
        <w:rPr>
          <w:rStyle w:val="medium"/>
          <w:b/>
          <w:bCs/>
        </w:rPr>
        <w:t xml:space="preserve">Objectives: </w:t>
      </w:r>
      <w:r>
        <w:t>This output group contributes to the department’s objective of ‘ensuring community safety through policing, law enforcement and prevention activities’.</w:t>
      </w:r>
    </w:p>
    <w:p w:rsidR="00F423CA" w:rsidRDefault="004E2DCE">
      <w:pPr>
        <w:pStyle w:val="H4A"/>
      </w:pPr>
      <w:r>
        <w:t>Enforcing and managing correctional orders</w:t>
      </w:r>
    </w:p>
    <w:p w:rsidR="00F423CA" w:rsidRDefault="004E2DCE">
      <w:pPr>
        <w:pStyle w:val="Bodycopy"/>
      </w:pPr>
      <w:r>
        <w:rPr>
          <w:rStyle w:val="medium"/>
          <w:b/>
          <w:bCs/>
        </w:rPr>
        <w:t>Description of output:</w:t>
      </w:r>
      <w:r>
        <w:t xml:space="preserve"> This output group relates to the management of the State’s adult correctional system.</w:t>
      </w:r>
    </w:p>
    <w:p w:rsidR="00F423CA" w:rsidRDefault="004E2DCE">
      <w:pPr>
        <w:pStyle w:val="Bodycopy"/>
      </w:pPr>
      <w:r>
        <w:rPr>
          <w:rStyle w:val="medium"/>
          <w:b/>
          <w:bCs/>
        </w:rPr>
        <w:t xml:space="preserve">Objectives: </w:t>
      </w:r>
      <w:r>
        <w:t>This output group contributes to the department’s objective of ‘effective management of prisoners and offenders and provision of opportunities for rehabilitation and reparation’.</w:t>
      </w:r>
    </w:p>
    <w:p w:rsidR="00F423CA" w:rsidRDefault="004E2DCE">
      <w:pPr>
        <w:pStyle w:val="H4A"/>
      </w:pPr>
      <w:r>
        <w:t>Youth justice</w:t>
      </w:r>
    </w:p>
    <w:p w:rsidR="00F423CA" w:rsidRDefault="004E2DCE">
      <w:pPr>
        <w:pStyle w:val="Bodycopy"/>
      </w:pPr>
      <w:r>
        <w:rPr>
          <w:rStyle w:val="medium"/>
          <w:b/>
          <w:bCs/>
        </w:rPr>
        <w:t xml:space="preserve">Description of output: </w:t>
      </w:r>
      <w:r>
        <w:t>This output group promotes opportunities for rehabilitation for young people in the youth justice system and contributes to the reduction of crime in the community by providing a range of services including diversion services, advice to courts, offence related programs, community-based and custodial supervision.</w:t>
      </w:r>
    </w:p>
    <w:p w:rsidR="00F423CA" w:rsidRDefault="004E2DCE">
      <w:pPr>
        <w:pStyle w:val="Bodycopy"/>
      </w:pPr>
      <w:r>
        <w:rPr>
          <w:rStyle w:val="medium"/>
          <w:b/>
          <w:bCs/>
        </w:rPr>
        <w:t>Objectives:</w:t>
      </w:r>
      <w:r>
        <w:t xml:space="preserve"> This output group contributes to the department’s objective of ‘effective supervision of young offenders through the provision of youth justice services promoting rehabilitation’.</w:t>
      </w:r>
    </w:p>
    <w:p w:rsidR="00F423CA" w:rsidRDefault="004E2DCE">
      <w:pPr>
        <w:pStyle w:val="H4A"/>
      </w:pPr>
      <w:r>
        <w:t>Criminal justice services</w:t>
      </w:r>
    </w:p>
    <w:p w:rsidR="00F423CA" w:rsidRDefault="004E2DCE">
      <w:pPr>
        <w:pStyle w:val="Bodycopy"/>
      </w:pPr>
      <w:r>
        <w:rPr>
          <w:rStyle w:val="medium"/>
          <w:b/>
          <w:bCs/>
        </w:rPr>
        <w:t xml:space="preserve">Description of output: </w:t>
      </w:r>
      <w:r>
        <w:t>This output group relates to the provision of criminal justice services that support legal processes and law reform.  Services that support legal processes include legal assistance and education services, prosecution services, community mediation services, support for victims of crime, risk assessments for those working with or caring for children, infringement processing and enforcement activities and the delivery of independent, expert forensic medical services to the justice system.  Other services in this output group include legal policy advice to government, law reform, and sentencing advisory services.</w:t>
      </w:r>
    </w:p>
    <w:p w:rsidR="00F423CA" w:rsidRDefault="004E2DCE">
      <w:pPr>
        <w:pStyle w:val="Bodycopy"/>
      </w:pPr>
      <w:r>
        <w:rPr>
          <w:rStyle w:val="medium"/>
          <w:b/>
          <w:bCs/>
        </w:rPr>
        <w:t>Objectives:</w:t>
      </w:r>
      <w:r>
        <w:t xml:space="preserve"> This output group contributes to the department’s objective of ‘a fair and accessible criminal justice system that supports a just society based on the rule of law’.</w:t>
      </w:r>
    </w:p>
    <w:p w:rsidR="00F423CA" w:rsidRDefault="004E2DCE">
      <w:pPr>
        <w:pStyle w:val="H4A"/>
      </w:pPr>
      <w:r>
        <w:t>Civil justice services</w:t>
      </w:r>
    </w:p>
    <w:p w:rsidR="00F423CA" w:rsidRDefault="004E2DCE">
      <w:pPr>
        <w:pStyle w:val="Bodycopy"/>
      </w:pPr>
      <w:r>
        <w:rPr>
          <w:rStyle w:val="medium"/>
          <w:b/>
          <w:bCs/>
        </w:rPr>
        <w:t>Description of output:</w:t>
      </w:r>
      <w:r>
        <w:t xml:space="preserve"> This output group supports the Victorian community through the provision of services relating to: rights and equal opportunity; life event registration and identity protection; and advocacy and guardianship for Victorians with a disability or mental illness.</w:t>
      </w:r>
    </w:p>
    <w:p w:rsidR="00F423CA" w:rsidRDefault="004E2DCE">
      <w:pPr>
        <w:pStyle w:val="Bodycopy"/>
      </w:pPr>
      <w:r>
        <w:rPr>
          <w:rStyle w:val="medium"/>
          <w:b/>
          <w:bCs/>
        </w:rPr>
        <w:t xml:space="preserve">Objectives: </w:t>
      </w:r>
      <w:r>
        <w:t>This output group contributes to the department’s objective of ‘a fair and accessible civil justice system that supports a just society with increased confidence and equality in the Victorian community.</w:t>
      </w:r>
    </w:p>
    <w:p w:rsidR="00F423CA" w:rsidRDefault="004E2DCE">
      <w:pPr>
        <w:pStyle w:val="H4A"/>
      </w:pPr>
      <w:r>
        <w:t>Emergency management</w:t>
      </w:r>
    </w:p>
    <w:p w:rsidR="00F423CA" w:rsidRDefault="004E2DCE">
      <w:pPr>
        <w:pStyle w:val="Bodycopy"/>
      </w:pPr>
      <w:r>
        <w:rPr>
          <w:rStyle w:val="medium"/>
          <w:b/>
          <w:bCs/>
        </w:rPr>
        <w:t>Description of output:</w:t>
      </w:r>
      <w:r>
        <w:t xml:space="preserve"> This output group supports the delivery of a coordinated, all communities - all emergencies approach to emergency management, focusing on risk mitigation and active partnership with the Victorian community.</w:t>
      </w:r>
    </w:p>
    <w:p w:rsidR="00F423CA" w:rsidRDefault="004E2DCE">
      <w:pPr>
        <w:pStyle w:val="Bodycopy"/>
      </w:pPr>
      <w:r>
        <w:rPr>
          <w:rStyle w:val="medium"/>
          <w:b/>
          <w:bCs/>
        </w:rPr>
        <w:t>Objectives:</w:t>
      </w:r>
      <w:r>
        <w:t xml:space="preserve"> This output group contributes to the department’s objective to ‘reduce the impact of, and consequences from, natural disasters and other emergencies on people, infrastructure, the economy and the environment’.</w:t>
      </w:r>
    </w:p>
    <w:p w:rsidR="00F423CA" w:rsidRDefault="004E2DCE">
      <w:pPr>
        <w:pStyle w:val="H4A"/>
      </w:pPr>
      <w:r>
        <w:t>Industry regulation and support</w:t>
      </w:r>
    </w:p>
    <w:p w:rsidR="00F423CA" w:rsidRDefault="004E2DCE">
      <w:pPr>
        <w:pStyle w:val="Bodycopy"/>
      </w:pPr>
      <w:r>
        <w:rPr>
          <w:rStyle w:val="medium"/>
          <w:b/>
          <w:bCs/>
        </w:rPr>
        <w:t>Description of output:</w:t>
      </w:r>
      <w:r>
        <w:t xml:space="preserve"> This output group relates to harm minimisation through the regulation of the gambling and liquor industries, as well as support and development of the racing sector.  This output group also promotes the empowerment of </w:t>
      </w:r>
      <w:r>
        <w:lastRenderedPageBreak/>
        <w:t>consumers and businesses to know their rights and responsibilities to promote a well-functioning market economy through regulation and support to consumers and businesses.  There is a specific focus on the needs of vulnerable and disadvantaged consumers.</w:t>
      </w:r>
    </w:p>
    <w:p w:rsidR="00F423CA" w:rsidRDefault="004E2DCE">
      <w:pPr>
        <w:pStyle w:val="Bodycopy"/>
      </w:pPr>
      <w:r>
        <w:rPr>
          <w:rStyle w:val="medium"/>
          <w:b/>
          <w:bCs/>
        </w:rPr>
        <w:t xml:space="preserve">Objectives: </w:t>
      </w:r>
      <w:r>
        <w:t>This output group contributes to the department’s objective of ‘a fair market place for Victorian consumers and businesses with responsible and sustainable liquor, gambling and racing sectors’.</w:t>
      </w:r>
    </w:p>
    <w:p w:rsidR="00F423CA" w:rsidRDefault="004E2DCE">
      <w:pPr>
        <w:pStyle w:val="H4A"/>
      </w:pPr>
      <w:r>
        <w:t>Departmental outputs - controlled</w:t>
      </w:r>
    </w:p>
    <w:tbl>
      <w:tblPr>
        <w:tblW w:w="0" w:type="auto"/>
        <w:tblInd w:w="28" w:type="dxa"/>
        <w:tblBorders>
          <w:top w:val="dotted" w:color="000000" w:sz="6" w:space="0"/>
          <w:left w:val="single" w:color="000000" w:sz="6" w:space="0"/>
          <w:bottom w:val="single" w:color="000000" w:sz="12" w:space="0"/>
          <w:right w:val="single" w:color="000000" w:sz="6" w:space="0"/>
          <w:insideH w:val="single" w:color="7030A0" w:sz="4" w:space="0"/>
        </w:tblBorders>
        <w:tblLayout w:type="fixed"/>
        <w:tblCellMar>
          <w:left w:w="0" w:type="dxa"/>
          <w:right w:w="0" w:type="dxa"/>
        </w:tblCellMar>
        <w:tblLook w:firstRow="0" w:lastRow="0" w:firstColumn="0" w:lastColumn="0" w:noHBand="0" w:noVBand="0" w:val="0000"/>
      </w:tblPr>
      <w:tblGrid>
        <w:gridCol w:w="113"/>
        <w:gridCol w:w="794"/>
        <w:gridCol w:w="624"/>
        <w:gridCol w:w="623"/>
        <w:gridCol w:w="624"/>
        <w:gridCol w:w="624"/>
        <w:gridCol w:w="567"/>
        <w:gridCol w:w="510"/>
        <w:gridCol w:w="567"/>
        <w:gridCol w:w="567"/>
        <w:gridCol w:w="567"/>
        <w:gridCol w:w="566"/>
        <w:gridCol w:w="624"/>
        <w:gridCol w:w="624"/>
        <w:gridCol w:w="567"/>
        <w:gridCol w:w="567"/>
        <w:gridCol w:w="623"/>
        <w:gridCol w:w="624"/>
      </w:tblGrid>
      <w:tr w:rsidR="00F423CA" w:rsidTr="008514DF">
        <w:trPr>
          <w:trHeight w:val="113"/>
          <w:tblHeader/>
        </w:trPr>
        <w:tc>
          <w:tcPr>
            <w:tcW w:w="10375" w:type="dxa"/>
            <w:gridSpan w:val="18"/>
            <w:tcBorders>
              <w:top w:val="dotted" w:color="FFFFFF" w:themeColor="background1" w:sz="6" w:space="0"/>
              <w:left w:val="dotted" w:color="FFFFFF" w:themeColor="background1" w:sz="6" w:space="0"/>
              <w:right w:val="dotted" w:color="FFFFFF" w:themeColor="background1" w:sz="6" w:space="0"/>
            </w:tcBorders>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 thousand)</w:t>
            </w:r>
          </w:p>
        </w:tc>
      </w:tr>
      <w:tr w:rsidR="00F423CA" w:rsidTr="008514DF">
        <w:trPr>
          <w:trHeight w:val="113"/>
          <w:tblHeader/>
        </w:trPr>
        <w:tc>
          <w:tcPr>
            <w:tcW w:w="113" w:type="dxa"/>
            <w:tcBorders>
              <w:left w:val="dotted" w:color="FFFFFF" w:themeColor="background1" w:sz="6" w:space="0"/>
            </w:tcBorders>
            <w:shd w:val="solid" w:color="FFFFFF" w:fill="auto"/>
            <w:tcMar>
              <w:top w:w="28" w:type="dxa"/>
              <w:left w:w="28" w:type="dxa"/>
              <w:bottom w:w="28" w:type="dxa"/>
              <w:right w:w="28" w:type="dxa"/>
            </w:tcMar>
          </w:tcPr>
          <w:p w:rsidRPr="00CC37FD" w:rsidR="00F423CA" w:rsidP="00CC37FD" w:rsidRDefault="00F423CA">
            <w:pPr>
              <w:pStyle w:val="NoParagraphStyle"/>
              <w:spacing w:line="240" w:lineRule="auto"/>
              <w:textAlignment w:val="auto"/>
              <w:rPr>
                <w:rFonts w:ascii="Arial" w:hAnsi="Arial" w:cs="Arial"/>
                <w:color w:val="auto"/>
                <w:sz w:val="12"/>
                <w:szCs w:val="12"/>
              </w:rPr>
            </w:pPr>
          </w:p>
        </w:tc>
        <w:tc>
          <w:tcPr>
            <w:tcW w:w="794" w:type="dxa"/>
            <w:shd w:val="solid" w:color="FFFFFF" w:fill="auto"/>
            <w:tcMar>
              <w:top w:w="28" w:type="dxa"/>
              <w:left w:w="28" w:type="dxa"/>
              <w:bottom w:w="28" w:type="dxa"/>
              <w:right w:w="28" w:type="dxa"/>
            </w:tcMar>
          </w:tcPr>
          <w:p w:rsidRPr="00CC37FD" w:rsidR="00F423CA" w:rsidP="00CC37FD" w:rsidRDefault="00F423CA">
            <w:pPr>
              <w:pStyle w:val="NoParagraphStyle"/>
              <w:spacing w:line="240" w:lineRule="auto"/>
              <w:textAlignment w:val="auto"/>
              <w:rPr>
                <w:rFonts w:ascii="Arial" w:hAnsi="Arial" w:cs="Arial"/>
                <w:color w:val="auto"/>
                <w:sz w:val="12"/>
                <w:szCs w:val="12"/>
              </w:rPr>
            </w:pPr>
          </w:p>
        </w:tc>
        <w:tc>
          <w:tcPr>
            <w:tcW w:w="1247" w:type="dxa"/>
            <w:gridSpan w:val="2"/>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Policing and crime prevention</w:t>
            </w:r>
          </w:p>
        </w:tc>
        <w:tc>
          <w:tcPr>
            <w:tcW w:w="1248" w:type="dxa"/>
            <w:gridSpan w:val="2"/>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 xml:space="preserve">Enforcing and managing </w:t>
            </w:r>
            <w:r>
              <w:rPr>
                <w:rStyle w:val="medium"/>
                <w:b/>
                <w:bCs/>
                <w:color w:val="542E8E"/>
                <w:w w:val="90"/>
                <w:sz w:val="12"/>
                <w:szCs w:val="12"/>
              </w:rPr>
              <w:br/>
              <w:t>correctional orders</w:t>
            </w:r>
          </w:p>
        </w:tc>
        <w:tc>
          <w:tcPr>
            <w:tcW w:w="1077" w:type="dxa"/>
            <w:gridSpan w:val="2"/>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Youth justice</w:t>
            </w:r>
          </w:p>
        </w:tc>
        <w:tc>
          <w:tcPr>
            <w:tcW w:w="1134" w:type="dxa"/>
            <w:gridSpan w:val="2"/>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Criminal justice services</w:t>
            </w:r>
          </w:p>
        </w:tc>
        <w:tc>
          <w:tcPr>
            <w:tcW w:w="1133" w:type="dxa"/>
            <w:gridSpan w:val="2"/>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Civil justice services</w:t>
            </w:r>
          </w:p>
        </w:tc>
        <w:tc>
          <w:tcPr>
            <w:tcW w:w="1248" w:type="dxa"/>
            <w:gridSpan w:val="2"/>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Emergency management</w:t>
            </w:r>
          </w:p>
        </w:tc>
        <w:tc>
          <w:tcPr>
            <w:tcW w:w="1134" w:type="dxa"/>
            <w:gridSpan w:val="2"/>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Industry regulation</w:t>
            </w:r>
            <w:r>
              <w:rPr>
                <w:rStyle w:val="medium"/>
                <w:b/>
                <w:bCs/>
                <w:color w:val="542E8E"/>
                <w:w w:val="90"/>
                <w:sz w:val="12"/>
                <w:szCs w:val="12"/>
              </w:rPr>
              <w:br/>
              <w:t>and support</w:t>
            </w:r>
          </w:p>
        </w:tc>
        <w:tc>
          <w:tcPr>
            <w:tcW w:w="1247" w:type="dxa"/>
            <w:gridSpan w:val="2"/>
            <w:tcBorders>
              <w:right w:val="dotted" w:color="FFFFFF" w:themeColor="background1" w:sz="6" w:space="0"/>
            </w:tcBorders>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Departmental total</w:t>
            </w:r>
          </w:p>
        </w:tc>
      </w:tr>
      <w:tr w:rsidR="00F423CA" w:rsidTr="008514DF">
        <w:trPr>
          <w:trHeight w:val="113"/>
          <w:tblHeader/>
        </w:trPr>
        <w:tc>
          <w:tcPr>
            <w:tcW w:w="113" w:type="dxa"/>
            <w:tcBorders>
              <w:left w:val="dotted" w:color="FFFFFF" w:themeColor="background1" w:sz="6" w:space="0"/>
            </w:tcBorders>
            <w:shd w:val="solid" w:color="FFFFFF" w:fill="auto"/>
            <w:tcMar>
              <w:top w:w="28" w:type="dxa"/>
              <w:left w:w="28" w:type="dxa"/>
              <w:bottom w:w="28" w:type="dxa"/>
              <w:right w:w="28" w:type="dxa"/>
            </w:tcMar>
          </w:tcPr>
          <w:p w:rsidRPr="00CC37FD" w:rsidR="00F423CA" w:rsidP="00CC37FD" w:rsidRDefault="00F423CA">
            <w:pPr>
              <w:pStyle w:val="NoParagraphStyle"/>
              <w:spacing w:line="240" w:lineRule="auto"/>
              <w:textAlignment w:val="auto"/>
              <w:rPr>
                <w:rFonts w:ascii="Arial" w:hAnsi="Arial" w:cs="Arial"/>
                <w:color w:val="auto"/>
                <w:sz w:val="12"/>
                <w:szCs w:val="12"/>
              </w:rPr>
            </w:pPr>
          </w:p>
        </w:tc>
        <w:tc>
          <w:tcPr>
            <w:tcW w:w="794" w:type="dxa"/>
            <w:shd w:val="solid" w:color="FFFFFF" w:fill="auto"/>
            <w:tcMar>
              <w:top w:w="28" w:type="dxa"/>
              <w:left w:w="28" w:type="dxa"/>
              <w:bottom w:w="28" w:type="dxa"/>
              <w:right w:w="28" w:type="dxa"/>
            </w:tcMar>
          </w:tcPr>
          <w:p w:rsidRPr="00CC37FD" w:rsidR="00F423CA" w:rsidP="00CC37FD" w:rsidRDefault="00F423CA">
            <w:pPr>
              <w:pStyle w:val="NoParagraphStyle"/>
              <w:spacing w:line="240" w:lineRule="auto"/>
              <w:textAlignment w:val="auto"/>
              <w:rPr>
                <w:rFonts w:ascii="Arial" w:hAnsi="Arial" w:cs="Arial"/>
                <w:color w:val="auto"/>
                <w:sz w:val="12"/>
                <w:szCs w:val="12"/>
              </w:rPr>
            </w:pPr>
          </w:p>
        </w:tc>
        <w:tc>
          <w:tcPr>
            <w:tcW w:w="624"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623"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c>
          <w:tcPr>
            <w:tcW w:w="624"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624"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c>
          <w:tcPr>
            <w:tcW w:w="567"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510"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c>
          <w:tcPr>
            <w:tcW w:w="567"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567"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c>
          <w:tcPr>
            <w:tcW w:w="567"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566"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c>
          <w:tcPr>
            <w:tcW w:w="624"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624"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c>
          <w:tcPr>
            <w:tcW w:w="567"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567"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c>
          <w:tcPr>
            <w:tcW w:w="623" w:type="dxa"/>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2018</w:t>
            </w:r>
          </w:p>
        </w:tc>
        <w:tc>
          <w:tcPr>
            <w:tcW w:w="624" w:type="dxa"/>
            <w:tcBorders>
              <w:right w:val="dotted" w:color="FFFFFF" w:themeColor="background1" w:sz="6" w:space="0"/>
            </w:tcBorders>
            <w:shd w:val="solid" w:color="FFFFFF" w:fill="auto"/>
            <w:tcMar>
              <w:top w:w="28" w:type="dxa"/>
              <w:left w:w="28" w:type="dxa"/>
              <w:bottom w:w="28" w:type="dxa"/>
              <w:right w:w="28" w:type="dxa"/>
            </w:tcMar>
          </w:tcPr>
          <w:p w:rsidR="00F423CA" w:rsidP="00CC37FD" w:rsidRDefault="004E2DCE">
            <w:pPr>
              <w:pStyle w:val="bodytableLtable"/>
              <w:spacing w:after="0" w:line="240" w:lineRule="auto"/>
              <w:jc w:val="right"/>
            </w:pPr>
            <w:r>
              <w:rPr>
                <w:rStyle w:val="medium"/>
                <w:b/>
                <w:bCs/>
                <w:color w:val="542E8E"/>
                <w:w w:val="90"/>
                <w:sz w:val="12"/>
                <w:szCs w:val="12"/>
              </w:rPr>
              <w:t>2017</w:t>
            </w:r>
          </w:p>
        </w:tc>
      </w:tr>
      <w:tr w:rsidR="00F423CA" w:rsidTr="008514DF">
        <w:trPr>
          <w:trHeight w:val="113"/>
        </w:trPr>
        <w:tc>
          <w:tcPr>
            <w:tcW w:w="10375" w:type="dxa"/>
            <w:gridSpan w:val="18"/>
            <w:tcBorders>
              <w:left w:val="dotted" w:color="FFFFFF" w:themeColor="background1" w:sz="6" w:space="0"/>
              <w:bottom w:val="nil"/>
              <w:righ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Controlled income and expenses for year ended 30 June 2018</w:t>
            </w:r>
          </w:p>
        </w:tc>
      </w:tr>
      <w:tr w:rsidR="00F423CA" w:rsidTr="008514DF">
        <w:trPr>
          <w:trHeight w:val="113"/>
        </w:trPr>
        <w:tc>
          <w:tcPr>
            <w:tcW w:w="10375" w:type="dxa"/>
            <w:gridSpan w:val="18"/>
            <w:tcBorders>
              <w:top w:val="nil"/>
              <w:left w:val="dotted" w:color="FFFFFF" w:themeColor="background1" w:sz="6" w:space="0"/>
              <w:bottom w:val="nil"/>
              <w:righ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Income from transactions</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Output appropriations</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3,078,572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2,783,114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1,548,217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1,289,268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152,398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44,058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627,079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570,239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104,771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97,223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1,207,654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1,155,851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118,319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113,796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6,837,010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6,053,549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Special appropriations</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579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73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581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541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654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1,188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Interest income</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140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27,608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29,144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27,608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29,284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Grant income</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106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15,090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14,191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210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2,018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2,942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2,392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1,103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242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49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2,166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21,308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19,222 </w:t>
            </w:r>
          </w:p>
        </w:tc>
      </w:tr>
      <w:tr w:rsidR="00F423CA" w:rsidTr="008514DF">
        <w:trPr>
          <w:trHeight w:val="113"/>
        </w:trPr>
        <w:tc>
          <w:tcPr>
            <w:tcW w:w="113" w:type="dxa"/>
            <w:tcBorders>
              <w:top w:val="nil"/>
              <w:left w:val="dotted" w:color="FFFFFF" w:themeColor="background1" w:sz="6" w:space="0"/>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Other income</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8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10,525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2,696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328 </w:t>
            </w:r>
          </w:p>
        </w:tc>
        <w:tc>
          <w:tcPr>
            <w:tcW w:w="510"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39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520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557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215 </w:t>
            </w:r>
          </w:p>
        </w:tc>
        <w:tc>
          <w:tcPr>
            <w:tcW w:w="566"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248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1,112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670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57,879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59,001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70,587 </w:t>
            </w:r>
          </w:p>
        </w:tc>
        <w:tc>
          <w:tcPr>
            <w:tcW w:w="624" w:type="dxa"/>
            <w:tcBorders>
              <w:top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63,217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Total income from transactions</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3,078,686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2,783,700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1,573,905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1,306,363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152,726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44,307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629,617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570,816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107,928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99,863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1,210,450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1,157,304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203,855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204,107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6,957,167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6,166,460 </w:t>
            </w:r>
          </w:p>
        </w:tc>
      </w:tr>
      <w:tr w:rsidR="00F423CA" w:rsidTr="008514DF">
        <w:trPr>
          <w:trHeight w:val="113"/>
        </w:trPr>
        <w:tc>
          <w:tcPr>
            <w:tcW w:w="10375" w:type="dxa"/>
            <w:gridSpan w:val="18"/>
            <w:tcBorders>
              <w:left w:val="dotted" w:color="FFFFFF" w:themeColor="background1" w:sz="6" w:space="0"/>
              <w:righ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Expenses from transactions</w:t>
            </w:r>
          </w:p>
        </w:tc>
      </w:tr>
      <w:tr w:rsidR="00F423CA" w:rsidTr="008514DF">
        <w:trPr>
          <w:trHeight w:val="113"/>
        </w:trPr>
        <w:tc>
          <w:tcPr>
            <w:tcW w:w="113" w:type="dxa"/>
            <w:tcBorders>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Employee benefit expense</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(7,417) </w:t>
            </w:r>
          </w:p>
        </w:tc>
        <w:tc>
          <w:tcPr>
            <w:tcW w:w="623"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(5,592)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(617,698)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(554,179)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(91,120) </w:t>
            </w:r>
          </w:p>
        </w:tc>
        <w:tc>
          <w:tcPr>
            <w:tcW w:w="510"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(22,315)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(89,453)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(80,982)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(59,474) </w:t>
            </w:r>
          </w:p>
        </w:tc>
        <w:tc>
          <w:tcPr>
            <w:tcW w:w="566"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(54,751)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(40,614)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(37,058)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(55,555)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(48,489) </w:t>
            </w:r>
          </w:p>
        </w:tc>
        <w:tc>
          <w:tcPr>
            <w:tcW w:w="623"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(961,331) </w:t>
            </w:r>
          </w:p>
        </w:tc>
        <w:tc>
          <w:tcPr>
            <w:tcW w:w="624" w:type="dxa"/>
            <w:tcBorders>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(803,366)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Depreciation</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(16)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(13)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(91,572)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(75,846)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(4,164)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(1,009)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(11,401)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(9,530)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(373)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(545)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(10,767)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(9,831)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(300)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(319)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(118,593)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(97,093)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Interest expense</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(50,622)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(20,165)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(72)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(19)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42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(50,676)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(20,229)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Grant expense</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(3,068,463)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(2,775,686)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(8,727)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(13,863)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(682)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(453)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(321,116)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(277,494)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(12,169)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(13,021)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(1,103,597)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(1,056,503)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(119,363)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(106,789)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(4,634,117)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(4,243,809)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Capital asset charge</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(151,904)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(133,755)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(3,024)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(14,491)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(11,486)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(3,483)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(3,343)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(169,878)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(151,608) </w:t>
            </w:r>
          </w:p>
        </w:tc>
      </w:tr>
      <w:tr w:rsidR="00F423CA" w:rsidTr="008514DF">
        <w:trPr>
          <w:trHeight w:val="113"/>
        </w:trPr>
        <w:tc>
          <w:tcPr>
            <w:tcW w:w="113" w:type="dxa"/>
            <w:tcBorders>
              <w:top w:val="nil"/>
              <w:left w:val="dotted" w:color="FFFFFF" w:themeColor="background1" w:sz="6" w:space="0"/>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Supplies and services</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(3,633)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(2,328)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(627,633)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(499,750)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(60,302) </w:t>
            </w:r>
          </w:p>
        </w:tc>
        <w:tc>
          <w:tcPr>
            <w:tcW w:w="510"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(16,524)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(188,877)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(189,794)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(34,685) </w:t>
            </w:r>
          </w:p>
        </w:tc>
        <w:tc>
          <w:tcPr>
            <w:tcW w:w="566"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(33,681)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(49,191)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(50,929)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(38,788)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(51,888)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(1,003,109) </w:t>
            </w:r>
          </w:p>
        </w:tc>
        <w:tc>
          <w:tcPr>
            <w:tcW w:w="624" w:type="dxa"/>
            <w:tcBorders>
              <w:top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(844,894)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Total expenses from transactions</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(3,079,527)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(2,783,618)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(1,548,156)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(1,297,558)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(156,340)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(43,344)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(625,365)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(569,347)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(106,698)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(102,000)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(1,207,610)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(1,157,636)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(214,008)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(207,496)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(6,937,704)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(6,160,999)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Net result from transactions (net operating balance)</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(841)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82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25,749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8,805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(3,614)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963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4,252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1,469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1,230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(2,137)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2,840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(332)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(10,153)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(3,389)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19,463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5,461 </w:t>
            </w:r>
          </w:p>
        </w:tc>
      </w:tr>
      <w:tr w:rsidR="00F423CA" w:rsidTr="008514DF">
        <w:trPr>
          <w:trHeight w:val="113"/>
        </w:trPr>
        <w:tc>
          <w:tcPr>
            <w:tcW w:w="10375" w:type="dxa"/>
            <w:gridSpan w:val="18"/>
            <w:tcBorders>
              <w:left w:val="dotted" w:color="FFFFFF" w:themeColor="background1" w:sz="6" w:space="0"/>
              <w:righ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Other economic flows included in net result</w:t>
            </w:r>
          </w:p>
        </w:tc>
      </w:tr>
      <w:tr w:rsidR="00F423CA" w:rsidTr="008514DF">
        <w:trPr>
          <w:trHeight w:val="113"/>
        </w:trPr>
        <w:tc>
          <w:tcPr>
            <w:tcW w:w="113" w:type="dxa"/>
            <w:tcBorders>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Net gain/(loss) on non-financial assets</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 </w:t>
            </w:r>
          </w:p>
        </w:tc>
        <w:tc>
          <w:tcPr>
            <w:tcW w:w="623"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1,069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471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10"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310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171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94 </w:t>
            </w:r>
          </w:p>
        </w:tc>
        <w:tc>
          <w:tcPr>
            <w:tcW w:w="566"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52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367 </w:t>
            </w:r>
          </w:p>
        </w:tc>
        <w:tc>
          <w:tcPr>
            <w:tcW w:w="624"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182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104 </w:t>
            </w:r>
          </w:p>
        </w:tc>
        <w:tc>
          <w:tcPr>
            <w:tcW w:w="567"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54 </w:t>
            </w:r>
          </w:p>
        </w:tc>
        <w:tc>
          <w:tcPr>
            <w:tcW w:w="623" w:type="dxa"/>
            <w:tcBorders>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1,956 </w:t>
            </w:r>
          </w:p>
        </w:tc>
        <w:tc>
          <w:tcPr>
            <w:tcW w:w="624" w:type="dxa"/>
            <w:tcBorders>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935 </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Net gain/(loss) on financial instruments</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507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5,508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(6,335)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6,006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(6,341) </w:t>
            </w:r>
          </w:p>
        </w:tc>
      </w:tr>
      <w:tr w:rsidR="00F423CA" w:rsidTr="008514DF">
        <w:trPr>
          <w:trHeight w:val="113"/>
        </w:trPr>
        <w:tc>
          <w:tcPr>
            <w:tcW w:w="113" w:type="dxa"/>
            <w:tcBorders>
              <w:top w:val="nil"/>
              <w:left w:val="dotted" w:color="FFFFFF" w:themeColor="background1" w:sz="6" w:space="0"/>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Other gains/(losses) from other economic flows</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19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(34)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1,456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(1,239)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191 </w:t>
            </w:r>
          </w:p>
        </w:tc>
        <w:tc>
          <w:tcPr>
            <w:tcW w:w="510"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(35)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271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(111)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168 </w:t>
            </w:r>
          </w:p>
        </w:tc>
        <w:tc>
          <w:tcPr>
            <w:tcW w:w="566"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(157)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120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284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174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(306)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2,399 </w:t>
            </w:r>
          </w:p>
        </w:tc>
        <w:tc>
          <w:tcPr>
            <w:tcW w:w="624" w:type="dxa"/>
            <w:tcBorders>
              <w:top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(1,598)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Total other economic flows included in net result</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22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(29)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3,032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(773)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191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581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60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262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(105)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487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465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5,786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(6,587)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10,361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(7,004)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Net result</w:t>
            </w:r>
          </w:p>
        </w:tc>
        <w:tc>
          <w:tcPr>
            <w:tcW w:w="624"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(819) </w:t>
            </w:r>
          </w:p>
        </w:tc>
        <w:tc>
          <w:tcPr>
            <w:tcW w:w="623"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53 </w:t>
            </w:r>
          </w:p>
        </w:tc>
        <w:tc>
          <w:tcPr>
            <w:tcW w:w="624"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28,781 </w:t>
            </w:r>
          </w:p>
        </w:tc>
        <w:tc>
          <w:tcPr>
            <w:tcW w:w="624"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8,032 </w:t>
            </w:r>
          </w:p>
        </w:tc>
        <w:tc>
          <w:tcPr>
            <w:tcW w:w="567"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(3,423) </w:t>
            </w:r>
          </w:p>
        </w:tc>
        <w:tc>
          <w:tcPr>
            <w:tcW w:w="510"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928 </w:t>
            </w:r>
          </w:p>
        </w:tc>
        <w:tc>
          <w:tcPr>
            <w:tcW w:w="567"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4,833 </w:t>
            </w:r>
          </w:p>
        </w:tc>
        <w:tc>
          <w:tcPr>
            <w:tcW w:w="567"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1,529 </w:t>
            </w:r>
          </w:p>
        </w:tc>
        <w:tc>
          <w:tcPr>
            <w:tcW w:w="567"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1,492 </w:t>
            </w:r>
          </w:p>
        </w:tc>
        <w:tc>
          <w:tcPr>
            <w:tcW w:w="566"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(2,242) </w:t>
            </w:r>
          </w:p>
        </w:tc>
        <w:tc>
          <w:tcPr>
            <w:tcW w:w="624"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3,327 </w:t>
            </w:r>
          </w:p>
        </w:tc>
        <w:tc>
          <w:tcPr>
            <w:tcW w:w="624"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133 </w:t>
            </w:r>
          </w:p>
        </w:tc>
        <w:tc>
          <w:tcPr>
            <w:tcW w:w="567"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(4,367) </w:t>
            </w:r>
          </w:p>
        </w:tc>
        <w:tc>
          <w:tcPr>
            <w:tcW w:w="567"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(9,976) </w:t>
            </w:r>
          </w:p>
        </w:tc>
        <w:tc>
          <w:tcPr>
            <w:tcW w:w="623" w:type="dxa"/>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29,824 </w:t>
            </w:r>
          </w:p>
        </w:tc>
        <w:tc>
          <w:tcPr>
            <w:tcW w:w="624" w:type="dxa"/>
            <w:tcBorders>
              <w:right w:val="dotted" w:color="FFFFFF" w:themeColor="background1" w:sz="6" w:space="0"/>
            </w:tcBorders>
            <w:tcMar>
              <w:top w:w="28" w:type="dxa"/>
              <w:left w:w="28" w:type="dxa"/>
              <w:bottom w:w="28" w:type="dxa"/>
              <w:right w:w="28" w:type="dxa"/>
            </w:tcMar>
          </w:tcPr>
          <w:p w:rsidR="00F423CA" w:rsidP="008514DF" w:rsidRDefault="004E2DCE">
            <w:pPr>
              <w:pStyle w:val="bodytableLtable"/>
              <w:spacing w:after="0" w:line="240" w:lineRule="auto"/>
              <w:jc w:val="right"/>
            </w:pPr>
            <w:r>
              <w:rPr>
                <w:rStyle w:val="medium"/>
                <w:b/>
                <w:bCs/>
                <w:w w:val="90"/>
                <w:sz w:val="12"/>
                <w:szCs w:val="12"/>
              </w:rPr>
              <w:t xml:space="preserve">(1,543) </w:t>
            </w:r>
          </w:p>
        </w:tc>
      </w:tr>
      <w:tr w:rsidR="00F423CA" w:rsidTr="008514DF">
        <w:trPr>
          <w:trHeight w:val="113"/>
        </w:trPr>
        <w:tc>
          <w:tcPr>
            <w:tcW w:w="10375" w:type="dxa"/>
            <w:gridSpan w:val="18"/>
            <w:tcBorders>
              <w:left w:val="dotted" w:color="FFFFFF" w:themeColor="background1" w:sz="6" w:space="0"/>
              <w:bottom w:val="nil"/>
              <w:righ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Other economic flows - other comprehensive income</w:t>
            </w:r>
          </w:p>
        </w:tc>
      </w:tr>
      <w:tr w:rsidR="00F423CA" w:rsidTr="008514DF">
        <w:trPr>
          <w:trHeight w:val="113"/>
        </w:trPr>
        <w:tc>
          <w:tcPr>
            <w:tcW w:w="113" w:type="dxa"/>
            <w:tcBorders>
              <w:top w:val="nil"/>
              <w:left w:val="dotted" w:color="FFFFFF" w:themeColor="background1" w:sz="6" w:space="0"/>
              <w:bottom w:val="nil"/>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bottom w:val="nil"/>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Items that will not be reclassified to net result</w:t>
            </w:r>
          </w:p>
        </w:tc>
        <w:tc>
          <w:tcPr>
            <w:tcW w:w="624"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623"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10"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66"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623" w:type="dxa"/>
            <w:tcBorders>
              <w:top w:val="nil"/>
              <w:bottom w:val="nil"/>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Pr="008514DF" w:rsidR="00F423CA" w:rsidP="008514DF" w:rsidRDefault="00F423CA">
            <w:pPr>
              <w:pStyle w:val="NoParagraphStyle"/>
              <w:spacing w:line="240" w:lineRule="auto"/>
              <w:jc w:val="right"/>
              <w:textAlignment w:val="auto"/>
              <w:rPr>
                <w:rFonts w:ascii="Arial" w:hAnsi="Arial" w:cs="Arial"/>
                <w:color w:val="auto"/>
                <w:sz w:val="12"/>
                <w:szCs w:val="12"/>
              </w:rPr>
            </w:pPr>
          </w:p>
        </w:tc>
      </w:tr>
      <w:tr w:rsidR="00F423CA" w:rsidTr="008514DF">
        <w:trPr>
          <w:trHeight w:val="113"/>
        </w:trPr>
        <w:tc>
          <w:tcPr>
            <w:tcW w:w="113" w:type="dxa"/>
            <w:tcBorders>
              <w:top w:val="nil"/>
              <w:left w:val="dotted" w:color="FFFFFF" w:themeColor="background1" w:sz="6" w:space="0"/>
            </w:tcBorders>
            <w:tcMar>
              <w:top w:w="28" w:type="dxa"/>
              <w:left w:w="28" w:type="dxa"/>
              <w:bottom w:w="28" w:type="dxa"/>
              <w:right w:w="28" w:type="dxa"/>
            </w:tcMar>
          </w:tcPr>
          <w:p w:rsidRPr="008514DF" w:rsidR="00F423CA" w:rsidP="00CC37FD" w:rsidRDefault="00F423CA">
            <w:pPr>
              <w:pStyle w:val="NoParagraphStyle"/>
              <w:spacing w:line="240" w:lineRule="auto"/>
              <w:textAlignment w:val="auto"/>
              <w:rPr>
                <w:rFonts w:ascii="Arial" w:hAnsi="Arial" w:cs="Arial"/>
                <w:color w:val="auto"/>
                <w:sz w:val="12"/>
                <w:szCs w:val="12"/>
              </w:rPr>
            </w:pPr>
          </w:p>
        </w:tc>
        <w:tc>
          <w:tcPr>
            <w:tcW w:w="794" w:type="dxa"/>
            <w:tcBorders>
              <w:top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Changes in physical asset revaluation surplus</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(49,306)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17,086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0 </w:t>
            </w:r>
          </w:p>
        </w:tc>
        <w:tc>
          <w:tcPr>
            <w:tcW w:w="510"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27,508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(14)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503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(5) </w:t>
            </w:r>
          </w:p>
        </w:tc>
        <w:tc>
          <w:tcPr>
            <w:tcW w:w="566"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20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342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172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(48,984) </w:t>
            </w:r>
          </w:p>
        </w:tc>
        <w:tc>
          <w:tcPr>
            <w:tcW w:w="624" w:type="dxa"/>
            <w:tcBorders>
              <w:top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45,301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 xml:space="preserve">Total other economic flows - other </w:t>
            </w:r>
            <w:r>
              <w:rPr>
                <w:rStyle w:val="medium"/>
                <w:b/>
                <w:bCs/>
                <w:w w:val="90"/>
                <w:sz w:val="12"/>
                <w:szCs w:val="12"/>
              </w:rPr>
              <w:br/>
              <w:t>comprehensive income</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(49,306)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17,086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0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27,508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(14)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503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20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342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172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11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(48,984)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45,301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Comprehensive result</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(818)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54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(20,525)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25,118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(3,423)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28,436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4,819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2,032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1,487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(2,222)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3,669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305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(4,369)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(9,965)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(19,160)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43,758 </w:t>
            </w:r>
          </w:p>
        </w:tc>
      </w:tr>
      <w:tr w:rsidR="00F423CA" w:rsidTr="008514DF">
        <w:trPr>
          <w:trHeight w:val="113"/>
        </w:trPr>
        <w:tc>
          <w:tcPr>
            <w:tcW w:w="10375" w:type="dxa"/>
            <w:gridSpan w:val="18"/>
            <w:tcBorders>
              <w:left w:val="dotted" w:color="FFFFFF" w:themeColor="background1" w:sz="6" w:space="0"/>
              <w:bottom w:val="nil"/>
              <w:righ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bold"/>
                <w:w w:val="90"/>
                <w:sz w:val="12"/>
                <w:szCs w:val="12"/>
              </w:rPr>
              <w:t>Controlled assets and liabilities at 30 June 2018</w:t>
            </w:r>
          </w:p>
        </w:tc>
      </w:tr>
      <w:tr w:rsidR="00F423CA" w:rsidTr="008514DF">
        <w:trPr>
          <w:trHeight w:val="113"/>
        </w:trPr>
        <w:tc>
          <w:tcPr>
            <w:tcW w:w="10375" w:type="dxa"/>
            <w:gridSpan w:val="18"/>
            <w:tcBorders>
              <w:top w:val="nil"/>
              <w:left w:val="dotted" w:color="FFFFFF" w:themeColor="background1" w:sz="6" w:space="0"/>
              <w:bottom w:val="nil"/>
              <w:righ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Assets</w:t>
            </w:r>
          </w:p>
        </w:tc>
      </w:tr>
      <w:tr w:rsidR="00F423CA" w:rsidTr="008514DF">
        <w:trPr>
          <w:trHeight w:val="113"/>
        </w:trPr>
        <w:tc>
          <w:tcPr>
            <w:tcW w:w="907" w:type="dxa"/>
            <w:gridSpan w:val="2"/>
            <w:tcBorders>
              <w:top w:val="nil"/>
              <w:left w:val="dotted" w:color="FFFFFF" w:themeColor="background1" w:sz="6" w:space="0"/>
              <w:bottom w:val="nil"/>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Financial assets</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479,704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437,521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263,083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195,253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1,218 </w:t>
            </w:r>
          </w:p>
        </w:tc>
        <w:tc>
          <w:tcPr>
            <w:tcW w:w="510"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622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135,610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111,878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33,962 </w:t>
            </w:r>
          </w:p>
        </w:tc>
        <w:tc>
          <w:tcPr>
            <w:tcW w:w="566"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29,622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160,643 </w:t>
            </w:r>
          </w:p>
        </w:tc>
        <w:tc>
          <w:tcPr>
            <w:tcW w:w="624"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106,663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324,895 </w:t>
            </w:r>
          </w:p>
        </w:tc>
        <w:tc>
          <w:tcPr>
            <w:tcW w:w="567"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413,874 </w:t>
            </w:r>
          </w:p>
        </w:tc>
        <w:tc>
          <w:tcPr>
            <w:tcW w:w="623" w:type="dxa"/>
            <w:tcBorders>
              <w:top w:val="nil"/>
              <w:bottom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1,399,115 </w:t>
            </w:r>
          </w:p>
        </w:tc>
        <w:tc>
          <w:tcPr>
            <w:tcW w:w="624" w:type="dxa"/>
            <w:tcBorders>
              <w:top w:val="nil"/>
              <w:bottom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1,295,433 </w:t>
            </w:r>
          </w:p>
        </w:tc>
      </w:tr>
      <w:tr w:rsidR="00F423CA" w:rsidTr="008514DF">
        <w:trPr>
          <w:trHeight w:val="113"/>
        </w:trPr>
        <w:tc>
          <w:tcPr>
            <w:tcW w:w="907" w:type="dxa"/>
            <w:gridSpan w:val="2"/>
            <w:tcBorders>
              <w:top w:val="nil"/>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w w:val="90"/>
                <w:sz w:val="12"/>
                <w:szCs w:val="12"/>
              </w:rPr>
              <w:t>Non-financial assets</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479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295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2,958,219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2,125,283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289,851 </w:t>
            </w:r>
          </w:p>
        </w:tc>
        <w:tc>
          <w:tcPr>
            <w:tcW w:w="510"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256,990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92,443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76,030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4,389 </w:t>
            </w:r>
          </w:p>
        </w:tc>
        <w:tc>
          <w:tcPr>
            <w:tcW w:w="566"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3,839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60,698 </w:t>
            </w:r>
          </w:p>
        </w:tc>
        <w:tc>
          <w:tcPr>
            <w:tcW w:w="624"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64,895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4,236 </w:t>
            </w:r>
          </w:p>
        </w:tc>
        <w:tc>
          <w:tcPr>
            <w:tcW w:w="567"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3,621 </w:t>
            </w:r>
          </w:p>
        </w:tc>
        <w:tc>
          <w:tcPr>
            <w:tcW w:w="623" w:type="dxa"/>
            <w:tcBorders>
              <w:top w:val="nil"/>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3,410,315 </w:t>
            </w:r>
          </w:p>
        </w:tc>
        <w:tc>
          <w:tcPr>
            <w:tcW w:w="624" w:type="dxa"/>
            <w:tcBorders>
              <w:top w:val="nil"/>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w w:val="90"/>
                <w:sz w:val="12"/>
                <w:szCs w:val="12"/>
              </w:rPr>
              <w:t xml:space="preserve">2,530,953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Total assets</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480,183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437,816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3,221,302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2,320,536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291,069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257,612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228,053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187,908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38,351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33,461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221,341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171,558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329,131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417,495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4,809,430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3,826,386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Liabilities</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478,056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436,459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968,186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416,246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32,542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53,983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118,115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97,104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22,511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21,453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79,126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47,780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55,394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43,359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1,753,930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1,116,384 </w:t>
            </w:r>
          </w:p>
        </w:tc>
      </w:tr>
      <w:tr w:rsidR="00F423CA" w:rsidTr="008514DF">
        <w:trPr>
          <w:trHeight w:val="113"/>
        </w:trPr>
        <w:tc>
          <w:tcPr>
            <w:tcW w:w="907" w:type="dxa"/>
            <w:gridSpan w:val="2"/>
            <w:tcBorders>
              <w:left w:val="dotted" w:color="FFFFFF" w:themeColor="background1" w:sz="6"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Total liabilities</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478,056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436,459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968,186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416,246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32,542 </w:t>
            </w:r>
          </w:p>
        </w:tc>
        <w:tc>
          <w:tcPr>
            <w:tcW w:w="510"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53,983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118,115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97,104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22,511 </w:t>
            </w:r>
          </w:p>
        </w:tc>
        <w:tc>
          <w:tcPr>
            <w:tcW w:w="566"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21,453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79,126 </w:t>
            </w:r>
          </w:p>
        </w:tc>
        <w:tc>
          <w:tcPr>
            <w:tcW w:w="624"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47,780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55,394 </w:t>
            </w:r>
          </w:p>
        </w:tc>
        <w:tc>
          <w:tcPr>
            <w:tcW w:w="567"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43,359 </w:t>
            </w:r>
          </w:p>
        </w:tc>
        <w:tc>
          <w:tcPr>
            <w:tcW w:w="623" w:type="dxa"/>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1,753,930 </w:t>
            </w:r>
          </w:p>
        </w:tc>
        <w:tc>
          <w:tcPr>
            <w:tcW w:w="624" w:type="dxa"/>
            <w:tcBorders>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1,116,384 </w:t>
            </w:r>
          </w:p>
        </w:tc>
      </w:tr>
      <w:tr w:rsidR="00F423CA" w:rsidTr="008514DF">
        <w:trPr>
          <w:trHeight w:val="113"/>
        </w:trPr>
        <w:tc>
          <w:tcPr>
            <w:tcW w:w="907" w:type="dxa"/>
            <w:gridSpan w:val="2"/>
            <w:tcBorders>
              <w:left w:val="dotted" w:color="FFFFFF" w:themeColor="background1" w:sz="6" w:space="0"/>
              <w:bottom w:val="single" w:color="000000" w:sz="12" w:space="0"/>
            </w:tcBorders>
            <w:tcMar>
              <w:top w:w="28" w:type="dxa"/>
              <w:left w:w="28" w:type="dxa"/>
              <w:bottom w:w="28" w:type="dxa"/>
              <w:right w:w="28" w:type="dxa"/>
            </w:tcMar>
          </w:tcPr>
          <w:p w:rsidR="00F423CA" w:rsidP="00CC37FD" w:rsidRDefault="004E2DCE">
            <w:pPr>
              <w:pStyle w:val="bodytableLtable"/>
              <w:spacing w:after="0" w:line="240" w:lineRule="auto"/>
            </w:pPr>
            <w:r>
              <w:rPr>
                <w:rStyle w:val="medium"/>
                <w:b/>
                <w:bCs/>
                <w:w w:val="90"/>
                <w:sz w:val="12"/>
                <w:szCs w:val="12"/>
              </w:rPr>
              <w:t>Net assets</w:t>
            </w:r>
          </w:p>
        </w:tc>
        <w:tc>
          <w:tcPr>
            <w:tcW w:w="624"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2,127 </w:t>
            </w:r>
          </w:p>
        </w:tc>
        <w:tc>
          <w:tcPr>
            <w:tcW w:w="623"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1,357 </w:t>
            </w:r>
          </w:p>
        </w:tc>
        <w:tc>
          <w:tcPr>
            <w:tcW w:w="624"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2,253,116 </w:t>
            </w:r>
          </w:p>
        </w:tc>
        <w:tc>
          <w:tcPr>
            <w:tcW w:w="624"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1,904,290 </w:t>
            </w:r>
          </w:p>
        </w:tc>
        <w:tc>
          <w:tcPr>
            <w:tcW w:w="567"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258,527 </w:t>
            </w:r>
          </w:p>
        </w:tc>
        <w:tc>
          <w:tcPr>
            <w:tcW w:w="510"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203,629 </w:t>
            </w:r>
          </w:p>
        </w:tc>
        <w:tc>
          <w:tcPr>
            <w:tcW w:w="567"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109,938 </w:t>
            </w:r>
          </w:p>
        </w:tc>
        <w:tc>
          <w:tcPr>
            <w:tcW w:w="567"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90,804 </w:t>
            </w:r>
          </w:p>
        </w:tc>
        <w:tc>
          <w:tcPr>
            <w:tcW w:w="567"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15,840 </w:t>
            </w:r>
          </w:p>
        </w:tc>
        <w:tc>
          <w:tcPr>
            <w:tcW w:w="566"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12,008 </w:t>
            </w:r>
          </w:p>
        </w:tc>
        <w:tc>
          <w:tcPr>
            <w:tcW w:w="624"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142,215 </w:t>
            </w:r>
          </w:p>
        </w:tc>
        <w:tc>
          <w:tcPr>
            <w:tcW w:w="624"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123,778 </w:t>
            </w:r>
          </w:p>
        </w:tc>
        <w:tc>
          <w:tcPr>
            <w:tcW w:w="567"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273,737 </w:t>
            </w:r>
          </w:p>
        </w:tc>
        <w:tc>
          <w:tcPr>
            <w:tcW w:w="567"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374,136 </w:t>
            </w:r>
          </w:p>
        </w:tc>
        <w:tc>
          <w:tcPr>
            <w:tcW w:w="623" w:type="dxa"/>
            <w:tcBorders>
              <w:bottom w:val="single" w:color="000000" w:sz="12"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3,055,500 </w:t>
            </w:r>
          </w:p>
        </w:tc>
        <w:tc>
          <w:tcPr>
            <w:tcW w:w="624" w:type="dxa"/>
            <w:tcBorders>
              <w:bottom w:val="single" w:color="000000" w:sz="12" w:space="0"/>
              <w:right w:val="dotted" w:color="FFFFFF" w:themeColor="background1" w:sz="6" w:space="0"/>
            </w:tcBorders>
            <w:tcMar>
              <w:top w:w="28" w:type="dxa"/>
              <w:left w:w="28" w:type="dxa"/>
              <w:bottom w:w="28" w:type="dxa"/>
              <w:right w:w="28" w:type="dxa"/>
            </w:tcMar>
            <w:vAlign w:val="center"/>
          </w:tcPr>
          <w:p w:rsidR="00F423CA" w:rsidP="008514DF" w:rsidRDefault="004E2DCE">
            <w:pPr>
              <w:pStyle w:val="bodytableLtable"/>
              <w:spacing w:after="0" w:line="240" w:lineRule="auto"/>
              <w:jc w:val="right"/>
            </w:pPr>
            <w:r>
              <w:rPr>
                <w:rStyle w:val="medium"/>
                <w:b/>
                <w:bCs/>
                <w:w w:val="90"/>
                <w:sz w:val="12"/>
                <w:szCs w:val="12"/>
              </w:rPr>
              <w:t xml:space="preserve">2,710,002 </w:t>
            </w:r>
          </w:p>
        </w:tc>
      </w:tr>
    </w:tbl>
    <w:p w:rsidR="00F423CA" w:rsidRDefault="00F423CA">
      <w:pPr>
        <w:pStyle w:val="Bodycopy"/>
        <w:rPr>
          <w:sz w:val="20"/>
          <w:szCs w:val="20"/>
        </w:rPr>
      </w:pPr>
    </w:p>
    <w:p w:rsidR="00F423CA" w:rsidRDefault="004E2DCE">
      <w:pPr>
        <w:pStyle w:val="H3"/>
      </w:pPr>
      <w:r>
        <w:lastRenderedPageBreak/>
        <w:t>4.3 Administered items</w:t>
      </w:r>
    </w:p>
    <w:p w:rsidR="00F423CA" w:rsidRDefault="004E2DCE">
      <w:pPr>
        <w:pStyle w:val="Bodycopy"/>
      </w:pPr>
      <w:r>
        <w:t>Administered income includes taxes, fees and fines.  Administered expenses include payments made on behalf of the State and payments into the consolidated fund.  Administered assets include government income earned but yet to be collected.  Administered liabilities include government expenses incurred but yet to be paid.  Except as otherwise disclosed, administered resources are accounted for on an accrual basis using the same accounting policies adopted for recognition of the departmental items in the financial statements.  Both controlled and administered items of the department are consolidated into the financial statements of the State.</w:t>
      </w:r>
    </w:p>
    <w:p w:rsidR="00F423CA" w:rsidRDefault="004E2DCE">
      <w:pPr>
        <w:pStyle w:val="Bodycopy"/>
      </w:pPr>
      <w:r>
        <w:t>The department does not gain control over assets arising from taxes, fines and regulatory fees, consequently no income is recognised in the department’s financial statements.  The department collects these amounts on behalf of the State.  Accordingly, the amounts are disclosed as income in the schedule of administered items.</w:t>
      </w:r>
    </w:p>
    <w:p w:rsidR="00F423CA" w:rsidRDefault="004E2DCE">
      <w:pPr>
        <w:pStyle w:val="H4A"/>
      </w:pPr>
      <w:r>
        <w:t>Administered (non-controlled) items</w:t>
      </w:r>
    </w:p>
    <w:p w:rsidR="00F423CA" w:rsidRDefault="004E2DCE">
      <w:pPr>
        <w:pStyle w:val="Bodycopy"/>
        <w:spacing w:after="0"/>
      </w:pPr>
      <w:r>
        <w:t>For the financial year ended 30 June 2018</w:t>
      </w:r>
    </w:p>
    <w:tbl>
      <w:tblPr>
        <w:tblW w:w="0" w:type="auto"/>
        <w:tblInd w:w="57" w:type="dxa"/>
        <w:tblLayout w:type="fixed"/>
        <w:tblCellMar>
          <w:left w:w="0" w:type="dxa"/>
          <w:right w:w="0" w:type="dxa"/>
        </w:tblCellMar>
        <w:tblLook w:firstRow="0" w:lastRow="0" w:firstColumn="0" w:lastColumn="0" w:noHBand="0" w:noVBand="0" w:val="0000"/>
      </w:tblPr>
      <w:tblGrid>
        <w:gridCol w:w="1474"/>
        <w:gridCol w:w="454"/>
        <w:gridCol w:w="453"/>
        <w:gridCol w:w="567"/>
        <w:gridCol w:w="567"/>
        <w:gridCol w:w="397"/>
        <w:gridCol w:w="397"/>
        <w:gridCol w:w="623"/>
        <w:gridCol w:w="624"/>
        <w:gridCol w:w="567"/>
        <w:gridCol w:w="567"/>
        <w:gridCol w:w="567"/>
        <w:gridCol w:w="567"/>
        <w:gridCol w:w="567"/>
        <w:gridCol w:w="566"/>
        <w:gridCol w:w="624"/>
        <w:gridCol w:w="624"/>
      </w:tblGrid>
      <w:tr w:rsidRPr="00A83547" w:rsidR="00F423CA" w:rsidTr="00A83547">
        <w:trPr>
          <w:trHeight w:val="60"/>
          <w:tblHeader/>
        </w:trPr>
        <w:tc>
          <w:tcPr>
            <w:tcW w:w="1474" w:type="dxa"/>
            <w:tcBorders>
              <w:top w:val="dotted" w:color="000000" w:sz="6" w:space="0"/>
              <w:bottom w:val="single" w:color="542E8E" w:sz="6" w:space="0"/>
            </w:tcBorders>
            <w:shd w:val="solid" w:color="FFFFFF" w:fill="auto"/>
            <w:tcMar>
              <w:top w:w="28" w:type="dxa"/>
              <w:left w:w="28" w:type="dxa"/>
              <w:bottom w:w="28" w:type="dxa"/>
              <w:right w:w="28" w:type="dxa"/>
            </w:tcMar>
          </w:tcPr>
          <w:p w:rsidRPr="00A83547" w:rsidR="00F423CA" w:rsidP="00A83547" w:rsidRDefault="00F423CA">
            <w:pPr>
              <w:pStyle w:val="NoParagraphStyle"/>
              <w:spacing w:line="240" w:lineRule="auto"/>
              <w:textAlignment w:val="auto"/>
              <w:rPr>
                <w:rFonts w:ascii="Arial" w:hAnsi="Arial" w:cs="Arial"/>
                <w:color w:val="auto"/>
                <w:sz w:val="12"/>
                <w:szCs w:val="12"/>
              </w:rPr>
            </w:pPr>
          </w:p>
        </w:tc>
        <w:tc>
          <w:tcPr>
            <w:tcW w:w="8731" w:type="dxa"/>
            <w:gridSpan w:val="16"/>
            <w:tcBorders>
              <w:top w:val="dotted" w:color="000000"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 thousand)</w:t>
            </w:r>
          </w:p>
        </w:tc>
      </w:tr>
      <w:tr w:rsidRPr="00A83547" w:rsidR="00F423CA" w:rsidTr="00A83547">
        <w:trPr>
          <w:trHeight w:val="60"/>
          <w:tblHeader/>
        </w:trPr>
        <w:tc>
          <w:tcPr>
            <w:tcW w:w="1474"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F423CA">
            <w:pPr>
              <w:pStyle w:val="NoParagraphStyle"/>
              <w:spacing w:line="240" w:lineRule="auto"/>
              <w:textAlignment w:val="auto"/>
              <w:rPr>
                <w:rFonts w:ascii="Arial" w:hAnsi="Arial" w:cs="Arial"/>
                <w:color w:val="auto"/>
                <w:sz w:val="12"/>
                <w:szCs w:val="12"/>
              </w:rPr>
            </w:pPr>
          </w:p>
        </w:tc>
        <w:tc>
          <w:tcPr>
            <w:tcW w:w="907"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Policing and crime prevention</w:t>
            </w:r>
          </w:p>
        </w:tc>
        <w:tc>
          <w:tcPr>
            <w:tcW w:w="1134"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Enforcing and managing correctional orders</w:t>
            </w:r>
          </w:p>
        </w:tc>
        <w:tc>
          <w:tcPr>
            <w:tcW w:w="794"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Youth justice</w:t>
            </w:r>
          </w:p>
        </w:tc>
        <w:tc>
          <w:tcPr>
            <w:tcW w:w="1247"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Criminal justice services</w:t>
            </w:r>
          </w:p>
        </w:tc>
        <w:tc>
          <w:tcPr>
            <w:tcW w:w="1134"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Civil justice services</w:t>
            </w:r>
          </w:p>
        </w:tc>
        <w:tc>
          <w:tcPr>
            <w:tcW w:w="1134"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Emergency management</w:t>
            </w:r>
          </w:p>
        </w:tc>
        <w:tc>
          <w:tcPr>
            <w:tcW w:w="1133"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Industry regulation</w:t>
            </w:r>
            <w:r w:rsidRPr="00A83547">
              <w:rPr>
                <w:rStyle w:val="medium"/>
                <w:b/>
                <w:bCs/>
                <w:color w:val="542E8E"/>
                <w:w w:val="90"/>
                <w:sz w:val="12"/>
                <w:szCs w:val="12"/>
              </w:rPr>
              <w:br/>
              <w:t>and support</w:t>
            </w:r>
          </w:p>
        </w:tc>
        <w:tc>
          <w:tcPr>
            <w:tcW w:w="1248" w:type="dxa"/>
            <w:gridSpan w:val="2"/>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Departmental total</w:t>
            </w:r>
          </w:p>
        </w:tc>
      </w:tr>
      <w:tr w:rsidRPr="00A83547" w:rsidR="00F423CA" w:rsidTr="00A83547">
        <w:trPr>
          <w:trHeight w:val="60"/>
          <w:tblHeader/>
        </w:trPr>
        <w:tc>
          <w:tcPr>
            <w:tcW w:w="1474"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F423CA">
            <w:pPr>
              <w:pStyle w:val="NoParagraphStyle"/>
              <w:spacing w:line="240" w:lineRule="auto"/>
              <w:textAlignment w:val="auto"/>
              <w:rPr>
                <w:rFonts w:ascii="Arial" w:hAnsi="Arial" w:cs="Arial"/>
                <w:color w:val="auto"/>
                <w:sz w:val="12"/>
                <w:szCs w:val="12"/>
              </w:rPr>
            </w:pPr>
          </w:p>
        </w:tc>
        <w:tc>
          <w:tcPr>
            <w:tcW w:w="454"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453"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c>
          <w:tcPr>
            <w:tcW w:w="56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56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c>
          <w:tcPr>
            <w:tcW w:w="39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39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c>
          <w:tcPr>
            <w:tcW w:w="623"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624"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c>
          <w:tcPr>
            <w:tcW w:w="56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56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c>
          <w:tcPr>
            <w:tcW w:w="56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56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c>
          <w:tcPr>
            <w:tcW w:w="567"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566"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c>
          <w:tcPr>
            <w:tcW w:w="624"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2018</w:t>
            </w:r>
          </w:p>
        </w:tc>
        <w:tc>
          <w:tcPr>
            <w:tcW w:w="624" w:type="dxa"/>
            <w:tcBorders>
              <w:top w:val="single" w:color="542E8E" w:sz="6" w:space="0"/>
              <w:bottom w:val="single" w:color="542E8E" w:sz="6" w:space="0"/>
            </w:tcBorders>
            <w:shd w:val="solid" w:color="FFFFFF" w:fill="auto"/>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color w:val="542E8E"/>
                <w:w w:val="90"/>
                <w:sz w:val="12"/>
                <w:szCs w:val="12"/>
              </w:rPr>
              <w:t>2017</w:t>
            </w:r>
          </w:p>
        </w:tc>
      </w:tr>
      <w:tr w:rsidRPr="00A83547" w:rsidR="00F423CA" w:rsidTr="00A83547">
        <w:trPr>
          <w:trHeight w:val="60"/>
        </w:trPr>
        <w:tc>
          <w:tcPr>
            <w:tcW w:w="1474" w:type="dxa"/>
            <w:tcBorders>
              <w:top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Administered income from transactions</w:t>
            </w:r>
          </w:p>
        </w:tc>
        <w:tc>
          <w:tcPr>
            <w:tcW w:w="45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45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6"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Appropriations for payments made on behalf of the State</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28,976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27,773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28,976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27,773 </w:t>
            </w: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Special appropriations applied</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2,542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3,971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2,490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1,470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5,032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5,441 </w:t>
            </w: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Sale of goods and services</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16,140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15,080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39,848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40,095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48,396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45,127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36,715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35,030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84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41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141,185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135,376 </w:t>
            </w: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 xml:space="preserve">Fines </w:t>
            </w:r>
            <w:r w:rsidRPr="00A83547">
              <w:rPr>
                <w:rStyle w:val="Superscript"/>
                <w:w w:val="90"/>
                <w:sz w:val="12"/>
                <w:szCs w:val="12"/>
              </w:rPr>
              <w:t>(</w:t>
            </w:r>
            <w:proofErr w:type="spellStart"/>
            <w:r w:rsidRPr="00A83547">
              <w:rPr>
                <w:rStyle w:val="Superscript"/>
                <w:w w:val="90"/>
                <w:sz w:val="12"/>
                <w:szCs w:val="12"/>
              </w:rPr>
              <w:t>i</w:t>
            </w:r>
            <w:proofErr w:type="spellEnd"/>
            <w:r w:rsidRPr="00A83547">
              <w:rPr>
                <w:rStyle w:val="Superscript"/>
                <w:w w:val="90"/>
                <w:sz w:val="12"/>
                <w:szCs w:val="12"/>
              </w:rPr>
              <w:t>)</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247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265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763,888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668,771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764,135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669,036 </w:t>
            </w: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Fees</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310,943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303,768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10,240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10,303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2,579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2,581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323,764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316,654 </w:t>
            </w:r>
          </w:p>
        </w:tc>
      </w:tr>
      <w:tr w:rsidRPr="00A83547" w:rsidR="00F423CA" w:rsidTr="00A83547">
        <w:trPr>
          <w:trHeight w:val="60"/>
        </w:trPr>
        <w:tc>
          <w:tcPr>
            <w:tcW w:w="147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Other income</w:t>
            </w:r>
          </w:p>
        </w:tc>
        <w:tc>
          <w:tcPr>
            <w:tcW w:w="45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19 </w:t>
            </w:r>
          </w:p>
        </w:tc>
        <w:tc>
          <w:tcPr>
            <w:tcW w:w="45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12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1,684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1,381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29,226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23,121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186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569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481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6,431 </w:t>
            </w:r>
          </w:p>
        </w:tc>
        <w:tc>
          <w:tcPr>
            <w:tcW w:w="566"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1,063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38,115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26,198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income from transactions</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23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17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18,071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16,726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1,146,447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1,039,726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61,312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57,040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37,284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35,511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38,070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31,458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1,301,207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1,180,478 </w:t>
            </w:r>
          </w:p>
        </w:tc>
      </w:tr>
      <w:tr w:rsidRPr="00A83547" w:rsidR="00F423CA" w:rsidTr="00A83547">
        <w:trPr>
          <w:trHeight w:val="60"/>
        </w:trPr>
        <w:tc>
          <w:tcPr>
            <w:tcW w:w="1474" w:type="dxa"/>
            <w:tcBorders>
              <w:top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Administered expenses from transactions</w:t>
            </w:r>
          </w:p>
        </w:tc>
        <w:tc>
          <w:tcPr>
            <w:tcW w:w="45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45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6"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Payments made on behalf of the State</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(28,976)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(27,773)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(28,976)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(27,773) </w:t>
            </w: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Payments into the consolidated fund</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(31,084)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(29,504)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(471,542)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(505,441)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(65,557)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(62,267)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(49,876)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(48,908)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(114)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(41)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(618,178)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(646,164) </w:t>
            </w:r>
          </w:p>
        </w:tc>
      </w:tr>
      <w:tr w:rsidRPr="00A83547" w:rsidR="00F423CA" w:rsidTr="00A83547">
        <w:trPr>
          <w:trHeight w:val="60"/>
        </w:trPr>
        <w:tc>
          <w:tcPr>
            <w:tcW w:w="147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Other expenses</w:t>
            </w:r>
          </w:p>
        </w:tc>
        <w:tc>
          <w:tcPr>
            <w:tcW w:w="45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(15) </w:t>
            </w:r>
          </w:p>
        </w:tc>
        <w:tc>
          <w:tcPr>
            <w:tcW w:w="45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(11)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(1,555)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(1,466)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(3,165)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(5,492)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(3,419)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(1,606)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(452)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(440)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(127) </w:t>
            </w:r>
          </w:p>
        </w:tc>
        <w:tc>
          <w:tcPr>
            <w:tcW w:w="566"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(141)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(8,733)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(9,156)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expenses from transactions</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(20)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(32,639)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(30,970)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(474,707)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(510,933)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(68,976)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(63,873)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(50,328)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(49,348)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(29,217)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(27,955)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(655,887)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(683,093)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net result from transactions (net operating balance)</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(14,568)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(14,244)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671,740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528,793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(7,664)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(6,833)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(13,044)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(13,837)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8,853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3,503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645,320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497,385 </w:t>
            </w:r>
          </w:p>
        </w:tc>
      </w:tr>
      <w:tr w:rsidRPr="00A83547" w:rsidR="00F423CA" w:rsidTr="00A83547">
        <w:trPr>
          <w:trHeight w:val="60"/>
        </w:trPr>
        <w:tc>
          <w:tcPr>
            <w:tcW w:w="1474" w:type="dxa"/>
            <w:tcBorders>
              <w:top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Administered other economic flows included in administered net result</w:t>
            </w:r>
          </w:p>
        </w:tc>
        <w:tc>
          <w:tcPr>
            <w:tcW w:w="45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45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6"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Net gain/(loss) on non-financial assets</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(1,171)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(49)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(48)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479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333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(762)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279 </w:t>
            </w:r>
          </w:p>
        </w:tc>
      </w:tr>
      <w:tr w:rsidRPr="00A83547" w:rsidR="00F423CA" w:rsidTr="00A83547">
        <w:trPr>
          <w:trHeight w:val="60"/>
        </w:trPr>
        <w:tc>
          <w:tcPr>
            <w:tcW w:w="147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Net gain/(loss) on financial instruments</w:t>
            </w:r>
          </w:p>
        </w:tc>
        <w:tc>
          <w:tcPr>
            <w:tcW w:w="45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(507,060)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(356,518)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(89)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6"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(507,060)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(356,607)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other economic flows</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(1,171)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(49)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(507,108)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(356,521)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(90)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479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333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(7)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(507,822)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(356,328)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comprehensive result</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(15,739)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(14,293)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164,632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172,272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(7,678)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(6,923)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(12,565)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(13,504)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8,846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3,502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137,498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141,057 </w:t>
            </w:r>
          </w:p>
        </w:tc>
      </w:tr>
      <w:tr w:rsidRPr="00A83547" w:rsidR="00F423CA" w:rsidTr="00A83547">
        <w:trPr>
          <w:trHeight w:val="60"/>
        </w:trPr>
        <w:tc>
          <w:tcPr>
            <w:tcW w:w="1474" w:type="dxa"/>
            <w:tcBorders>
              <w:top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Administered financial assets</w:t>
            </w:r>
          </w:p>
        </w:tc>
        <w:tc>
          <w:tcPr>
            <w:tcW w:w="45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45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6"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Cash and deposits</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53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42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12,778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13,015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16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17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8,186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8,516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5,603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8,358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1,578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1,644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476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488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28,690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32,080 </w:t>
            </w: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Receivables</w:t>
            </w:r>
            <w:r w:rsidRPr="00A83547">
              <w:rPr>
                <w:w w:val="90"/>
                <w:sz w:val="12"/>
                <w:szCs w:val="12"/>
                <w:vertAlign w:val="superscript"/>
              </w:rPr>
              <w:t xml:space="preserve"> (</w:t>
            </w:r>
            <w:proofErr w:type="spellStart"/>
            <w:r w:rsidRPr="00A83547">
              <w:rPr>
                <w:w w:val="90"/>
                <w:sz w:val="12"/>
                <w:szCs w:val="12"/>
                <w:vertAlign w:val="superscript"/>
              </w:rPr>
              <w:t>i</w:t>
            </w:r>
            <w:proofErr w:type="spellEnd"/>
            <w:r w:rsidRPr="00A83547">
              <w:rPr>
                <w:w w:val="90"/>
                <w:sz w:val="12"/>
                <w:szCs w:val="12"/>
                <w:vertAlign w:val="superscript"/>
              </w:rPr>
              <w:t>)</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101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1,418,371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1,276,663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8,008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10,991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1,981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1,416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1,428,360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1,289,182 </w:t>
            </w:r>
          </w:p>
        </w:tc>
      </w:tr>
      <w:tr w:rsidRPr="00A83547" w:rsidR="00F423CA" w:rsidTr="00A83547">
        <w:trPr>
          <w:trHeight w:val="60"/>
        </w:trPr>
        <w:tc>
          <w:tcPr>
            <w:tcW w:w="147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Equity investments in other justice portfolio entities</w:t>
            </w:r>
          </w:p>
        </w:tc>
        <w:tc>
          <w:tcPr>
            <w:tcW w:w="45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43,395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42,195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29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29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660,405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597,621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11,098 </w:t>
            </w:r>
          </w:p>
        </w:tc>
        <w:tc>
          <w:tcPr>
            <w:tcW w:w="566"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11,098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714,927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650,943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financial assets</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53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12,778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13,116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16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17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1,469,952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1,327,374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13,640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19,378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663,964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600,681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11,574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11,596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2,171,977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1,972,205 </w:t>
            </w:r>
          </w:p>
        </w:tc>
      </w:tr>
      <w:tr w:rsidRPr="00A83547" w:rsidR="00F423CA" w:rsidTr="00A83547">
        <w:trPr>
          <w:trHeight w:val="60"/>
        </w:trPr>
        <w:tc>
          <w:tcPr>
            <w:tcW w:w="1474" w:type="dxa"/>
            <w:tcBorders>
              <w:top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Administered liabilities</w:t>
            </w:r>
          </w:p>
        </w:tc>
        <w:tc>
          <w:tcPr>
            <w:tcW w:w="45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45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39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3"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7"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566"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c>
          <w:tcPr>
            <w:tcW w:w="624" w:type="dxa"/>
            <w:tcBorders>
              <w:top w:val="single" w:color="000000" w:sz="8" w:space="0"/>
            </w:tcBorders>
            <w:tcMar>
              <w:top w:w="28" w:type="dxa"/>
              <w:left w:w="28" w:type="dxa"/>
              <w:bottom w:w="28" w:type="dxa"/>
              <w:right w:w="28" w:type="dxa"/>
            </w:tcMar>
          </w:tcPr>
          <w:p w:rsidRPr="00A83547" w:rsidR="00F423CA" w:rsidP="00A83547" w:rsidRDefault="00F423CA">
            <w:pPr>
              <w:pStyle w:val="NoParagraphStyle"/>
              <w:spacing w:line="240" w:lineRule="auto"/>
              <w:jc w:val="right"/>
              <w:textAlignment w:val="auto"/>
              <w:rPr>
                <w:rFonts w:ascii="Arial" w:hAnsi="Arial" w:cs="Arial"/>
                <w:color w:val="auto"/>
                <w:sz w:val="12"/>
                <w:szCs w:val="12"/>
              </w:rPr>
            </w:pP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Creditors and accruals</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49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11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281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782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842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393 </w:t>
            </w:r>
          </w:p>
        </w:tc>
      </w:tr>
      <w:tr w:rsidRPr="00A83547" w:rsidR="00F423CA" w:rsidTr="00A83547">
        <w:trPr>
          <w:trHeight w:val="60"/>
        </w:trPr>
        <w:tc>
          <w:tcPr>
            <w:tcW w:w="1474" w:type="dxa"/>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Deposits payable</w:t>
            </w:r>
          </w:p>
        </w:tc>
        <w:tc>
          <w:tcPr>
            <w:tcW w:w="45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49 </w:t>
            </w:r>
          </w:p>
        </w:tc>
        <w:tc>
          <w:tcPr>
            <w:tcW w:w="45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37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10,200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10,136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16 </w:t>
            </w:r>
          </w:p>
        </w:tc>
        <w:tc>
          <w:tcPr>
            <w:tcW w:w="39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17 </w:t>
            </w:r>
          </w:p>
        </w:tc>
        <w:tc>
          <w:tcPr>
            <w:tcW w:w="623"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7,075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7,301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5,965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8,661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1,458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1,443 </w:t>
            </w:r>
          </w:p>
        </w:tc>
        <w:tc>
          <w:tcPr>
            <w:tcW w:w="567"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438 </w:t>
            </w:r>
          </w:p>
        </w:tc>
        <w:tc>
          <w:tcPr>
            <w:tcW w:w="566"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425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25,201 </w:t>
            </w:r>
          </w:p>
        </w:tc>
        <w:tc>
          <w:tcPr>
            <w:tcW w:w="624" w:type="dxa"/>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28,020 </w:t>
            </w:r>
          </w:p>
        </w:tc>
      </w:tr>
      <w:tr w:rsidRPr="00A83547" w:rsidR="00F423CA" w:rsidTr="00A83547">
        <w:trPr>
          <w:trHeight w:val="60"/>
        </w:trPr>
        <w:tc>
          <w:tcPr>
            <w:tcW w:w="147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w w:val="90"/>
                <w:sz w:val="12"/>
                <w:szCs w:val="12"/>
              </w:rPr>
              <w:t>Unearned revenue</w:t>
            </w:r>
          </w:p>
        </w:tc>
        <w:tc>
          <w:tcPr>
            <w:tcW w:w="45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 </w:t>
            </w:r>
          </w:p>
        </w:tc>
        <w:tc>
          <w:tcPr>
            <w:tcW w:w="45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242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3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39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3"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70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992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804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139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 </w:t>
            </w:r>
          </w:p>
        </w:tc>
        <w:tc>
          <w:tcPr>
            <w:tcW w:w="567"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23 </w:t>
            </w:r>
          </w:p>
        </w:tc>
        <w:tc>
          <w:tcPr>
            <w:tcW w:w="566"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0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1,469 </w:t>
            </w:r>
          </w:p>
        </w:tc>
        <w:tc>
          <w:tcPr>
            <w:tcW w:w="624" w:type="dxa"/>
            <w:tcBorders>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w w:val="90"/>
                <w:sz w:val="12"/>
                <w:szCs w:val="12"/>
              </w:rPr>
              <w:t xml:space="preserve">809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liabilities</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52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37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10,491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10,149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16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17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7,156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7,583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7,739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9,566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1,597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1,445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461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425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27,512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29,222 </w:t>
            </w:r>
          </w:p>
        </w:tc>
      </w:tr>
      <w:tr w:rsidRPr="00A83547" w:rsidR="00F423CA" w:rsidTr="00A83547">
        <w:trPr>
          <w:trHeight w:val="60"/>
        </w:trPr>
        <w:tc>
          <w:tcPr>
            <w:tcW w:w="147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rPr>
                <w:sz w:val="12"/>
                <w:szCs w:val="12"/>
              </w:rPr>
            </w:pPr>
            <w:r w:rsidRPr="00A83547">
              <w:rPr>
                <w:rStyle w:val="medium"/>
                <w:b/>
                <w:bCs/>
                <w:w w:val="90"/>
                <w:sz w:val="12"/>
                <w:szCs w:val="12"/>
              </w:rPr>
              <w:t>Total administered net assets</w:t>
            </w:r>
          </w:p>
        </w:tc>
        <w:tc>
          <w:tcPr>
            <w:tcW w:w="45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 </w:t>
            </w:r>
          </w:p>
        </w:tc>
        <w:tc>
          <w:tcPr>
            <w:tcW w:w="45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2,287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2,967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39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0 </w:t>
            </w:r>
          </w:p>
        </w:tc>
        <w:tc>
          <w:tcPr>
            <w:tcW w:w="623"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1,462,796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1,319,791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5,901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9,812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662,367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599,236 </w:t>
            </w:r>
          </w:p>
        </w:tc>
        <w:tc>
          <w:tcPr>
            <w:tcW w:w="567"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11,113 </w:t>
            </w:r>
          </w:p>
        </w:tc>
        <w:tc>
          <w:tcPr>
            <w:tcW w:w="566"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11,171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2,144,465 </w:t>
            </w:r>
          </w:p>
        </w:tc>
        <w:tc>
          <w:tcPr>
            <w:tcW w:w="624" w:type="dxa"/>
            <w:tcBorders>
              <w:top w:val="single" w:color="000000" w:sz="8" w:space="0"/>
              <w:bottom w:val="single" w:color="000000" w:sz="8" w:space="0"/>
            </w:tcBorders>
            <w:tcMar>
              <w:top w:w="28" w:type="dxa"/>
              <w:left w:w="28" w:type="dxa"/>
              <w:bottom w:w="28" w:type="dxa"/>
              <w:right w:w="28" w:type="dxa"/>
            </w:tcMar>
          </w:tcPr>
          <w:p w:rsidRPr="00A83547" w:rsidR="00F423CA" w:rsidP="00A83547" w:rsidRDefault="004E2DCE">
            <w:pPr>
              <w:pStyle w:val="bodytableLtable"/>
              <w:spacing w:after="0" w:line="240" w:lineRule="auto"/>
              <w:jc w:val="right"/>
              <w:rPr>
                <w:sz w:val="12"/>
                <w:szCs w:val="12"/>
              </w:rPr>
            </w:pPr>
            <w:r w:rsidRPr="00A83547">
              <w:rPr>
                <w:rStyle w:val="medium"/>
                <w:b/>
                <w:bCs/>
                <w:w w:val="90"/>
                <w:sz w:val="12"/>
                <w:szCs w:val="12"/>
              </w:rPr>
              <w:t xml:space="preserve">1,942,983 </w:t>
            </w:r>
          </w:p>
        </w:tc>
      </w:tr>
    </w:tbl>
    <w:p w:rsidR="00F423CA" w:rsidP="00A83547" w:rsidRDefault="004E2DCE">
      <w:pPr>
        <w:pStyle w:val="notestable"/>
        <w:spacing w:before="57"/>
        <w:ind w:left="426" w:hanging="284"/>
      </w:pPr>
      <w:r>
        <w:t>(</w:t>
      </w:r>
      <w:proofErr w:type="spellStart"/>
      <w:r>
        <w:t>i</w:t>
      </w:r>
      <w:proofErr w:type="spellEnd"/>
      <w:r>
        <w:t xml:space="preserve">)  The department implemented a new infringement management system on 1 January 2018 to coincide with legislative changes made under the </w:t>
      </w:r>
      <w:r>
        <w:rPr>
          <w:rStyle w:val="italic"/>
        </w:rPr>
        <w:t>Fines Reform Amendments Act 2017</w:t>
      </w:r>
      <w:r>
        <w:t>.  There have been no changes made to how the department accounts for fines in the financial statements.  The fines reform has resulted in the department recording additional court related fines and earlier recognition of some court fines, which has resulted in additional fines revenue from 1 January 2018.</w:t>
      </w:r>
    </w:p>
    <w:p w:rsidR="00F423CA" w:rsidRDefault="00F423CA">
      <w:pPr>
        <w:pStyle w:val="Bodycopy"/>
      </w:pPr>
    </w:p>
    <w:p w:rsidR="00A83547" w:rsidP="00B572FB" w:rsidRDefault="00A83547">
      <w:pPr>
        <w:pStyle w:val="Bodycopy"/>
      </w:pPr>
      <w:r>
        <w:br w:type="page"/>
      </w:r>
    </w:p>
    <w:p w:rsidR="00F423CA" w:rsidRDefault="004E2DCE">
      <w:pPr>
        <w:pStyle w:val="H2"/>
      </w:pPr>
      <w:bookmarkStart w:id="14" w:name="_Toc525290072"/>
      <w:r>
        <w:lastRenderedPageBreak/>
        <w:t>5. Key assets available to support output delivery</w:t>
      </w:r>
      <w:bookmarkEnd w:id="14"/>
    </w:p>
    <w:p w:rsidR="00F423CA" w:rsidRDefault="004E2DCE">
      <w:pPr>
        <w:pStyle w:val="H3"/>
      </w:pPr>
      <w:r>
        <w:t>5.1 Introduction</w:t>
      </w:r>
    </w:p>
    <w:p w:rsidR="00F423CA" w:rsidRDefault="004E2DCE">
      <w:pPr>
        <w:pStyle w:val="Bodycopy"/>
      </w:pPr>
      <w:r>
        <w:t>The department controls assets that are utilised in fulfilling its objectives and conducting its activities.  They represent the resources that have been entrusted to the department to be utilised for delivery of these outputs.</w:t>
      </w:r>
    </w:p>
    <w:p w:rsidR="00F423CA" w:rsidRDefault="004E2DCE">
      <w:pPr>
        <w:pStyle w:val="H3"/>
      </w:pPr>
      <w:r>
        <w:t>5.2 Property, plant and equipment</w:t>
      </w:r>
    </w:p>
    <w:tbl>
      <w:tblPr>
        <w:tblW w:w="0" w:type="auto"/>
        <w:tblInd w:w="57" w:type="dxa"/>
        <w:tblLayout w:type="fixed"/>
        <w:tblCellMar>
          <w:left w:w="0" w:type="dxa"/>
          <w:right w:w="0" w:type="dxa"/>
        </w:tblCellMar>
        <w:tblLook w:firstRow="0" w:lastRow="0" w:firstColumn="0" w:lastColumn="0" w:noHBand="0" w:noVBand="0" w:val="0000"/>
      </w:tblPr>
      <w:tblGrid>
        <w:gridCol w:w="3628"/>
        <w:gridCol w:w="907"/>
        <w:gridCol w:w="908"/>
        <w:gridCol w:w="907"/>
        <w:gridCol w:w="907"/>
        <w:gridCol w:w="907"/>
        <w:gridCol w:w="907"/>
      </w:tblGrid>
      <w:tr w:rsidRPr="00A7036C" w:rsidR="00F423CA" w:rsidTr="00A7036C">
        <w:trPr>
          <w:trHeight w:val="60"/>
          <w:tblHeader/>
        </w:trPr>
        <w:tc>
          <w:tcPr>
            <w:tcW w:w="3628" w:type="dxa"/>
            <w:tcBorders>
              <w:top w:val="dotted" w:color="FFFFFF" w:themeColor="background1"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5443" w:type="dxa"/>
            <w:gridSpan w:val="6"/>
            <w:tcBorders>
              <w:top w:val="dotted" w:color="FFFFFF" w:themeColor="background1"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 thousand)</w:t>
            </w:r>
          </w:p>
        </w:tc>
      </w:tr>
      <w:tr w:rsidRPr="00A7036C" w:rsidR="00F423CA" w:rsidTr="00A7036C">
        <w:trPr>
          <w:trHeight w:val="60"/>
          <w:tblHeader/>
        </w:trPr>
        <w:tc>
          <w:tcPr>
            <w:tcW w:w="3628"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1815" w:type="dxa"/>
            <w:gridSpan w:val="2"/>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Gross carrying amount</w:t>
            </w:r>
          </w:p>
        </w:tc>
        <w:tc>
          <w:tcPr>
            <w:tcW w:w="1814" w:type="dxa"/>
            <w:gridSpan w:val="2"/>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Accumulated depreciation</w:t>
            </w:r>
          </w:p>
        </w:tc>
        <w:tc>
          <w:tcPr>
            <w:tcW w:w="1814" w:type="dxa"/>
            <w:gridSpan w:val="2"/>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Net carrying</w:t>
            </w:r>
            <w:r w:rsidRPr="00A7036C">
              <w:rPr>
                <w:rStyle w:val="medium"/>
                <w:b/>
                <w:bCs/>
                <w:color w:val="542E8E"/>
              </w:rPr>
              <w:br/>
              <w:t>amount</w:t>
            </w:r>
          </w:p>
        </w:tc>
      </w:tr>
      <w:tr w:rsidRPr="00A7036C" w:rsidR="00F423CA" w:rsidTr="00A7036C">
        <w:trPr>
          <w:trHeight w:val="60"/>
          <w:tblHeader/>
        </w:trPr>
        <w:tc>
          <w:tcPr>
            <w:tcW w:w="3628"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2018</w:t>
            </w:r>
          </w:p>
        </w:tc>
        <w:tc>
          <w:tcPr>
            <w:tcW w:w="908"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2017</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2018</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2017</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2018</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2017</w:t>
            </w:r>
          </w:p>
        </w:tc>
      </w:tr>
      <w:tr w:rsidRPr="00A7036C" w:rsidR="00F423CA" w:rsidTr="00A7036C">
        <w:trPr>
          <w:trHeight w:val="60"/>
        </w:trPr>
        <w:tc>
          <w:tcPr>
            <w:tcW w:w="3628" w:type="dxa"/>
            <w:tcBorders>
              <w:top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t>Land at fair value</w:t>
            </w:r>
          </w:p>
        </w:tc>
        <w:tc>
          <w:tcPr>
            <w:tcW w:w="907" w:type="dxa"/>
            <w:tcBorders>
              <w:top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281,876 </w:t>
            </w:r>
          </w:p>
        </w:tc>
        <w:tc>
          <w:tcPr>
            <w:tcW w:w="908" w:type="dxa"/>
            <w:tcBorders>
              <w:top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280,463 </w:t>
            </w:r>
          </w:p>
        </w:tc>
        <w:tc>
          <w:tcPr>
            <w:tcW w:w="907" w:type="dxa"/>
            <w:tcBorders>
              <w:top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0 </w:t>
            </w:r>
          </w:p>
        </w:tc>
        <w:tc>
          <w:tcPr>
            <w:tcW w:w="907" w:type="dxa"/>
            <w:tcBorders>
              <w:top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0 </w:t>
            </w:r>
          </w:p>
        </w:tc>
        <w:tc>
          <w:tcPr>
            <w:tcW w:w="907" w:type="dxa"/>
            <w:tcBorders>
              <w:top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281,876 </w:t>
            </w:r>
          </w:p>
        </w:tc>
        <w:tc>
          <w:tcPr>
            <w:tcW w:w="907" w:type="dxa"/>
            <w:tcBorders>
              <w:top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280,463 </w:t>
            </w:r>
          </w:p>
        </w:tc>
      </w:tr>
      <w:tr w:rsidRPr="00A7036C" w:rsidR="00F423CA" w:rsidTr="00A7036C">
        <w:trPr>
          <w:trHeight w:val="60"/>
        </w:trPr>
        <w:tc>
          <w:tcPr>
            <w:tcW w:w="3628"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Buildings at fair value</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1,391,349 </w:t>
            </w:r>
          </w:p>
        </w:tc>
        <w:tc>
          <w:tcPr>
            <w:tcW w:w="908"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1,383,537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(96,238)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(46,520)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1,295,111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1,337,017 </w:t>
            </w:r>
          </w:p>
        </w:tc>
      </w:tr>
      <w:tr w:rsidRPr="00A7036C" w:rsidR="00F423CA" w:rsidTr="00A7036C">
        <w:trPr>
          <w:trHeight w:val="60"/>
        </w:trPr>
        <w:tc>
          <w:tcPr>
            <w:tcW w:w="3628"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Leased buildings at fair value</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1,158,659 </w:t>
            </w:r>
          </w:p>
        </w:tc>
        <w:tc>
          <w:tcPr>
            <w:tcW w:w="908"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414,191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(38,105)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(12,918)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1,120,554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401,273 </w:t>
            </w:r>
          </w:p>
        </w:tc>
      </w:tr>
      <w:tr w:rsidRPr="00A7036C" w:rsidR="00F423CA" w:rsidTr="00A7036C">
        <w:trPr>
          <w:trHeight w:val="60"/>
        </w:trPr>
        <w:tc>
          <w:tcPr>
            <w:tcW w:w="3628"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Leasehold improvements at fair value</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83,807 </w:t>
            </w:r>
          </w:p>
        </w:tc>
        <w:tc>
          <w:tcPr>
            <w:tcW w:w="908"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83,627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(57,585)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(50,627)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26,222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33,000 </w:t>
            </w:r>
          </w:p>
        </w:tc>
      </w:tr>
      <w:tr w:rsidRPr="00A7036C" w:rsidR="00F423CA" w:rsidTr="00A7036C">
        <w:trPr>
          <w:trHeight w:val="60"/>
        </w:trPr>
        <w:tc>
          <w:tcPr>
            <w:tcW w:w="3628"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Plant and equipment at fair value</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261,613 </w:t>
            </w:r>
          </w:p>
        </w:tc>
        <w:tc>
          <w:tcPr>
            <w:tcW w:w="908"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249,735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(145,134)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(124,243)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116,479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125,492 </w:t>
            </w:r>
          </w:p>
        </w:tc>
      </w:tr>
      <w:tr w:rsidRPr="00A7036C" w:rsidR="00F423CA" w:rsidTr="00A7036C">
        <w:trPr>
          <w:trHeight w:val="60"/>
        </w:trPr>
        <w:tc>
          <w:tcPr>
            <w:tcW w:w="3628"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Leased plant and equipment at fair value</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93,730 </w:t>
            </w:r>
          </w:p>
        </w:tc>
        <w:tc>
          <w:tcPr>
            <w:tcW w:w="908"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24,732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(11,418)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(9,811)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82,312 </w:t>
            </w:r>
          </w:p>
        </w:tc>
        <w:tc>
          <w:tcPr>
            <w:tcW w:w="907" w:type="dxa"/>
            <w:tcMar>
              <w:top w:w="28" w:type="dxa"/>
              <w:left w:w="57" w:type="dxa"/>
              <w:bottom w:w="28" w:type="dxa"/>
              <w:right w:w="57" w:type="dxa"/>
            </w:tcMar>
          </w:tcPr>
          <w:p w:rsidRPr="00A7036C" w:rsidR="00F423CA" w:rsidP="00A7036C" w:rsidRDefault="004E2DCE">
            <w:pPr>
              <w:pStyle w:val="bodytableRtable"/>
              <w:spacing w:after="0" w:line="240" w:lineRule="auto"/>
            </w:pPr>
            <w:r w:rsidRPr="00A7036C">
              <w:t xml:space="preserve">14,921 </w:t>
            </w:r>
          </w:p>
        </w:tc>
      </w:tr>
      <w:tr w:rsidRPr="00A7036C" w:rsidR="00F423CA" w:rsidTr="00A7036C">
        <w:trPr>
          <w:trHeight w:val="60"/>
        </w:trPr>
        <w:tc>
          <w:tcPr>
            <w:tcW w:w="3628"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t>Assets under construction at cost</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392,671 </w:t>
            </w:r>
          </w:p>
        </w:tc>
        <w:tc>
          <w:tcPr>
            <w:tcW w:w="908" w:type="dxa"/>
            <w:tcBorders>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272,091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0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0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392,671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t xml:space="preserve">272,091 </w:t>
            </w:r>
          </w:p>
        </w:tc>
      </w:tr>
      <w:tr w:rsidRPr="00A7036C" w:rsidR="00F423CA" w:rsidTr="00A7036C">
        <w:trPr>
          <w:trHeight w:val="60"/>
        </w:trPr>
        <w:tc>
          <w:tcPr>
            <w:tcW w:w="3628"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rPr>
                <w:rStyle w:val="medium"/>
                <w:b/>
                <w:bCs/>
              </w:rPr>
              <w:t>Total</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rPr>
                <w:rStyle w:val="medium"/>
                <w:b/>
                <w:bCs/>
              </w:rPr>
              <w:t xml:space="preserve">3,663,705 </w:t>
            </w:r>
          </w:p>
        </w:tc>
        <w:tc>
          <w:tcPr>
            <w:tcW w:w="908"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rPr>
                <w:rStyle w:val="medium"/>
                <w:b/>
                <w:bCs/>
              </w:rPr>
              <w:t xml:space="preserve">2,708,376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rPr>
                <w:rStyle w:val="medium"/>
                <w:b/>
                <w:bCs/>
              </w:rPr>
              <w:t xml:space="preserve">(348,480)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rPr>
                <w:rStyle w:val="medium"/>
                <w:b/>
                <w:bCs/>
              </w:rPr>
              <w:t xml:space="preserve">(244,119)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rPr>
                <w:rStyle w:val="medium"/>
                <w:b/>
                <w:bCs/>
              </w:rPr>
              <w:t xml:space="preserve">3,315,225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Rtable"/>
              <w:spacing w:after="0" w:line="240" w:lineRule="auto"/>
            </w:pPr>
            <w:r w:rsidRPr="00A7036C">
              <w:rPr>
                <w:rStyle w:val="medium"/>
                <w:b/>
                <w:bCs/>
              </w:rPr>
              <w:t xml:space="preserve">2,464,257 </w:t>
            </w:r>
          </w:p>
        </w:tc>
      </w:tr>
    </w:tbl>
    <w:p w:rsidRPr="00A7036C" w:rsidR="00F423CA" w:rsidP="00A7036C" w:rsidRDefault="00F423CA">
      <w:pPr>
        <w:pStyle w:val="Bodycopy"/>
      </w:pPr>
    </w:p>
    <w:p w:rsidR="00F423CA" w:rsidRDefault="004E2DCE">
      <w:pPr>
        <w:pStyle w:val="Bodycopy"/>
      </w:pPr>
      <w:r>
        <w:rPr>
          <w:rStyle w:val="medium"/>
          <w:b/>
          <w:bCs/>
        </w:rPr>
        <w:t>Initial recognition:</w:t>
      </w:r>
      <w:r>
        <w:t xml:space="preserve"> Items of property, plant and equipment are measured initially at cost.  Where an asset is acquired for no or nominal cost, the cost is its fair value at the date of acquisition.  Assets transferred as part of a machinery of government change are transferred at their carrying amount.</w:t>
      </w:r>
    </w:p>
    <w:p w:rsidR="00F423CA" w:rsidRDefault="004E2DCE">
      <w:pPr>
        <w:pStyle w:val="Bodycopy"/>
        <w:rPr>
          <w:spacing w:val="-2"/>
        </w:rPr>
      </w:pPr>
      <w:r>
        <w:rPr>
          <w:spacing w:val="-2"/>
        </w:rPr>
        <w:t>The costs of property, plant and equipment under construction includes the cost of all materials used in construction, direct labour on the project and an appropriate proportion of variable and fixed overheads.</w:t>
      </w:r>
    </w:p>
    <w:p w:rsidR="00F423CA" w:rsidRDefault="004E2DCE">
      <w:pPr>
        <w:pStyle w:val="Bodycopy"/>
      </w:pPr>
      <w:r>
        <w:t>The cost of leased property, plant and equipment is measured at amounts equal to the fair value of the leased asset or, if lower, the present value of the minimum lease payments, each determined at the inception of the lease.  Certain assets acquired under finance leases may form part of a service concession arrangement (public private partnership).</w:t>
      </w:r>
    </w:p>
    <w:p w:rsidR="00F423CA" w:rsidRDefault="004E2DCE">
      <w:pPr>
        <w:pStyle w:val="Bodycopy"/>
      </w:pPr>
      <w:r>
        <w:t xml:space="preserve">The carrying amount of leased buildings at fair value and leased plant and equipment at fair value has increased due to the capitalisation of the Ravenhall Correctional Centre on 2 November 2017. </w:t>
      </w:r>
    </w:p>
    <w:p w:rsidR="00F423CA" w:rsidRDefault="004E2DCE">
      <w:pPr>
        <w:pStyle w:val="Bodycopy"/>
      </w:pPr>
      <w:r>
        <w:rPr>
          <w:rStyle w:val="medium"/>
          <w:b/>
          <w:bCs/>
        </w:rPr>
        <w:t>Subsequent measurement:</w:t>
      </w:r>
      <w:r>
        <w:t xml:space="preserve"> Property, plant and equipment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Refer to note 8.4 for additional information on fair value determination of property, plant and equipment.</w:t>
      </w:r>
    </w:p>
    <w:p w:rsidR="00F423CA" w:rsidRDefault="004E2DCE">
      <w:pPr>
        <w:pStyle w:val="H4"/>
      </w:pPr>
      <w:r>
        <w:t>5.2.1 Depreciation and impairment</w:t>
      </w:r>
    </w:p>
    <w:p w:rsidR="00F423CA" w:rsidRDefault="004E2DCE">
      <w:pPr>
        <w:pStyle w:val="H4A"/>
      </w:pPr>
      <w:r>
        <w:t>Depreciation</w:t>
      </w:r>
    </w:p>
    <w:tbl>
      <w:tblPr>
        <w:tblW w:w="0" w:type="auto"/>
        <w:tblInd w:w="57" w:type="dxa"/>
        <w:tblLayout w:type="fixed"/>
        <w:tblCellMar>
          <w:left w:w="0" w:type="dxa"/>
          <w:right w:w="0" w:type="dxa"/>
        </w:tblCellMar>
        <w:tblLook w:firstRow="0" w:lastRow="0" w:firstColumn="0" w:lastColumn="0" w:noHBand="0" w:noVBand="0" w:val="0000"/>
      </w:tblPr>
      <w:tblGrid>
        <w:gridCol w:w="5659"/>
        <w:gridCol w:w="1701"/>
        <w:gridCol w:w="1701"/>
      </w:tblGrid>
      <w:tr w:rsidRPr="00A7036C" w:rsidR="00F423CA" w:rsidTr="00A7036C">
        <w:trPr>
          <w:trHeight w:val="60"/>
          <w:tblHeader/>
        </w:trPr>
        <w:tc>
          <w:tcPr>
            <w:tcW w:w="5659" w:type="dxa"/>
            <w:tcBorders>
              <w:top w:val="dotted" w:color="000000"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 thousand)</w:t>
            </w:r>
          </w:p>
        </w:tc>
      </w:tr>
      <w:tr w:rsidRPr="00A7036C" w:rsidR="00F423CA" w:rsidTr="00A7036C">
        <w:trPr>
          <w:trHeight w:val="60"/>
          <w:tblHeader/>
        </w:trPr>
        <w:tc>
          <w:tcPr>
            <w:tcW w:w="5659"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2018</w:t>
            </w:r>
          </w:p>
        </w:tc>
        <w:tc>
          <w:tcPr>
            <w:tcW w:w="1701"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2017</w:t>
            </w:r>
          </w:p>
        </w:tc>
      </w:tr>
      <w:tr w:rsidRPr="00A7036C" w:rsidR="00F423CA" w:rsidTr="00A7036C">
        <w:trPr>
          <w:trHeight w:val="60"/>
        </w:trPr>
        <w:tc>
          <w:tcPr>
            <w:tcW w:w="5659" w:type="dxa"/>
            <w:tcBorders>
              <w:top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t>Buildings</w:t>
            </w:r>
          </w:p>
        </w:tc>
        <w:tc>
          <w:tcPr>
            <w:tcW w:w="1701" w:type="dxa"/>
            <w:tcBorders>
              <w:top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49,871 </w:t>
            </w:r>
          </w:p>
        </w:tc>
        <w:tc>
          <w:tcPr>
            <w:tcW w:w="1701" w:type="dxa"/>
            <w:tcBorders>
              <w:top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44,097 </w:t>
            </w:r>
          </w:p>
        </w:tc>
      </w:tr>
      <w:tr w:rsidRPr="00A7036C" w:rsidR="00F423CA" w:rsidTr="00A7036C">
        <w:trPr>
          <w:trHeight w:val="60"/>
        </w:trPr>
        <w:tc>
          <w:tcPr>
            <w:tcW w:w="5659"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Leased buildings</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25,058 </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15,326 </w:t>
            </w:r>
          </w:p>
        </w:tc>
      </w:tr>
      <w:tr w:rsidRPr="00A7036C" w:rsidR="00F423CA" w:rsidTr="00A7036C">
        <w:trPr>
          <w:trHeight w:val="60"/>
        </w:trPr>
        <w:tc>
          <w:tcPr>
            <w:tcW w:w="5659"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Leasehold improvements</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6,958 </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6,686 </w:t>
            </w:r>
          </w:p>
        </w:tc>
      </w:tr>
      <w:tr w:rsidRPr="00A7036C" w:rsidR="00F423CA" w:rsidTr="00A7036C">
        <w:trPr>
          <w:trHeight w:val="60"/>
        </w:trPr>
        <w:tc>
          <w:tcPr>
            <w:tcW w:w="5659"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Plant and equipment</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22,727 </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21,301 </w:t>
            </w:r>
          </w:p>
        </w:tc>
      </w:tr>
      <w:tr w:rsidRPr="00A7036C" w:rsidR="00F423CA" w:rsidTr="00A7036C">
        <w:trPr>
          <w:trHeight w:val="60"/>
        </w:trPr>
        <w:tc>
          <w:tcPr>
            <w:tcW w:w="5659"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Leased plant and equipment</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7,029 </w:t>
            </w:r>
          </w:p>
        </w:tc>
        <w:tc>
          <w:tcPr>
            <w:tcW w:w="1701"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5,102 </w:t>
            </w:r>
          </w:p>
        </w:tc>
      </w:tr>
      <w:tr w:rsidRPr="00A7036C" w:rsidR="00F423CA" w:rsidTr="00A7036C">
        <w:trPr>
          <w:trHeight w:val="60"/>
        </w:trPr>
        <w:tc>
          <w:tcPr>
            <w:tcW w:w="5659"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t>Software</w:t>
            </w:r>
          </w:p>
        </w:tc>
        <w:tc>
          <w:tcPr>
            <w:tcW w:w="1701"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6,950 </w:t>
            </w:r>
          </w:p>
        </w:tc>
        <w:tc>
          <w:tcPr>
            <w:tcW w:w="1701"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4,581 </w:t>
            </w:r>
          </w:p>
        </w:tc>
      </w:tr>
      <w:tr w:rsidRPr="00A7036C" w:rsidR="00F423CA" w:rsidTr="00A7036C">
        <w:trPr>
          <w:trHeight w:val="60"/>
        </w:trPr>
        <w:tc>
          <w:tcPr>
            <w:tcW w:w="5659"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rPr>
                <w:rStyle w:val="bold"/>
              </w:rPr>
              <w:t>Total</w:t>
            </w:r>
          </w:p>
        </w:tc>
        <w:tc>
          <w:tcPr>
            <w:tcW w:w="1701"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bold"/>
              </w:rPr>
              <w:t xml:space="preserve">118,593 </w:t>
            </w:r>
          </w:p>
        </w:tc>
        <w:tc>
          <w:tcPr>
            <w:tcW w:w="1701"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bold"/>
              </w:rPr>
              <w:t xml:space="preserve">97,093 </w:t>
            </w:r>
          </w:p>
        </w:tc>
      </w:tr>
    </w:tbl>
    <w:p w:rsidRPr="00362A15" w:rsidR="00F423CA" w:rsidP="00362A15" w:rsidRDefault="00F423CA">
      <w:pPr>
        <w:pStyle w:val="Bodycopy"/>
      </w:pPr>
    </w:p>
    <w:p w:rsidRPr="00D670CB" w:rsidR="00F423CA" w:rsidP="00D670CB" w:rsidRDefault="004E2DCE">
      <w:pPr>
        <w:pStyle w:val="Bodycopy"/>
      </w:pPr>
      <w:r w:rsidRPr="00D670CB">
        <w:t>All property, plant and equipment and intangible assets that have finite useful lives are depreciated.  Exceptions to this rule include items under operating leases, assets held for sale, and land.</w:t>
      </w:r>
    </w:p>
    <w:p w:rsidR="00A7036C" w:rsidRDefault="00A7036C">
      <w:pPr>
        <w:rPr>
          <w:rFonts w:ascii="Arial" w:hAnsi="Arial" w:cs="Arial"/>
          <w:color w:val="000000"/>
          <w:sz w:val="20"/>
          <w:szCs w:val="20"/>
          <w:lang w:val="en-GB"/>
        </w:rPr>
      </w:pPr>
      <w:r>
        <w:rPr>
          <w:sz w:val="20"/>
          <w:szCs w:val="20"/>
        </w:rPr>
        <w:br w:type="page"/>
      </w:r>
    </w:p>
    <w:p w:rsidRPr="00D670CB" w:rsidR="00F423CA" w:rsidP="00D670CB" w:rsidRDefault="004E2DCE">
      <w:pPr>
        <w:pStyle w:val="Bodycopy"/>
      </w:pPr>
      <w:r w:rsidRPr="00D670CB">
        <w:lastRenderedPageBreak/>
        <w:t xml:space="preserve">Depreciation is calculated on a </w:t>
      </w:r>
      <w:proofErr w:type="gramStart"/>
      <w:r w:rsidRPr="00D670CB">
        <w:t>straight line</w:t>
      </w:r>
      <w:proofErr w:type="gramEnd"/>
      <w:r w:rsidRPr="00D670CB">
        <w:t xml:space="preserve"> basis, at rates that allocate the asset’s value, less any estimated residual value, o</w:t>
      </w:r>
      <w:r w:rsidRPr="00D670CB" w:rsidR="00D670CB">
        <w:t xml:space="preserve">ver its estimated useful life. </w:t>
      </w:r>
      <w:r w:rsidRPr="00D670CB">
        <w:t>Typical estimated useful lives for the different asset classes for current and prior years are included in the table below:</w:t>
      </w:r>
    </w:p>
    <w:tbl>
      <w:tblPr>
        <w:tblW w:w="0" w:type="auto"/>
        <w:tblInd w:w="57" w:type="dxa"/>
        <w:tblLayout w:type="fixed"/>
        <w:tblCellMar>
          <w:left w:w="0" w:type="dxa"/>
          <w:right w:w="0" w:type="dxa"/>
        </w:tblCellMar>
        <w:tblLook w:firstRow="0" w:lastRow="0" w:firstColumn="0" w:lastColumn="0" w:noHBand="0" w:noVBand="0" w:val="0000"/>
      </w:tblPr>
      <w:tblGrid>
        <w:gridCol w:w="7417"/>
        <w:gridCol w:w="1644"/>
      </w:tblGrid>
      <w:tr w:rsidRPr="00A7036C" w:rsidR="00F423CA" w:rsidTr="00A7036C">
        <w:trPr>
          <w:trHeight w:val="60"/>
          <w:tblHeader/>
        </w:trPr>
        <w:tc>
          <w:tcPr>
            <w:tcW w:w="7417" w:type="dxa"/>
            <w:tcBorders>
              <w:top w:val="dotted" w:color="000000"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1644" w:type="dxa"/>
            <w:tcBorders>
              <w:top w:val="dotted" w:color="000000"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(Years)</w:t>
            </w:r>
          </w:p>
        </w:tc>
      </w:tr>
      <w:tr w:rsidRPr="00A7036C" w:rsidR="00F423CA" w:rsidTr="00A7036C">
        <w:trPr>
          <w:trHeight w:val="60"/>
          <w:tblHeader/>
        </w:trPr>
        <w:tc>
          <w:tcPr>
            <w:tcW w:w="741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1644"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Nominal useful life</w:t>
            </w:r>
          </w:p>
        </w:tc>
      </w:tr>
      <w:tr w:rsidRPr="00A7036C" w:rsidR="00F423CA" w:rsidTr="00A7036C">
        <w:trPr>
          <w:trHeight w:val="60"/>
        </w:trPr>
        <w:tc>
          <w:tcPr>
            <w:tcW w:w="7417" w:type="dxa"/>
            <w:tcBorders>
              <w:top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t>Buildings (owned and leased)</w:t>
            </w:r>
          </w:p>
        </w:tc>
        <w:tc>
          <w:tcPr>
            <w:tcW w:w="1644" w:type="dxa"/>
            <w:tcBorders>
              <w:top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25 to 60</w:t>
            </w:r>
          </w:p>
        </w:tc>
      </w:tr>
      <w:tr w:rsidRPr="00A7036C" w:rsidR="00F423CA" w:rsidTr="00A7036C">
        <w:trPr>
          <w:trHeight w:val="60"/>
        </w:trPr>
        <w:tc>
          <w:tcPr>
            <w:tcW w:w="74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Leasehold improvements</w:t>
            </w:r>
          </w:p>
        </w:tc>
        <w:tc>
          <w:tcPr>
            <w:tcW w:w="1644"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3 to 20</w:t>
            </w:r>
          </w:p>
        </w:tc>
      </w:tr>
      <w:tr w:rsidRPr="00A7036C" w:rsidR="00F423CA" w:rsidTr="00A7036C">
        <w:trPr>
          <w:trHeight w:val="60"/>
        </w:trPr>
        <w:tc>
          <w:tcPr>
            <w:tcW w:w="74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Plant and equipment (owned and leased)</w:t>
            </w:r>
          </w:p>
        </w:tc>
        <w:tc>
          <w:tcPr>
            <w:tcW w:w="1644"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5 to 21</w:t>
            </w:r>
          </w:p>
        </w:tc>
      </w:tr>
      <w:tr w:rsidRPr="00A7036C" w:rsidR="00F423CA" w:rsidTr="00A7036C">
        <w:trPr>
          <w:trHeight w:val="60"/>
        </w:trPr>
        <w:tc>
          <w:tcPr>
            <w:tcW w:w="7417"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t>Software</w:t>
            </w:r>
          </w:p>
        </w:tc>
        <w:tc>
          <w:tcPr>
            <w:tcW w:w="1644"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2 to 7</w:t>
            </w:r>
          </w:p>
        </w:tc>
      </w:tr>
    </w:tbl>
    <w:p w:rsidRPr="00362A15" w:rsidR="00F423CA" w:rsidP="00362A15" w:rsidRDefault="00F423CA">
      <w:pPr>
        <w:pStyle w:val="Bodycopy"/>
      </w:pPr>
    </w:p>
    <w:p w:rsidR="00F423CA" w:rsidP="00D670CB" w:rsidRDefault="004E2DCE">
      <w:pPr>
        <w:pStyle w:val="Bodycopy"/>
      </w:pPr>
      <w:r>
        <w:t>The estimated useful lives, residual values and depreciation method are reviewed at the end of each annual reporting period, and adjustments made where appropriate.</w:t>
      </w:r>
    </w:p>
    <w:p w:rsidR="00F423CA" w:rsidP="00D670CB" w:rsidRDefault="004E2DCE">
      <w:pPr>
        <w:pStyle w:val="Bodycopy"/>
      </w:pPr>
      <w:r>
        <w:t>Leasehold improvements are depreciated over the shorter of the lease term and their useful lives.</w:t>
      </w:r>
    </w:p>
    <w:p w:rsidR="00F423CA" w:rsidP="00D670CB" w:rsidRDefault="004E2DCE">
      <w:pPr>
        <w:pStyle w:val="Bodycopy"/>
      </w:pPr>
      <w:r>
        <w:t>Land and other assets with an indefinite useful life are not depreciated.  Depreciation is not recognised in respect of these assets because their service potential has not, in any material sense, been consumed during the reporting period.</w:t>
      </w:r>
    </w:p>
    <w:p w:rsidR="00F423CA" w:rsidP="00D670CB" w:rsidRDefault="004E2DCE">
      <w:pPr>
        <w:pStyle w:val="Bodycopy"/>
      </w:pPr>
      <w:r>
        <w:t>Impairment</w:t>
      </w:r>
    </w:p>
    <w:p w:rsidR="00F423CA" w:rsidP="00D670CB" w:rsidRDefault="004E2DCE">
      <w:pPr>
        <w:pStyle w:val="Bodycopy"/>
      </w:pPr>
      <w:r>
        <w:t>Property, plant and equipment and intangible assets are tested annually for impairment and whenever there is an indication that the asset may be impaired.</w:t>
      </w:r>
    </w:p>
    <w:p w:rsidR="00F423CA" w:rsidP="00D670CB" w:rsidRDefault="004E2DCE">
      <w:pPr>
        <w:pStyle w:val="Bodycopy"/>
      </w:pPr>
      <w:r>
        <w:t>The assets concerned are tested as to whether their carrying value exceeds their recoverable amount.  Where an asset’s carrying value exceeds its recoverable amount, the difference is written off as an ‘other economic flow’ (refer to note 9.3), except to the extent that it can be debited to an asset revaluation surplus amount applicable to that class of asset (refer to note 9.4).</w:t>
      </w:r>
    </w:p>
    <w:p w:rsidR="00F423CA" w:rsidP="00D670CB" w:rsidRDefault="004E2DCE">
      <w:pPr>
        <w:pStyle w:val="Bodycopy"/>
      </w:pPr>
      <w:r>
        <w:t xml:space="preserve">If there is an indication that there has been a reversal in impairment, the carrying amount shall be increased to its recoverable amount.  </w:t>
      </w:r>
      <w:proofErr w:type="gramStart"/>
      <w:r>
        <w:t>However</w:t>
      </w:r>
      <w:proofErr w:type="gramEnd"/>
      <w:r>
        <w:t xml:space="preserve"> this reversal should not increase the asset’s carrying amount above what would have been determined, net of depreciation, if no impairment loss had been recognised in prior years.</w:t>
      </w:r>
    </w:p>
    <w:p w:rsidR="00F423CA" w:rsidP="00D670CB" w:rsidRDefault="004E2DCE">
      <w:pPr>
        <w:pStyle w:val="Bodycopy"/>
      </w:pPr>
      <w:r>
        <w:t>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rsidR="00F423CA" w:rsidRDefault="004E2DCE">
      <w:pPr>
        <w:pStyle w:val="H4"/>
      </w:pPr>
      <w:r>
        <w:t>5.2.2 Carrying values by ‘purpose’ groups</w:t>
      </w:r>
    </w:p>
    <w:tbl>
      <w:tblPr>
        <w:tblW w:w="0" w:type="auto"/>
        <w:tblInd w:w="57" w:type="dxa"/>
        <w:tblLayout w:type="fixed"/>
        <w:tblCellMar>
          <w:left w:w="0" w:type="dxa"/>
          <w:right w:w="0" w:type="dxa"/>
        </w:tblCellMar>
        <w:tblLook w:firstRow="0" w:lastRow="0" w:firstColumn="0" w:lastColumn="0" w:noHBand="0" w:noVBand="0" w:val="0000"/>
      </w:tblPr>
      <w:tblGrid>
        <w:gridCol w:w="3617"/>
        <w:gridCol w:w="907"/>
        <w:gridCol w:w="907"/>
        <w:gridCol w:w="907"/>
        <w:gridCol w:w="907"/>
        <w:gridCol w:w="907"/>
        <w:gridCol w:w="908"/>
      </w:tblGrid>
      <w:tr w:rsidRPr="00A7036C" w:rsidR="00F423CA" w:rsidTr="00A7036C">
        <w:trPr>
          <w:trHeight w:val="60"/>
          <w:tblHeader/>
        </w:trPr>
        <w:tc>
          <w:tcPr>
            <w:tcW w:w="3617" w:type="dxa"/>
            <w:tcBorders>
              <w:top w:val="dotted" w:color="000000"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5443" w:type="dxa"/>
            <w:gridSpan w:val="6"/>
            <w:tcBorders>
              <w:top w:val="dotted" w:color="000000"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 thousand)</w:t>
            </w:r>
          </w:p>
        </w:tc>
      </w:tr>
      <w:tr w:rsidRPr="00A7036C" w:rsidR="00F423CA" w:rsidTr="00A7036C">
        <w:trPr>
          <w:trHeight w:val="60"/>
          <w:tblHeader/>
        </w:trPr>
        <w:tc>
          <w:tcPr>
            <w:tcW w:w="361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1814" w:type="dxa"/>
            <w:gridSpan w:val="2"/>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Public safety and environment</w:t>
            </w:r>
          </w:p>
        </w:tc>
        <w:tc>
          <w:tcPr>
            <w:tcW w:w="1814" w:type="dxa"/>
            <w:gridSpan w:val="2"/>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Public</w:t>
            </w:r>
            <w:r w:rsidRPr="00A7036C">
              <w:rPr>
                <w:rStyle w:val="medium"/>
                <w:b/>
                <w:bCs/>
                <w:color w:val="542E8E"/>
              </w:rPr>
              <w:br/>
              <w:t>administration</w:t>
            </w:r>
          </w:p>
        </w:tc>
        <w:tc>
          <w:tcPr>
            <w:tcW w:w="1815" w:type="dxa"/>
            <w:gridSpan w:val="2"/>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Total</w:t>
            </w:r>
          </w:p>
        </w:tc>
      </w:tr>
      <w:tr w:rsidRPr="00A7036C" w:rsidR="00F423CA" w:rsidTr="00A7036C">
        <w:trPr>
          <w:trHeight w:val="60"/>
          <w:tblHeader/>
        </w:trPr>
        <w:tc>
          <w:tcPr>
            <w:tcW w:w="361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2018</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2017</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2018</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2017</w:t>
            </w:r>
          </w:p>
        </w:tc>
        <w:tc>
          <w:tcPr>
            <w:tcW w:w="907"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2018</w:t>
            </w:r>
          </w:p>
        </w:tc>
        <w:tc>
          <w:tcPr>
            <w:tcW w:w="908" w:type="dxa"/>
            <w:tcBorders>
              <w:top w:val="single" w:color="542E8E" w:sz="6" w:space="0"/>
              <w:bottom w:val="single" w:color="542E8E" w:sz="6" w:space="0"/>
            </w:tcBorders>
            <w:shd w:val="solid" w:color="FFFFFF" w:fill="auto"/>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color w:val="542E8E"/>
              </w:rPr>
              <w:t>2017</w:t>
            </w:r>
          </w:p>
        </w:tc>
      </w:tr>
      <w:tr w:rsidRPr="00A7036C" w:rsidR="00F423CA" w:rsidTr="00A7036C">
        <w:trPr>
          <w:trHeight w:val="60"/>
        </w:trPr>
        <w:tc>
          <w:tcPr>
            <w:tcW w:w="3617" w:type="dxa"/>
            <w:tcBorders>
              <w:top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rPr>
                <w:rStyle w:val="medium"/>
                <w:b/>
                <w:bCs/>
              </w:rPr>
              <w:t>Nature based classification</w:t>
            </w:r>
          </w:p>
        </w:tc>
        <w:tc>
          <w:tcPr>
            <w:tcW w:w="907" w:type="dxa"/>
            <w:tcBorders>
              <w:top w:val="single" w:color="000000" w:sz="8" w:space="0"/>
            </w:tcBorders>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907" w:type="dxa"/>
            <w:tcBorders>
              <w:top w:val="single" w:color="000000" w:sz="8" w:space="0"/>
            </w:tcBorders>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907" w:type="dxa"/>
            <w:tcBorders>
              <w:top w:val="single" w:color="000000" w:sz="8" w:space="0"/>
            </w:tcBorders>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907" w:type="dxa"/>
            <w:tcBorders>
              <w:top w:val="single" w:color="000000" w:sz="8" w:space="0"/>
            </w:tcBorders>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907" w:type="dxa"/>
            <w:tcBorders>
              <w:top w:val="single" w:color="000000" w:sz="8" w:space="0"/>
            </w:tcBorders>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c>
          <w:tcPr>
            <w:tcW w:w="908" w:type="dxa"/>
            <w:tcBorders>
              <w:top w:val="single" w:color="000000" w:sz="8" w:space="0"/>
            </w:tcBorders>
            <w:tcMar>
              <w:top w:w="57" w:type="dxa"/>
              <w:left w:w="57" w:type="dxa"/>
              <w:bottom w:w="57" w:type="dxa"/>
              <w:right w:w="57" w:type="dxa"/>
            </w:tcMar>
          </w:tcPr>
          <w:p w:rsidRPr="00A7036C" w:rsidR="00F423CA" w:rsidP="00A7036C" w:rsidRDefault="00F423CA">
            <w:pPr>
              <w:pStyle w:val="NoParagraphStyle"/>
              <w:spacing w:line="240" w:lineRule="auto"/>
              <w:textAlignment w:val="auto"/>
              <w:rPr>
                <w:rFonts w:ascii="Arial" w:hAnsi="Arial" w:cs="Arial"/>
                <w:color w:val="auto"/>
                <w:sz w:val="16"/>
                <w:szCs w:val="16"/>
              </w:rPr>
            </w:pPr>
          </w:p>
        </w:tc>
      </w:tr>
      <w:tr w:rsidRPr="00A7036C" w:rsidR="00F423CA" w:rsidTr="00362A15">
        <w:trPr>
          <w:trHeight w:val="60"/>
        </w:trPr>
        <w:tc>
          <w:tcPr>
            <w:tcW w:w="36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Land at fair value</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281,749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280,383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127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80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281,876 </w:t>
            </w:r>
          </w:p>
        </w:tc>
        <w:tc>
          <w:tcPr>
            <w:tcW w:w="908"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280,463 </w:t>
            </w:r>
          </w:p>
        </w:tc>
      </w:tr>
      <w:tr w:rsidRPr="00A7036C" w:rsidR="00F423CA" w:rsidTr="00362A15">
        <w:trPr>
          <w:trHeight w:val="60"/>
        </w:trPr>
        <w:tc>
          <w:tcPr>
            <w:tcW w:w="36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Buildings at fair value</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1,295,111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1,337,017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0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0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1,295,111 </w:t>
            </w:r>
          </w:p>
        </w:tc>
        <w:tc>
          <w:tcPr>
            <w:tcW w:w="908"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1,337,017 </w:t>
            </w:r>
          </w:p>
        </w:tc>
      </w:tr>
      <w:tr w:rsidRPr="00A7036C" w:rsidR="00F423CA" w:rsidTr="00362A15">
        <w:trPr>
          <w:trHeight w:val="60"/>
        </w:trPr>
        <w:tc>
          <w:tcPr>
            <w:tcW w:w="36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Leased buildings at fair value</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1,120,554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401,273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0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0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1,120,554 </w:t>
            </w:r>
          </w:p>
        </w:tc>
        <w:tc>
          <w:tcPr>
            <w:tcW w:w="908"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401,273 </w:t>
            </w:r>
          </w:p>
        </w:tc>
      </w:tr>
      <w:tr w:rsidRPr="00A7036C" w:rsidR="00F423CA" w:rsidTr="00362A15">
        <w:trPr>
          <w:trHeight w:val="60"/>
        </w:trPr>
        <w:tc>
          <w:tcPr>
            <w:tcW w:w="36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Leasehold improvements at fair value</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25,721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32,721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501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279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26,222 </w:t>
            </w:r>
          </w:p>
        </w:tc>
        <w:tc>
          <w:tcPr>
            <w:tcW w:w="908"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33,000 </w:t>
            </w:r>
          </w:p>
        </w:tc>
      </w:tr>
      <w:tr w:rsidRPr="00A7036C" w:rsidR="00F423CA" w:rsidTr="00362A15">
        <w:trPr>
          <w:trHeight w:val="60"/>
        </w:trPr>
        <w:tc>
          <w:tcPr>
            <w:tcW w:w="36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Plant and equipment at fair value</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116,432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125,464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47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28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116,479 </w:t>
            </w:r>
          </w:p>
        </w:tc>
        <w:tc>
          <w:tcPr>
            <w:tcW w:w="908"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125,492 </w:t>
            </w:r>
          </w:p>
        </w:tc>
      </w:tr>
      <w:tr w:rsidRPr="00A7036C" w:rsidR="00F423CA" w:rsidTr="00362A15">
        <w:trPr>
          <w:trHeight w:val="60"/>
        </w:trPr>
        <w:tc>
          <w:tcPr>
            <w:tcW w:w="3617" w:type="dxa"/>
            <w:tcMar>
              <w:top w:w="28" w:type="dxa"/>
              <w:left w:w="57" w:type="dxa"/>
              <w:bottom w:w="28" w:type="dxa"/>
              <w:right w:w="57" w:type="dxa"/>
            </w:tcMar>
          </w:tcPr>
          <w:p w:rsidRPr="00A7036C" w:rsidR="00F423CA" w:rsidP="00A7036C" w:rsidRDefault="004E2DCE">
            <w:pPr>
              <w:pStyle w:val="bodytableLtable"/>
              <w:spacing w:after="0" w:line="240" w:lineRule="auto"/>
            </w:pPr>
            <w:r w:rsidRPr="00A7036C">
              <w:t>Leased plant and equipment at fair value</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81,450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14,354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862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567 </w:t>
            </w:r>
          </w:p>
        </w:tc>
        <w:tc>
          <w:tcPr>
            <w:tcW w:w="907"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82,312 </w:t>
            </w:r>
          </w:p>
        </w:tc>
        <w:tc>
          <w:tcPr>
            <w:tcW w:w="908" w:type="dxa"/>
            <w:tcMar>
              <w:top w:w="28" w:type="dxa"/>
              <w:left w:w="57" w:type="dxa"/>
              <w:bottom w:w="28" w:type="dxa"/>
              <w:right w:w="57" w:type="dxa"/>
            </w:tcMar>
          </w:tcPr>
          <w:p w:rsidRPr="00A7036C" w:rsidR="00F423CA" w:rsidP="00A7036C" w:rsidRDefault="004E2DCE">
            <w:pPr>
              <w:pStyle w:val="bodytableLtable"/>
              <w:spacing w:after="0" w:line="240" w:lineRule="auto"/>
              <w:jc w:val="right"/>
            </w:pPr>
            <w:r w:rsidRPr="00A7036C">
              <w:t xml:space="preserve">14,921 </w:t>
            </w:r>
          </w:p>
        </w:tc>
      </w:tr>
      <w:tr w:rsidRPr="00A7036C" w:rsidR="00F423CA" w:rsidTr="00A7036C">
        <w:trPr>
          <w:trHeight w:val="60"/>
        </w:trPr>
        <w:tc>
          <w:tcPr>
            <w:tcW w:w="3617"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t>Assets under construction at cost</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391,268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271,352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1,403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739 </w:t>
            </w:r>
          </w:p>
        </w:tc>
        <w:tc>
          <w:tcPr>
            <w:tcW w:w="907"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392,671 </w:t>
            </w:r>
          </w:p>
        </w:tc>
        <w:tc>
          <w:tcPr>
            <w:tcW w:w="908" w:type="dxa"/>
            <w:tcBorders>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t xml:space="preserve">272,091 </w:t>
            </w:r>
          </w:p>
        </w:tc>
      </w:tr>
      <w:tr w:rsidRPr="00A7036C" w:rsidR="00F423CA" w:rsidTr="00A7036C">
        <w:trPr>
          <w:trHeight w:val="60"/>
        </w:trPr>
        <w:tc>
          <w:tcPr>
            <w:tcW w:w="361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pPr>
            <w:r w:rsidRPr="00A7036C">
              <w:rPr>
                <w:rStyle w:val="medium"/>
                <w:b/>
                <w:bCs/>
              </w:rPr>
              <w:t>Total</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rPr>
              <w:t xml:space="preserve">3,312,285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rPr>
              <w:t xml:space="preserve">2,462,564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rPr>
              <w:t xml:space="preserve">2,940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rPr>
              <w:t xml:space="preserve">1,693 </w:t>
            </w:r>
          </w:p>
        </w:tc>
        <w:tc>
          <w:tcPr>
            <w:tcW w:w="907"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rPr>
              <w:t xml:space="preserve">3,315,225 </w:t>
            </w:r>
          </w:p>
        </w:tc>
        <w:tc>
          <w:tcPr>
            <w:tcW w:w="908" w:type="dxa"/>
            <w:tcBorders>
              <w:top w:val="single" w:color="000000" w:sz="8" w:space="0"/>
              <w:bottom w:val="single" w:color="000000" w:sz="8" w:space="0"/>
            </w:tcBorders>
            <w:tcMar>
              <w:top w:w="57" w:type="dxa"/>
              <w:left w:w="57" w:type="dxa"/>
              <w:bottom w:w="57" w:type="dxa"/>
              <w:right w:w="57" w:type="dxa"/>
            </w:tcMar>
          </w:tcPr>
          <w:p w:rsidRPr="00A7036C" w:rsidR="00F423CA" w:rsidP="00A7036C" w:rsidRDefault="004E2DCE">
            <w:pPr>
              <w:pStyle w:val="bodytableLtable"/>
              <w:spacing w:after="0" w:line="240" w:lineRule="auto"/>
              <w:jc w:val="right"/>
            </w:pPr>
            <w:r w:rsidRPr="00A7036C">
              <w:rPr>
                <w:rStyle w:val="medium"/>
                <w:b/>
                <w:bCs/>
              </w:rPr>
              <w:t xml:space="preserve">2,464,257 </w:t>
            </w:r>
          </w:p>
        </w:tc>
      </w:tr>
    </w:tbl>
    <w:p w:rsidRPr="00362A15" w:rsidR="00F423CA" w:rsidP="00362A15" w:rsidRDefault="00F423CA">
      <w:pPr>
        <w:pStyle w:val="Bodycopy"/>
      </w:pPr>
    </w:p>
    <w:p w:rsidR="00F423CA" w:rsidRDefault="004E2DCE">
      <w:pPr>
        <w:pStyle w:val="H4"/>
      </w:pPr>
      <w:r>
        <w:t>5.2.3 Reconciliation of movements in carrying amount of property, plant and equipment</w:t>
      </w:r>
    </w:p>
    <w:tbl>
      <w:tblPr>
        <w:tblW w:w="0" w:type="auto"/>
        <w:tblInd w:w="28" w:type="dxa"/>
        <w:tblLayout w:type="fixed"/>
        <w:tblCellMar>
          <w:left w:w="0" w:type="dxa"/>
          <w:right w:w="0" w:type="dxa"/>
        </w:tblCellMar>
        <w:tblLook w:firstRow="0" w:lastRow="0" w:firstColumn="0" w:lastColumn="0" w:noHBand="0" w:noVBand="0" w:val="0000"/>
      </w:tblPr>
      <w:tblGrid>
        <w:gridCol w:w="1644"/>
        <w:gridCol w:w="907"/>
        <w:gridCol w:w="907"/>
        <w:gridCol w:w="907"/>
        <w:gridCol w:w="1078"/>
        <w:gridCol w:w="907"/>
        <w:gridCol w:w="907"/>
        <w:gridCol w:w="907"/>
        <w:gridCol w:w="907"/>
      </w:tblGrid>
      <w:tr w:rsidRPr="00362A15" w:rsidR="00F423CA" w:rsidTr="00362A15">
        <w:trPr>
          <w:trHeight w:val="60"/>
          <w:tblHeader/>
        </w:trPr>
        <w:tc>
          <w:tcPr>
            <w:tcW w:w="9071" w:type="dxa"/>
            <w:gridSpan w:val="9"/>
            <w:tcBorders>
              <w:top w:val="dotted" w:color="000000" w:sz="6" w:space="0"/>
              <w:bottom w:val="single" w:color="542E8E" w:sz="6" w:space="0"/>
            </w:tcBorders>
            <w:shd w:val="solid" w:color="FFFFFF" w:fill="auto"/>
            <w:tcMar>
              <w:top w:w="28" w:type="dxa"/>
              <w:left w:w="28" w:type="dxa"/>
              <w:bottom w:w="28" w:type="dxa"/>
              <w:right w:w="28" w:type="dxa"/>
            </w:tcMar>
          </w:tcPr>
          <w:p w:rsidRPr="00362A15" w:rsidR="00F423CA" w:rsidP="00362A15" w:rsidRDefault="004E2DCE">
            <w:pPr>
              <w:pStyle w:val="bodytableLtable"/>
              <w:spacing w:after="0" w:line="240" w:lineRule="auto"/>
              <w:jc w:val="right"/>
              <w:rPr>
                <w:sz w:val="14"/>
                <w:szCs w:val="14"/>
              </w:rPr>
            </w:pPr>
            <w:r w:rsidRPr="00362A15">
              <w:rPr>
                <w:rStyle w:val="medium"/>
                <w:b/>
                <w:bCs/>
                <w:color w:val="542E8E"/>
                <w:sz w:val="14"/>
                <w:szCs w:val="14"/>
              </w:rPr>
              <w:t>($ thousand)</w:t>
            </w:r>
          </w:p>
        </w:tc>
      </w:tr>
      <w:tr w:rsidRPr="00362A15" w:rsidR="00F423CA" w:rsidTr="00362A15">
        <w:trPr>
          <w:trHeight w:val="60"/>
          <w:tblHeader/>
        </w:trPr>
        <w:tc>
          <w:tcPr>
            <w:tcW w:w="1644"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Ltable"/>
              <w:spacing w:after="0" w:line="240" w:lineRule="auto"/>
              <w:rPr>
                <w:sz w:val="14"/>
                <w:szCs w:val="14"/>
              </w:rPr>
            </w:pPr>
            <w:r w:rsidRPr="00362A15">
              <w:rPr>
                <w:rStyle w:val="medium"/>
                <w:b/>
                <w:bCs/>
                <w:color w:val="542E8E"/>
                <w:sz w:val="14"/>
                <w:szCs w:val="14"/>
              </w:rPr>
              <w:t>2018</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Land at </w:t>
            </w:r>
            <w:r w:rsidRPr="00362A15">
              <w:rPr>
                <w:rStyle w:val="medium"/>
                <w:b/>
                <w:bCs/>
                <w:color w:val="542E8E"/>
                <w:sz w:val="14"/>
                <w:szCs w:val="14"/>
              </w:rPr>
              <w:br/>
              <w:t>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Buildings at 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Leased buildings </w:t>
            </w:r>
            <w:r w:rsidRPr="00362A15">
              <w:rPr>
                <w:rStyle w:val="medium"/>
                <w:b/>
                <w:bCs/>
                <w:color w:val="542E8E"/>
                <w:sz w:val="14"/>
                <w:szCs w:val="14"/>
              </w:rPr>
              <w:br/>
              <w:t>at fair value</w:t>
            </w:r>
          </w:p>
        </w:tc>
        <w:tc>
          <w:tcPr>
            <w:tcW w:w="1078"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Leasehold improvements </w:t>
            </w:r>
            <w:r w:rsidRPr="00362A15">
              <w:rPr>
                <w:rStyle w:val="medium"/>
                <w:b/>
                <w:bCs/>
                <w:color w:val="542E8E"/>
                <w:sz w:val="14"/>
                <w:szCs w:val="14"/>
              </w:rPr>
              <w:br/>
              <w:t>at 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Plant &amp; equipment </w:t>
            </w:r>
            <w:r w:rsidRPr="00362A15">
              <w:rPr>
                <w:rStyle w:val="medium"/>
                <w:b/>
                <w:bCs/>
                <w:color w:val="542E8E"/>
                <w:sz w:val="14"/>
                <w:szCs w:val="14"/>
              </w:rPr>
              <w:br/>
              <w:t>at 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Leased plant &amp; equipment at 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Assets under construction </w:t>
            </w:r>
            <w:r w:rsidRPr="00362A15">
              <w:rPr>
                <w:rStyle w:val="medium"/>
                <w:b/>
                <w:bCs/>
                <w:color w:val="542E8E"/>
                <w:sz w:val="14"/>
                <w:szCs w:val="14"/>
              </w:rPr>
              <w:br/>
              <w:t>at cost</w:t>
            </w:r>
          </w:p>
        </w:tc>
        <w:tc>
          <w:tcPr>
            <w:tcW w:w="907" w:type="dxa"/>
            <w:tcBorders>
              <w:top w:val="single" w:color="542E8E" w:sz="6" w:space="0"/>
              <w:left w:val="nil"/>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Total</w:t>
            </w:r>
          </w:p>
        </w:tc>
      </w:tr>
      <w:tr w:rsidRPr="00362A15" w:rsidR="00F423CA" w:rsidTr="00362A15">
        <w:trPr>
          <w:trHeight w:val="60"/>
        </w:trPr>
        <w:tc>
          <w:tcPr>
            <w:tcW w:w="1644" w:type="dxa"/>
            <w:tcBorders>
              <w:top w:val="single" w:color="000000" w:sz="8" w:space="0"/>
            </w:tcBorders>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Opening balance</w:t>
            </w:r>
          </w:p>
        </w:tc>
        <w:tc>
          <w:tcPr>
            <w:tcW w:w="907" w:type="dxa"/>
            <w:tcBorders>
              <w:top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280,463 </w:t>
            </w:r>
          </w:p>
        </w:tc>
        <w:tc>
          <w:tcPr>
            <w:tcW w:w="907" w:type="dxa"/>
            <w:tcBorders>
              <w:top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1,337,017 </w:t>
            </w:r>
          </w:p>
        </w:tc>
        <w:tc>
          <w:tcPr>
            <w:tcW w:w="907" w:type="dxa"/>
            <w:tcBorders>
              <w:top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401,273 </w:t>
            </w:r>
          </w:p>
        </w:tc>
        <w:tc>
          <w:tcPr>
            <w:tcW w:w="1078" w:type="dxa"/>
            <w:tcBorders>
              <w:top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33,000 </w:t>
            </w:r>
          </w:p>
        </w:tc>
        <w:tc>
          <w:tcPr>
            <w:tcW w:w="907" w:type="dxa"/>
            <w:tcBorders>
              <w:top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125,492 </w:t>
            </w:r>
          </w:p>
        </w:tc>
        <w:tc>
          <w:tcPr>
            <w:tcW w:w="907" w:type="dxa"/>
            <w:tcBorders>
              <w:top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14,921 </w:t>
            </w:r>
          </w:p>
        </w:tc>
        <w:tc>
          <w:tcPr>
            <w:tcW w:w="907" w:type="dxa"/>
            <w:tcBorders>
              <w:top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272,091 </w:t>
            </w:r>
          </w:p>
        </w:tc>
        <w:tc>
          <w:tcPr>
            <w:tcW w:w="907" w:type="dxa"/>
            <w:tcBorders>
              <w:top w:val="single" w:color="000000" w:sz="8" w:space="0"/>
              <w:left w:val="nil"/>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2,464,257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Additions</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1,413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4,093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709,942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180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13,542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76,979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213,843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1,019,992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Disposals</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(9)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(2,306)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(2,315)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Transfers out of assets under construction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58,737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34,526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(93,263)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Reclassification between classes</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129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(129)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Reclassification to / from intangible assets</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560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560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Revaluation (</w:t>
            </w:r>
            <w:proofErr w:type="spellStart"/>
            <w:r w:rsidRPr="00362A15">
              <w:rPr>
                <w:sz w:val="14"/>
                <w:szCs w:val="14"/>
              </w:rPr>
              <w:t>i</w:t>
            </w:r>
            <w:proofErr w:type="spellEnd"/>
            <w:r w:rsidRPr="00362A15">
              <w:rPr>
                <w:sz w:val="14"/>
                <w:szCs w:val="14"/>
              </w:rPr>
              <w:t>)</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(45,836)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(45,836)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Impairment (</w:t>
            </w:r>
            <w:proofErr w:type="spellStart"/>
            <w:r w:rsidRPr="00362A15">
              <w:rPr>
                <w:sz w:val="14"/>
                <w:szCs w:val="14"/>
              </w:rPr>
              <w:t>i</w:t>
            </w:r>
            <w:proofErr w:type="spellEnd"/>
            <w:r w:rsidRPr="00362A15">
              <w:rPr>
                <w:sz w:val="14"/>
                <w:szCs w:val="14"/>
              </w:rPr>
              <w:t>)</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(3,490)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(3,490)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lastRenderedPageBreak/>
              <w:t>Fair value of assets received free of charge or for nominal consideration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173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124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297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Fair value of assets provided free of charge or for nominal consideration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(4,921)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(4,921)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Depreciation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(49,871)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(25,058)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(6,958)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(22,727)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(7,029)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(111,643)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Transfers to disposal group held for sale</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(377)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(377) </w:t>
            </w:r>
          </w:p>
        </w:tc>
      </w:tr>
      <w:tr w:rsidRPr="00362A15" w:rsidR="00F423CA" w:rsidTr="00362A15">
        <w:trPr>
          <w:trHeight w:val="60"/>
        </w:trPr>
        <w:tc>
          <w:tcPr>
            <w:tcW w:w="1644" w:type="dxa"/>
            <w:tcBorders>
              <w:bottom w:val="single" w:color="000000" w:sz="8" w:space="0"/>
            </w:tcBorders>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Net transfers contributed capital</w:t>
            </w:r>
          </w:p>
        </w:tc>
        <w:tc>
          <w:tcPr>
            <w:tcW w:w="907" w:type="dxa"/>
            <w:tcBorders>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(747) </w:t>
            </w:r>
          </w:p>
        </w:tc>
        <w:tc>
          <w:tcPr>
            <w:tcW w:w="907" w:type="dxa"/>
            <w:tcBorders>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Borders>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(552) </w:t>
            </w:r>
          </w:p>
        </w:tc>
        <w:tc>
          <w:tcPr>
            <w:tcW w:w="907" w:type="dxa"/>
            <w:tcBorders>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sz w:val="14"/>
                <w:szCs w:val="14"/>
              </w:rPr>
              <w:t xml:space="preserve">(1,299) </w:t>
            </w:r>
          </w:p>
        </w:tc>
      </w:tr>
      <w:tr w:rsidRPr="00362A15" w:rsidR="00F423CA" w:rsidTr="00362A15">
        <w:trPr>
          <w:trHeight w:val="60"/>
        </w:trPr>
        <w:tc>
          <w:tcPr>
            <w:tcW w:w="1644"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rStyle w:val="bold"/>
                <w:sz w:val="14"/>
                <w:szCs w:val="14"/>
              </w:rPr>
              <w:t>Closing balance</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281,876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1,295,111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1,120,554 </w:t>
            </w:r>
          </w:p>
        </w:tc>
        <w:tc>
          <w:tcPr>
            <w:tcW w:w="1078"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26,222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116,479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82,312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392,671 </w:t>
            </w:r>
          </w:p>
        </w:tc>
        <w:tc>
          <w:tcPr>
            <w:tcW w:w="907" w:type="dxa"/>
            <w:tcBorders>
              <w:top w:val="single" w:color="000000" w:sz="8" w:space="0"/>
              <w:left w:val="nil"/>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bold"/>
                <w:sz w:val="14"/>
                <w:szCs w:val="14"/>
              </w:rPr>
              <w:t xml:space="preserve">3,315,225 </w:t>
            </w:r>
          </w:p>
        </w:tc>
      </w:tr>
    </w:tbl>
    <w:p w:rsidR="00F423CA" w:rsidP="00362A15" w:rsidRDefault="004E2DCE">
      <w:pPr>
        <w:pStyle w:val="notestable"/>
        <w:numPr>
          <w:ilvl w:val="0"/>
          <w:numId w:val="5"/>
        </w:numPr>
      </w:pPr>
      <w:r>
        <w:t>This movement includes a realignment of prior year assets under construction and a building impairment.</w:t>
      </w:r>
    </w:p>
    <w:p w:rsidR="00362A15" w:rsidP="00362A15" w:rsidRDefault="00362A15">
      <w:pPr>
        <w:pStyle w:val="Bodycopy"/>
      </w:pPr>
    </w:p>
    <w:tbl>
      <w:tblPr>
        <w:tblW w:w="0" w:type="auto"/>
        <w:tblInd w:w="28" w:type="dxa"/>
        <w:tblLayout w:type="fixed"/>
        <w:tblCellMar>
          <w:left w:w="0" w:type="dxa"/>
          <w:right w:w="0" w:type="dxa"/>
        </w:tblCellMar>
        <w:tblLook w:firstRow="0" w:lastRow="0" w:firstColumn="0" w:lastColumn="0" w:noHBand="0" w:noVBand="0" w:val="0000"/>
      </w:tblPr>
      <w:tblGrid>
        <w:gridCol w:w="1644"/>
        <w:gridCol w:w="907"/>
        <w:gridCol w:w="907"/>
        <w:gridCol w:w="907"/>
        <w:gridCol w:w="1078"/>
        <w:gridCol w:w="907"/>
        <w:gridCol w:w="907"/>
        <w:gridCol w:w="907"/>
        <w:gridCol w:w="907"/>
      </w:tblGrid>
      <w:tr w:rsidRPr="00362A15" w:rsidR="00F423CA" w:rsidTr="00362A15">
        <w:trPr>
          <w:trHeight w:val="60"/>
          <w:tblHeader/>
        </w:trPr>
        <w:tc>
          <w:tcPr>
            <w:tcW w:w="9071" w:type="dxa"/>
            <w:gridSpan w:val="9"/>
            <w:tcBorders>
              <w:top w:val="dotted" w:color="000000" w:sz="6" w:space="0"/>
              <w:bottom w:val="single" w:color="542E8E" w:sz="6" w:space="0"/>
            </w:tcBorders>
            <w:shd w:val="solid" w:color="FFFFFF" w:fill="auto"/>
            <w:tcMar>
              <w:top w:w="28" w:type="dxa"/>
              <w:left w:w="28" w:type="dxa"/>
              <w:bottom w:w="28" w:type="dxa"/>
              <w:right w:w="28" w:type="dxa"/>
            </w:tcMar>
          </w:tcPr>
          <w:p w:rsidRPr="00362A15" w:rsidR="00F423CA" w:rsidP="00362A15" w:rsidRDefault="004E2DCE">
            <w:pPr>
              <w:pStyle w:val="bodytableLtable"/>
              <w:spacing w:after="0" w:line="240" w:lineRule="auto"/>
              <w:jc w:val="right"/>
              <w:rPr>
                <w:sz w:val="14"/>
                <w:szCs w:val="14"/>
              </w:rPr>
            </w:pPr>
            <w:r w:rsidRPr="00362A15">
              <w:rPr>
                <w:rStyle w:val="medium"/>
                <w:b/>
                <w:bCs/>
                <w:color w:val="542E8E"/>
                <w:sz w:val="14"/>
                <w:szCs w:val="14"/>
              </w:rPr>
              <w:t>($ thousand)</w:t>
            </w:r>
          </w:p>
        </w:tc>
      </w:tr>
      <w:tr w:rsidRPr="00362A15" w:rsidR="00F423CA" w:rsidTr="00362A15">
        <w:trPr>
          <w:trHeight w:val="60"/>
          <w:tblHeader/>
        </w:trPr>
        <w:tc>
          <w:tcPr>
            <w:tcW w:w="1644"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Ltable"/>
              <w:spacing w:after="0" w:line="240" w:lineRule="auto"/>
              <w:rPr>
                <w:sz w:val="14"/>
                <w:szCs w:val="14"/>
              </w:rPr>
            </w:pPr>
            <w:r w:rsidRPr="00362A15">
              <w:rPr>
                <w:rStyle w:val="medium"/>
                <w:b/>
                <w:bCs/>
                <w:color w:val="542E8E"/>
                <w:sz w:val="14"/>
                <w:szCs w:val="14"/>
              </w:rPr>
              <w:t>2017</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Land at </w:t>
            </w:r>
            <w:r w:rsidRPr="00362A15">
              <w:rPr>
                <w:rStyle w:val="medium"/>
                <w:b/>
                <w:bCs/>
                <w:color w:val="542E8E"/>
                <w:sz w:val="14"/>
                <w:szCs w:val="14"/>
              </w:rPr>
              <w:br/>
              <w:t>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Buildings at </w:t>
            </w:r>
            <w:r w:rsidRPr="00362A15">
              <w:rPr>
                <w:rStyle w:val="medium"/>
                <w:b/>
                <w:bCs/>
                <w:color w:val="542E8E"/>
                <w:sz w:val="14"/>
                <w:szCs w:val="14"/>
              </w:rPr>
              <w:br/>
              <w:t>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Leased buildings at fair value</w:t>
            </w:r>
          </w:p>
        </w:tc>
        <w:tc>
          <w:tcPr>
            <w:tcW w:w="1078"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 xml:space="preserve">Leasehold improvements </w:t>
            </w:r>
            <w:r w:rsidRPr="00362A15">
              <w:rPr>
                <w:rStyle w:val="medium"/>
                <w:b/>
                <w:bCs/>
                <w:color w:val="542E8E"/>
                <w:sz w:val="14"/>
                <w:szCs w:val="14"/>
              </w:rPr>
              <w:br/>
              <w:t>at 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Plant &amp; equipment</w:t>
            </w:r>
            <w:r w:rsidRPr="00362A15">
              <w:rPr>
                <w:rStyle w:val="medium"/>
                <w:b/>
                <w:bCs/>
                <w:color w:val="542E8E"/>
                <w:sz w:val="14"/>
                <w:szCs w:val="14"/>
              </w:rPr>
              <w:br/>
              <w:t>at 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Leased plant &amp; equipment at</w:t>
            </w:r>
            <w:r w:rsidRPr="00362A15">
              <w:rPr>
                <w:rStyle w:val="medium"/>
                <w:b/>
                <w:bCs/>
                <w:color w:val="542E8E"/>
                <w:sz w:val="14"/>
                <w:szCs w:val="14"/>
              </w:rPr>
              <w:br/>
              <w:t>fair value</w:t>
            </w:r>
          </w:p>
        </w:tc>
        <w:tc>
          <w:tcPr>
            <w:tcW w:w="907" w:type="dxa"/>
            <w:tcBorders>
              <w:top w:val="single" w:color="542E8E" w:sz="6" w:space="0"/>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Assets under construction</w:t>
            </w:r>
            <w:r w:rsidRPr="00362A15">
              <w:rPr>
                <w:rStyle w:val="medium"/>
                <w:b/>
                <w:bCs/>
                <w:color w:val="542E8E"/>
                <w:sz w:val="14"/>
                <w:szCs w:val="14"/>
              </w:rPr>
              <w:br/>
              <w:t>at cost</w:t>
            </w:r>
          </w:p>
        </w:tc>
        <w:tc>
          <w:tcPr>
            <w:tcW w:w="907" w:type="dxa"/>
            <w:tcBorders>
              <w:top w:val="single" w:color="542E8E" w:sz="6" w:space="0"/>
              <w:left w:val="nil"/>
              <w:bottom w:val="single" w:color="542E8E" w:sz="6" w:space="0"/>
            </w:tcBorders>
            <w:shd w:val="solid" w:color="FFFFFF" w:fill="auto"/>
            <w:tcMar>
              <w:top w:w="28" w:type="dxa"/>
              <w:left w:w="28" w:type="dxa"/>
              <w:bottom w:w="28" w:type="dxa"/>
              <w:right w:w="28" w:type="dxa"/>
            </w:tcMar>
            <w:vAlign w:val="bottom"/>
          </w:tcPr>
          <w:p w:rsidRPr="00362A15" w:rsidR="00F423CA" w:rsidP="00362A15" w:rsidRDefault="004E2DCE">
            <w:pPr>
              <w:pStyle w:val="bodytableRtable"/>
              <w:spacing w:after="0" w:line="240" w:lineRule="auto"/>
              <w:rPr>
                <w:sz w:val="14"/>
                <w:szCs w:val="14"/>
              </w:rPr>
            </w:pPr>
            <w:r w:rsidRPr="00362A15">
              <w:rPr>
                <w:rStyle w:val="medium"/>
                <w:b/>
                <w:bCs/>
                <w:color w:val="542E8E"/>
                <w:sz w:val="14"/>
                <w:szCs w:val="14"/>
              </w:rPr>
              <w:t>Total</w:t>
            </w:r>
          </w:p>
        </w:tc>
      </w:tr>
      <w:tr w:rsidRPr="00362A15" w:rsidR="00F423CA" w:rsidTr="00362A15">
        <w:trPr>
          <w:trHeight w:val="60"/>
        </w:trPr>
        <w:tc>
          <w:tcPr>
            <w:tcW w:w="1644" w:type="dxa"/>
            <w:tcBorders>
              <w:top w:val="single" w:color="000000" w:sz="8" w:space="0"/>
            </w:tcBorders>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Opening balance</w:t>
            </w:r>
          </w:p>
        </w:tc>
        <w:tc>
          <w:tcPr>
            <w:tcW w:w="907" w:type="dxa"/>
            <w:tcBorders>
              <w:top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148,195 </w:t>
            </w:r>
          </w:p>
        </w:tc>
        <w:tc>
          <w:tcPr>
            <w:tcW w:w="907" w:type="dxa"/>
            <w:tcBorders>
              <w:top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1,035,250 </w:t>
            </w:r>
          </w:p>
        </w:tc>
        <w:tc>
          <w:tcPr>
            <w:tcW w:w="907" w:type="dxa"/>
            <w:tcBorders>
              <w:top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488,961 </w:t>
            </w:r>
          </w:p>
        </w:tc>
        <w:tc>
          <w:tcPr>
            <w:tcW w:w="1078" w:type="dxa"/>
            <w:tcBorders>
              <w:top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28,677 </w:t>
            </w:r>
          </w:p>
        </w:tc>
        <w:tc>
          <w:tcPr>
            <w:tcW w:w="907" w:type="dxa"/>
            <w:tcBorders>
              <w:top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139,447 </w:t>
            </w:r>
          </w:p>
        </w:tc>
        <w:tc>
          <w:tcPr>
            <w:tcW w:w="907" w:type="dxa"/>
            <w:tcBorders>
              <w:top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12,822 </w:t>
            </w:r>
          </w:p>
        </w:tc>
        <w:tc>
          <w:tcPr>
            <w:tcW w:w="907" w:type="dxa"/>
            <w:tcBorders>
              <w:top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280,143 </w:t>
            </w:r>
          </w:p>
        </w:tc>
        <w:tc>
          <w:tcPr>
            <w:tcW w:w="907" w:type="dxa"/>
            <w:tcBorders>
              <w:top w:val="single" w:color="000000" w:sz="8" w:space="0"/>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2,133,495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Additions</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888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4,081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13,993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81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7,018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7,792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126,929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160,782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Disposals</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(45)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(2,470)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(2,515)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Transfers out of assets under construction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134,851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11,305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23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(146,179)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Reclassification between classes</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86,337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(86,355)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(363)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(376)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757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Revaluation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45,301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45,301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Machinery of government transfer in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86,079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120,595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786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1,790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10,441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219,691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Fair value of assets received free of charge or for nominal consideration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193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193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Fair value of assets provided free of charge or for nominal consideration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(13)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(13)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Depreciation</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(44,097)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(15,326)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(6,686)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(21,301)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(5,102)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(92,512) </w:t>
            </w:r>
          </w:p>
        </w:tc>
      </w:tr>
      <w:tr w:rsidRPr="00362A15" w:rsidR="00F423CA" w:rsidTr="00362A15">
        <w:trPr>
          <w:trHeight w:val="60"/>
        </w:trPr>
        <w:tc>
          <w:tcPr>
            <w:tcW w:w="1644" w:type="dxa"/>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Transfers to disposal group held for sale</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(104) </w:t>
            </w:r>
          </w:p>
        </w:tc>
        <w:tc>
          <w:tcPr>
            <w:tcW w:w="907" w:type="dxa"/>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(104) </w:t>
            </w:r>
          </w:p>
        </w:tc>
      </w:tr>
      <w:tr w:rsidRPr="00362A15" w:rsidR="00F423CA" w:rsidTr="00362A15">
        <w:trPr>
          <w:trHeight w:val="60"/>
        </w:trPr>
        <w:tc>
          <w:tcPr>
            <w:tcW w:w="1644" w:type="dxa"/>
            <w:tcBorders>
              <w:bottom w:val="single" w:color="000000" w:sz="8" w:space="0"/>
            </w:tcBorders>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sz w:val="14"/>
                <w:szCs w:val="14"/>
              </w:rPr>
              <w:t>Net transfers contributed capital</w:t>
            </w:r>
          </w:p>
        </w:tc>
        <w:tc>
          <w:tcPr>
            <w:tcW w:w="907" w:type="dxa"/>
            <w:tcBorders>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1078" w:type="dxa"/>
            <w:tcBorders>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(14) </w:t>
            </w:r>
          </w:p>
        </w:tc>
        <w:tc>
          <w:tcPr>
            <w:tcW w:w="907" w:type="dxa"/>
            <w:tcBorders>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(47) </w:t>
            </w:r>
          </w:p>
        </w:tc>
        <w:tc>
          <w:tcPr>
            <w:tcW w:w="907" w:type="dxa"/>
            <w:tcBorders>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0 </w:t>
            </w:r>
          </w:p>
        </w:tc>
        <w:tc>
          <w:tcPr>
            <w:tcW w:w="907" w:type="dxa"/>
            <w:tcBorders>
              <w:left w:val="nil"/>
              <w:bottom w:val="single" w:color="000000" w:sz="8" w:space="0"/>
            </w:tcBorders>
            <w:tcMar>
              <w:top w:w="28" w:type="dxa"/>
              <w:left w:w="28" w:type="dxa"/>
              <w:bottom w:w="28" w:type="dxa"/>
              <w:right w:w="28" w:type="dxa"/>
            </w:tcMar>
            <w:vAlign w:val="center"/>
          </w:tcPr>
          <w:p w:rsidRPr="00362A15" w:rsidR="00F423CA" w:rsidP="00362A15" w:rsidRDefault="004E2DCE">
            <w:pPr>
              <w:pStyle w:val="bodytableRtable"/>
              <w:spacing w:after="0" w:line="240" w:lineRule="auto"/>
              <w:rPr>
                <w:sz w:val="14"/>
                <w:szCs w:val="14"/>
              </w:rPr>
            </w:pPr>
            <w:r w:rsidRPr="00362A15">
              <w:rPr>
                <w:sz w:val="14"/>
                <w:szCs w:val="14"/>
              </w:rPr>
              <w:t xml:space="preserve">(61) </w:t>
            </w:r>
          </w:p>
        </w:tc>
      </w:tr>
      <w:tr w:rsidRPr="00362A15" w:rsidR="00F423CA" w:rsidTr="00362A15">
        <w:trPr>
          <w:trHeight w:val="60"/>
        </w:trPr>
        <w:tc>
          <w:tcPr>
            <w:tcW w:w="1644"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Ltable"/>
              <w:spacing w:after="0" w:line="240" w:lineRule="auto"/>
              <w:rPr>
                <w:sz w:val="14"/>
                <w:szCs w:val="14"/>
              </w:rPr>
            </w:pPr>
            <w:r w:rsidRPr="00362A15">
              <w:rPr>
                <w:rStyle w:val="medium"/>
                <w:b/>
                <w:bCs/>
                <w:sz w:val="14"/>
                <w:szCs w:val="14"/>
              </w:rPr>
              <w:t>Closing balance</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280,463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1,337,017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401,273 </w:t>
            </w:r>
          </w:p>
        </w:tc>
        <w:tc>
          <w:tcPr>
            <w:tcW w:w="1078"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33,000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125,492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14,921 </w:t>
            </w:r>
          </w:p>
        </w:tc>
        <w:tc>
          <w:tcPr>
            <w:tcW w:w="907" w:type="dxa"/>
            <w:tcBorders>
              <w:top w:val="single" w:color="000000" w:sz="8" w:space="0"/>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272,091 </w:t>
            </w:r>
          </w:p>
        </w:tc>
        <w:tc>
          <w:tcPr>
            <w:tcW w:w="907" w:type="dxa"/>
            <w:tcBorders>
              <w:top w:val="single" w:color="000000" w:sz="8" w:space="0"/>
              <w:left w:val="nil"/>
              <w:bottom w:val="single" w:color="000000" w:sz="8" w:space="0"/>
            </w:tcBorders>
            <w:tcMar>
              <w:top w:w="28" w:type="dxa"/>
              <w:left w:w="28" w:type="dxa"/>
              <w:bottom w:w="28" w:type="dxa"/>
              <w:right w:w="28" w:type="dxa"/>
            </w:tcMar>
          </w:tcPr>
          <w:p w:rsidRPr="00362A15" w:rsidR="00F423CA" w:rsidP="00362A15" w:rsidRDefault="004E2DCE">
            <w:pPr>
              <w:pStyle w:val="bodytableRtable"/>
              <w:spacing w:after="0" w:line="240" w:lineRule="auto"/>
              <w:rPr>
                <w:sz w:val="14"/>
                <w:szCs w:val="14"/>
              </w:rPr>
            </w:pPr>
            <w:r w:rsidRPr="00362A15">
              <w:rPr>
                <w:rStyle w:val="medium"/>
                <w:b/>
                <w:bCs/>
                <w:sz w:val="14"/>
                <w:szCs w:val="14"/>
              </w:rPr>
              <w:t xml:space="preserve">2,464,257 </w:t>
            </w:r>
          </w:p>
        </w:tc>
      </w:tr>
    </w:tbl>
    <w:p w:rsidR="00F423CA" w:rsidRDefault="00F423CA">
      <w:pPr>
        <w:pStyle w:val="Bodycopy"/>
        <w:rPr>
          <w:sz w:val="14"/>
          <w:szCs w:val="14"/>
        </w:rPr>
      </w:pPr>
    </w:p>
    <w:p w:rsidR="00F423CA" w:rsidRDefault="004E2DCE">
      <w:pPr>
        <w:pStyle w:val="H3"/>
      </w:pPr>
      <w:r>
        <w:t>5.3 Intangible assets</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362A15" w:rsidR="00F423CA" w:rsidTr="00362A15">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62A15" w:rsidR="00F423CA" w:rsidP="00362A15"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62A15" w:rsidR="00F423CA" w:rsidP="00362A15"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medium"/>
                <w:b/>
                <w:bCs/>
                <w:color w:val="542E8E"/>
              </w:rPr>
              <w:t>($ thousand)</w:t>
            </w:r>
          </w:p>
        </w:tc>
      </w:tr>
      <w:tr w:rsidRPr="00362A15" w:rsidR="00F423CA" w:rsidTr="00362A15">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62A15" w:rsidR="00F423CA" w:rsidP="00362A15"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medium"/>
                <w:b/>
                <w:bCs/>
                <w:color w:val="542E8E"/>
              </w:rPr>
              <w:t>2017</w:t>
            </w:r>
          </w:p>
        </w:tc>
      </w:tr>
      <w:tr w:rsidRPr="00362A15" w:rsidR="00F423CA" w:rsidTr="00362A15">
        <w:trPr>
          <w:trHeight w:val="113"/>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362A15" w:rsidR="00F423CA" w:rsidP="00362A15" w:rsidRDefault="004E2DCE">
            <w:pPr>
              <w:pStyle w:val="bodytableLtable"/>
              <w:spacing w:after="0" w:line="240" w:lineRule="auto"/>
            </w:pPr>
            <w:r w:rsidRPr="00362A15">
              <w:rPr>
                <w:rStyle w:val="medium"/>
                <w:b/>
                <w:bCs/>
              </w:rPr>
              <w:t>Gross carrying amount</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362A15" w:rsidR="00F423CA" w:rsidP="00362A15"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362A15" w:rsidR="00F423CA" w:rsidP="00362A15" w:rsidRDefault="00F423CA">
            <w:pPr>
              <w:pStyle w:val="NoParagraphStyle"/>
              <w:spacing w:line="240" w:lineRule="auto"/>
              <w:textAlignment w:val="auto"/>
              <w:rPr>
                <w:rFonts w:ascii="Arial" w:hAnsi="Arial" w:cs="Arial"/>
                <w:color w:val="auto"/>
                <w:sz w:val="16"/>
                <w:szCs w:val="16"/>
              </w:rPr>
            </w:pPr>
          </w:p>
        </w:tc>
      </w:tr>
      <w:tr w:rsidRPr="00362A15" w:rsidR="00F423CA" w:rsidTr="00362A15">
        <w:trPr>
          <w:trHeight w:val="113"/>
        </w:trPr>
        <w:tc>
          <w:tcPr>
            <w:tcW w:w="6236"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Ltable"/>
              <w:spacing w:after="0" w:line="240" w:lineRule="auto"/>
            </w:pPr>
            <w:r w:rsidRPr="00362A15">
              <w:rPr>
                <w:rStyle w:val="bold"/>
              </w:rPr>
              <w:t>Opening balance</w:t>
            </w:r>
          </w:p>
        </w:tc>
        <w:tc>
          <w:tcPr>
            <w:tcW w:w="1418"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Rtable"/>
              <w:spacing w:after="0" w:line="240" w:lineRule="auto"/>
            </w:pPr>
            <w:r w:rsidRPr="00362A15">
              <w:rPr>
                <w:rStyle w:val="bold"/>
              </w:rPr>
              <w:t xml:space="preserve">112,824 </w:t>
            </w:r>
          </w:p>
        </w:tc>
        <w:tc>
          <w:tcPr>
            <w:tcW w:w="1417"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Rtable"/>
              <w:spacing w:after="0" w:line="240" w:lineRule="auto"/>
            </w:pPr>
            <w:r w:rsidRPr="00362A15">
              <w:rPr>
                <w:rStyle w:val="bold"/>
              </w:rPr>
              <w:t xml:space="preserve">73,971 </w:t>
            </w:r>
          </w:p>
        </w:tc>
      </w:tr>
      <w:tr w:rsidRPr="00362A15" w:rsidR="00F423CA" w:rsidTr="00362A15">
        <w:trPr>
          <w:trHeight w:val="113"/>
        </w:trPr>
        <w:tc>
          <w:tcPr>
            <w:tcW w:w="6236"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Ltable"/>
              <w:spacing w:after="0" w:line="240" w:lineRule="auto"/>
            </w:pPr>
            <w:r w:rsidRPr="00362A15">
              <w:t>Additions</w:t>
            </w:r>
            <w:r w:rsidRPr="00362A15">
              <w:rPr>
                <w:rStyle w:val="Superscript"/>
              </w:rPr>
              <w:t xml:space="preserve"> (</w:t>
            </w:r>
            <w:proofErr w:type="spellStart"/>
            <w:r w:rsidRPr="00362A15">
              <w:rPr>
                <w:rStyle w:val="Superscript"/>
              </w:rPr>
              <w:t>i</w:t>
            </w:r>
            <w:proofErr w:type="spellEnd"/>
            <w:r w:rsidRPr="00362A15">
              <w:rPr>
                <w:rStyle w:val="Superscript"/>
              </w:rPr>
              <w:t>)</w:t>
            </w:r>
          </w:p>
        </w:tc>
        <w:tc>
          <w:tcPr>
            <w:tcW w:w="1418"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Rtable"/>
              <w:spacing w:after="0" w:line="240" w:lineRule="auto"/>
            </w:pPr>
            <w:r w:rsidRPr="00362A15">
              <w:t xml:space="preserve">31,932 </w:t>
            </w:r>
          </w:p>
        </w:tc>
        <w:tc>
          <w:tcPr>
            <w:tcW w:w="1417"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Rtable"/>
              <w:spacing w:after="0" w:line="240" w:lineRule="auto"/>
            </w:pPr>
            <w:r w:rsidRPr="00362A15">
              <w:t xml:space="preserve">38,853 </w:t>
            </w:r>
          </w:p>
        </w:tc>
      </w:tr>
      <w:tr w:rsidRPr="00362A15" w:rsidR="00F423CA" w:rsidTr="00362A15">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Ltable"/>
              <w:spacing w:after="0" w:line="240" w:lineRule="auto"/>
            </w:pPr>
            <w:r w:rsidRPr="00362A15">
              <w:t>Reclassification to / from property, plant and equipment</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t xml:space="preserve">(560)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t xml:space="preserve">0 </w:t>
            </w:r>
          </w:p>
        </w:tc>
      </w:tr>
      <w:tr w:rsidRPr="00362A15" w:rsidR="00F423CA" w:rsidTr="00362A15">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Ltable"/>
              <w:spacing w:after="0" w:line="240" w:lineRule="auto"/>
            </w:pPr>
            <w:r w:rsidRPr="00362A15">
              <w:rPr>
                <w:rStyle w:val="bold"/>
              </w:rPr>
              <w:t>Closing balance</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bold"/>
              </w:rPr>
              <w:t xml:space="preserve">144,196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bold"/>
              </w:rPr>
              <w:t xml:space="preserve">112,824 </w:t>
            </w:r>
          </w:p>
        </w:tc>
      </w:tr>
      <w:tr w:rsidRPr="00362A15" w:rsidR="00F423CA" w:rsidTr="00362A15">
        <w:trPr>
          <w:trHeight w:val="113"/>
        </w:trPr>
        <w:tc>
          <w:tcPr>
            <w:tcW w:w="6236" w:type="dxa"/>
            <w:tcBorders>
              <w:top w:val="single" w:color="000000" w:sz="6" w:space="0"/>
              <w:left w:val="nil"/>
              <w:bottom w:val="nil"/>
              <w:right w:val="nil"/>
            </w:tcBorders>
            <w:tcMar>
              <w:top w:w="57" w:type="dxa"/>
              <w:left w:w="57" w:type="dxa"/>
              <w:bottom w:w="57" w:type="dxa"/>
              <w:right w:w="57" w:type="dxa"/>
            </w:tcMar>
            <w:vAlign w:val="bottom"/>
          </w:tcPr>
          <w:p w:rsidRPr="00362A15" w:rsidR="00F423CA" w:rsidP="00362A15" w:rsidRDefault="004E2DCE">
            <w:pPr>
              <w:pStyle w:val="bodytableLtable"/>
              <w:spacing w:after="0" w:line="240" w:lineRule="auto"/>
            </w:pPr>
            <w:r w:rsidRPr="00362A15">
              <w:rPr>
                <w:rStyle w:val="medium"/>
                <w:b/>
                <w:bCs/>
              </w:rPr>
              <w:t>Accumulated depreciation</w:t>
            </w: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362A15" w:rsidR="00F423CA" w:rsidP="00362A15"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362A15" w:rsidR="00F423CA" w:rsidP="00362A15" w:rsidRDefault="00F423CA">
            <w:pPr>
              <w:pStyle w:val="NoParagraphStyle"/>
              <w:spacing w:line="240" w:lineRule="auto"/>
              <w:textAlignment w:val="auto"/>
              <w:rPr>
                <w:rFonts w:ascii="Arial" w:hAnsi="Arial" w:cs="Arial"/>
                <w:color w:val="auto"/>
                <w:sz w:val="16"/>
                <w:szCs w:val="16"/>
              </w:rPr>
            </w:pPr>
          </w:p>
        </w:tc>
      </w:tr>
      <w:tr w:rsidRPr="00362A15" w:rsidR="00F423CA" w:rsidTr="00362A15">
        <w:trPr>
          <w:trHeight w:val="113"/>
        </w:trPr>
        <w:tc>
          <w:tcPr>
            <w:tcW w:w="6236"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Ltable"/>
              <w:spacing w:after="0" w:line="240" w:lineRule="auto"/>
            </w:pPr>
            <w:r w:rsidRPr="00362A15">
              <w:rPr>
                <w:rStyle w:val="bold"/>
              </w:rPr>
              <w:t>Opening balance</w:t>
            </w:r>
          </w:p>
        </w:tc>
        <w:tc>
          <w:tcPr>
            <w:tcW w:w="1418"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Rtable"/>
              <w:spacing w:after="0" w:line="240" w:lineRule="auto"/>
            </w:pPr>
            <w:r w:rsidRPr="00362A15">
              <w:rPr>
                <w:rStyle w:val="bold"/>
              </w:rPr>
              <w:t xml:space="preserve">(66,747) </w:t>
            </w:r>
          </w:p>
        </w:tc>
        <w:tc>
          <w:tcPr>
            <w:tcW w:w="1417" w:type="dxa"/>
            <w:tcBorders>
              <w:top w:val="nil"/>
              <w:left w:val="nil"/>
              <w:bottom w:val="nil"/>
              <w:right w:val="nil"/>
            </w:tcBorders>
            <w:tcMar>
              <w:top w:w="28" w:type="dxa"/>
              <w:left w:w="57" w:type="dxa"/>
              <w:bottom w:w="28" w:type="dxa"/>
              <w:right w:w="57" w:type="dxa"/>
            </w:tcMar>
            <w:vAlign w:val="bottom"/>
          </w:tcPr>
          <w:p w:rsidRPr="00362A15" w:rsidR="00F423CA" w:rsidP="00362A15" w:rsidRDefault="004E2DCE">
            <w:pPr>
              <w:pStyle w:val="bodytableRtable"/>
              <w:spacing w:after="0" w:line="240" w:lineRule="auto"/>
            </w:pPr>
            <w:r w:rsidRPr="00362A15">
              <w:rPr>
                <w:rStyle w:val="bold"/>
              </w:rPr>
              <w:t xml:space="preserve">(62,166) </w:t>
            </w:r>
          </w:p>
        </w:tc>
      </w:tr>
      <w:tr w:rsidRPr="00362A15" w:rsidR="00F423CA" w:rsidTr="00362A15">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Ltable"/>
              <w:spacing w:after="0" w:line="240" w:lineRule="auto"/>
            </w:pPr>
            <w:r w:rsidRPr="00362A15">
              <w:t>Depreciation</w:t>
            </w:r>
            <w:r w:rsidRPr="00362A15">
              <w:rPr>
                <w:rStyle w:val="Superscript"/>
              </w:rPr>
              <w:t xml:space="preserve"> (ii)</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t xml:space="preserve">(6,950)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t xml:space="preserve">(4,581) </w:t>
            </w:r>
          </w:p>
        </w:tc>
      </w:tr>
      <w:tr w:rsidRPr="00362A15" w:rsidR="00F423CA" w:rsidTr="00362A15">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Ltable"/>
              <w:spacing w:after="0" w:line="240" w:lineRule="auto"/>
            </w:pPr>
            <w:r w:rsidRPr="00362A15">
              <w:rPr>
                <w:rStyle w:val="bold"/>
              </w:rPr>
              <w:t>Closing balance</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bold"/>
              </w:rPr>
              <w:t xml:space="preserve">(73,697)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bold"/>
              </w:rPr>
              <w:t xml:space="preserve">(66,747) </w:t>
            </w:r>
          </w:p>
        </w:tc>
      </w:tr>
      <w:tr w:rsidRPr="00362A15" w:rsidR="00F423CA" w:rsidTr="00362A15">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Ltable"/>
              <w:spacing w:after="0" w:line="240" w:lineRule="auto"/>
            </w:pPr>
            <w:r w:rsidRPr="00362A15">
              <w:rPr>
                <w:rStyle w:val="bold"/>
              </w:rPr>
              <w:t>Net book value at end of financial year</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bold"/>
              </w:rPr>
              <w:t xml:space="preserve">70,499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62A15" w:rsidR="00F423CA" w:rsidP="00362A15" w:rsidRDefault="004E2DCE">
            <w:pPr>
              <w:pStyle w:val="bodytableRtable"/>
              <w:spacing w:after="0" w:line="240" w:lineRule="auto"/>
            </w:pPr>
            <w:r w:rsidRPr="00362A15">
              <w:rPr>
                <w:rStyle w:val="bold"/>
              </w:rPr>
              <w:t xml:space="preserve">46,077 </w:t>
            </w:r>
          </w:p>
        </w:tc>
      </w:tr>
    </w:tbl>
    <w:p w:rsidR="00F423CA" w:rsidP="00362A15" w:rsidRDefault="004E2DCE">
      <w:pPr>
        <w:pStyle w:val="notestable"/>
        <w:spacing w:before="60"/>
      </w:pPr>
      <w:r>
        <w:t>(</w:t>
      </w:r>
      <w:proofErr w:type="spellStart"/>
      <w:r>
        <w:t>i</w:t>
      </w:r>
      <w:proofErr w:type="spellEnd"/>
      <w:r>
        <w:t>) Intangible assets reported include both intangible assets under construction and capitalised intangible assets.</w:t>
      </w:r>
    </w:p>
    <w:p w:rsidR="00F423CA" w:rsidRDefault="004E2DCE">
      <w:pPr>
        <w:pStyle w:val="notestable"/>
        <w:spacing w:after="170"/>
      </w:pPr>
      <w:r>
        <w:t>(ii) The consumption of intangible assets is included in the depreciation expense line item in the comprehensive operating statement.</w:t>
      </w:r>
    </w:p>
    <w:p w:rsidR="00D670CB" w:rsidRDefault="00D670CB">
      <w:pPr>
        <w:rPr>
          <w:rStyle w:val="medium"/>
          <w:rFonts w:ascii="Arial" w:hAnsi="Arial" w:cs="Arial"/>
          <w:b/>
          <w:bCs/>
          <w:sz w:val="18"/>
          <w:szCs w:val="18"/>
          <w:lang w:val="en-GB"/>
        </w:rPr>
      </w:pPr>
      <w:r>
        <w:rPr>
          <w:rStyle w:val="medium"/>
          <w:b/>
          <w:bCs/>
        </w:rPr>
        <w:br w:type="page"/>
      </w:r>
    </w:p>
    <w:p w:rsidR="00F423CA" w:rsidRDefault="004E2DCE">
      <w:pPr>
        <w:pStyle w:val="Bodycopy"/>
        <w:spacing w:after="57"/>
        <w:rPr>
          <w:rStyle w:val="medium"/>
          <w:b/>
          <w:bCs/>
        </w:rPr>
      </w:pPr>
      <w:r>
        <w:rPr>
          <w:rStyle w:val="medium"/>
          <w:b/>
          <w:bCs/>
        </w:rPr>
        <w:lastRenderedPageBreak/>
        <w:t>Initial recognition</w:t>
      </w:r>
    </w:p>
    <w:p w:rsidR="00F423CA" w:rsidRDefault="004E2DCE">
      <w:pPr>
        <w:pStyle w:val="Bodycopy"/>
        <w:spacing w:after="57"/>
      </w:pPr>
      <w:r>
        <w:rPr>
          <w:rStyle w:val="medium"/>
          <w:b/>
          <w:bCs/>
        </w:rPr>
        <w:t>Purchased intangible assets</w:t>
      </w:r>
      <w:r>
        <w:t xml:space="preserve"> are initially recognised at cost.  </w:t>
      </w:r>
    </w:p>
    <w:p w:rsidR="00F423CA" w:rsidRDefault="004E2DCE">
      <w:pPr>
        <w:pStyle w:val="Bodycopy"/>
      </w:pPr>
      <w:r>
        <w:t xml:space="preserve">An </w:t>
      </w:r>
      <w:r>
        <w:rPr>
          <w:rStyle w:val="medium"/>
          <w:b/>
          <w:bCs/>
        </w:rPr>
        <w:t>internally generated intangible asset</w:t>
      </w:r>
      <w:r>
        <w:t xml:space="preserve"> arising from development is recognised if, and only if, all of the following are demonstrated:</w:t>
      </w:r>
    </w:p>
    <w:p w:rsidR="00F423CA" w:rsidRDefault="004E2DCE">
      <w:pPr>
        <w:pStyle w:val="BodycopyBullet"/>
      </w:pPr>
      <w:r>
        <w:t>the technical feasibility of completing the intangible asset so that it will be available for use or sale;</w:t>
      </w:r>
    </w:p>
    <w:p w:rsidR="00F423CA" w:rsidRDefault="004E2DCE">
      <w:pPr>
        <w:pStyle w:val="BodycopyBullet"/>
      </w:pPr>
      <w:r>
        <w:t>an intention to complete the intangible asset and use or sell it;</w:t>
      </w:r>
    </w:p>
    <w:p w:rsidR="00F423CA" w:rsidRDefault="004E2DCE">
      <w:pPr>
        <w:pStyle w:val="BodycopyBullet"/>
      </w:pPr>
      <w:r>
        <w:t>the ability to use or sell the intangible asset;</w:t>
      </w:r>
    </w:p>
    <w:p w:rsidR="00F423CA" w:rsidRDefault="004E2DCE">
      <w:pPr>
        <w:pStyle w:val="BodycopyBullet"/>
      </w:pPr>
      <w:r>
        <w:t>the intangible asset will generate probable future economic benefits;</w:t>
      </w:r>
    </w:p>
    <w:p w:rsidR="00F423CA" w:rsidRDefault="004E2DCE">
      <w:pPr>
        <w:pStyle w:val="BodycopyBullet"/>
      </w:pPr>
      <w:r>
        <w:t>the availability of adequate technical, financial and other resources to complete the development and to use or sell the intangible asset; and</w:t>
      </w:r>
    </w:p>
    <w:p w:rsidR="00F423CA" w:rsidRDefault="004E2DCE">
      <w:pPr>
        <w:pStyle w:val="BodycopyBulletspaceunder"/>
        <w:rPr>
          <w:spacing w:val="-4"/>
        </w:rPr>
      </w:pPr>
      <w:r>
        <w:rPr>
          <w:spacing w:val="-4"/>
        </w:rPr>
        <w:t>the ability to measure reliably the expenditure attributable to the intangible asset during its development.</w:t>
      </w:r>
    </w:p>
    <w:p w:rsidR="00F423CA" w:rsidRDefault="004E2DCE">
      <w:pPr>
        <w:pStyle w:val="Bodycopy"/>
        <w:spacing w:after="57"/>
        <w:rPr>
          <w:rStyle w:val="medium"/>
          <w:b/>
          <w:bCs/>
        </w:rPr>
      </w:pPr>
      <w:r>
        <w:rPr>
          <w:rStyle w:val="medium"/>
          <w:b/>
          <w:bCs/>
        </w:rPr>
        <w:t>Subsequent measurement</w:t>
      </w:r>
    </w:p>
    <w:p w:rsidR="00F423CA" w:rsidRDefault="004E2DCE">
      <w:pPr>
        <w:pStyle w:val="Bodycopy"/>
      </w:pPr>
      <w:r>
        <w:t>Intangible assets with finite useful lives are carried at cost less accumulated depreciation and impairment.  Refer to note 5.2.1 for information on depreciation and impairment.</w:t>
      </w:r>
    </w:p>
    <w:p w:rsidR="00F423CA" w:rsidRDefault="004E2DCE">
      <w:pPr>
        <w:pStyle w:val="Bodycopy"/>
        <w:spacing w:after="57"/>
        <w:rPr>
          <w:rStyle w:val="medium"/>
          <w:b/>
          <w:bCs/>
        </w:rPr>
      </w:pPr>
      <w:r>
        <w:rPr>
          <w:rStyle w:val="medium"/>
          <w:b/>
          <w:bCs/>
        </w:rPr>
        <w:t>Significant intangible assets</w:t>
      </w:r>
    </w:p>
    <w:p w:rsidR="00F423CA" w:rsidRDefault="004E2DCE">
      <w:pPr>
        <w:pStyle w:val="Bodycopy"/>
      </w:pPr>
      <w:r>
        <w:t>The department implemented the Victorian Infringements, Enforcement and Warrants System (VIEW) on 1 January 2018 at a value of $37.783 million. VIEW replaces the legacy Victorian Infringement Management System (VIMS) and is capable of providing improved verification, processing and monitoring of infringements and Courts fines. VIEW supports new enforcement arrangements under the Fines Reform Act 2014 for the 130 external agencies and 19 State Government users of the system.</w:t>
      </w:r>
    </w:p>
    <w:p w:rsidR="00F423CA" w:rsidRDefault="004E2DCE">
      <w:pPr>
        <w:pStyle w:val="H3"/>
      </w:pPr>
      <w:r>
        <w:t>5.4 Investments and other financial assets</w:t>
      </w:r>
    </w:p>
    <w:tbl>
      <w:tblPr>
        <w:tblW w:w="0" w:type="auto"/>
        <w:tblInd w:w="57" w:type="dxa"/>
        <w:tblLayout w:type="fixed"/>
        <w:tblCellMar>
          <w:left w:w="0" w:type="dxa"/>
          <w:right w:w="0" w:type="dxa"/>
        </w:tblCellMar>
        <w:tblLook w:firstRow="0" w:lastRow="0" w:firstColumn="0" w:lastColumn="0" w:noHBand="0" w:noVBand="0" w:val="0000"/>
      </w:tblPr>
      <w:tblGrid>
        <w:gridCol w:w="380"/>
        <w:gridCol w:w="5856"/>
        <w:gridCol w:w="1418"/>
        <w:gridCol w:w="1417"/>
      </w:tblGrid>
      <w:tr w:rsidRPr="00DE5DA7" w:rsidR="00F423CA" w:rsidTr="00DE5DA7">
        <w:trPr>
          <w:trHeight w:val="113"/>
          <w:tblHeader/>
        </w:trPr>
        <w:tc>
          <w:tcPr>
            <w:tcW w:w="380"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585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4E2DCE">
            <w:pPr>
              <w:pStyle w:val="bodytableLtable"/>
              <w:spacing w:after="0" w:line="240" w:lineRule="auto"/>
              <w:jc w:val="right"/>
            </w:pPr>
            <w:r w:rsidRPr="00DE5DA7">
              <w:rPr>
                <w:rStyle w:val="medium"/>
                <w:b/>
                <w:bCs/>
                <w:color w:val="542E8E"/>
              </w:rPr>
              <w:t>($ thousand)</w:t>
            </w:r>
          </w:p>
        </w:tc>
      </w:tr>
      <w:tr w:rsidRPr="00DE5DA7" w:rsidR="00F423CA" w:rsidTr="00DE5DA7">
        <w:trPr>
          <w:trHeight w:val="113"/>
          <w:tblHeader/>
        </w:trPr>
        <w:tc>
          <w:tcPr>
            <w:tcW w:w="38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585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4E2DCE">
            <w:pPr>
              <w:pStyle w:val="bodytableLtable"/>
              <w:spacing w:after="0" w:line="240" w:lineRule="auto"/>
              <w:jc w:val="right"/>
            </w:pPr>
            <w:r w:rsidRPr="00DE5DA7">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E5DA7" w:rsidR="00F423CA" w:rsidP="00DE5DA7" w:rsidRDefault="004E2DCE">
            <w:pPr>
              <w:pStyle w:val="bodytableLtable"/>
              <w:spacing w:after="0" w:line="240" w:lineRule="auto"/>
              <w:jc w:val="right"/>
            </w:pPr>
            <w:r w:rsidRPr="00DE5DA7">
              <w:rPr>
                <w:rStyle w:val="medium"/>
                <w:b/>
                <w:bCs/>
                <w:color w:val="542E8E"/>
              </w:rPr>
              <w:t>2017</w:t>
            </w:r>
          </w:p>
        </w:tc>
      </w:tr>
      <w:tr w:rsidRPr="00DE5DA7" w:rsidR="00F423CA" w:rsidTr="00DE5DA7">
        <w:trPr>
          <w:trHeight w:val="113"/>
        </w:trPr>
        <w:tc>
          <w:tcPr>
            <w:tcW w:w="6236" w:type="dxa"/>
            <w:gridSpan w:val="2"/>
            <w:tcBorders>
              <w:top w:val="single" w:color="000000" w:sz="8" w:space="0"/>
              <w:left w:val="nil"/>
              <w:bottom w:val="nil"/>
              <w:right w:val="nil"/>
            </w:tcBorders>
            <w:tcMar>
              <w:top w:w="57" w:type="dxa"/>
              <w:left w:w="57" w:type="dxa"/>
              <w:bottom w:w="57" w:type="dxa"/>
              <w:right w:w="57" w:type="dxa"/>
            </w:tcMar>
            <w:vAlign w:val="bottom"/>
          </w:tcPr>
          <w:p w:rsidRPr="00DE5DA7" w:rsidR="00F423CA" w:rsidP="00DE5DA7" w:rsidRDefault="004E2DCE">
            <w:pPr>
              <w:pStyle w:val="bodytableLtable"/>
              <w:spacing w:after="0" w:line="240" w:lineRule="auto"/>
            </w:pPr>
            <w:r w:rsidRPr="00DE5DA7">
              <w:rPr>
                <w:rStyle w:val="medium"/>
                <w:b/>
                <w:bCs/>
              </w:rPr>
              <w:t>Current investments and other financial assets</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r>
      <w:tr w:rsidRPr="00DE5DA7" w:rsidR="00F423CA" w:rsidTr="00DE5DA7">
        <w:trPr>
          <w:trHeight w:val="113"/>
        </w:trPr>
        <w:tc>
          <w:tcPr>
            <w:tcW w:w="6236" w:type="dxa"/>
            <w:gridSpan w:val="2"/>
            <w:tcBorders>
              <w:top w:val="nil"/>
              <w:left w:val="nil"/>
              <w:bottom w:val="single" w:color="000000" w:sz="6" w:space="0"/>
              <w:right w:val="nil"/>
            </w:tcBorders>
            <w:tcMar>
              <w:top w:w="28" w:type="dxa"/>
              <w:left w:w="57" w:type="dxa"/>
              <w:bottom w:w="57" w:type="dxa"/>
              <w:right w:w="57" w:type="dxa"/>
            </w:tcMar>
            <w:vAlign w:val="bottom"/>
          </w:tcPr>
          <w:p w:rsidRPr="00DE5DA7" w:rsidR="00F423CA" w:rsidP="00DE5DA7" w:rsidRDefault="004E2DCE">
            <w:pPr>
              <w:pStyle w:val="bodytableLtable"/>
              <w:spacing w:after="0" w:line="240" w:lineRule="auto"/>
              <w:ind w:left="227" w:hanging="227"/>
            </w:pPr>
            <w:r w:rsidRPr="00DE5DA7">
              <w:t>Term deposits &gt; 3 months</w:t>
            </w:r>
            <w:r w:rsidRPr="00DE5DA7">
              <w:rPr>
                <w:rStyle w:val="Superscript"/>
              </w:rPr>
              <w:t xml:space="preserve"> (</w:t>
            </w:r>
            <w:proofErr w:type="spellStart"/>
            <w:r w:rsidRPr="00DE5DA7">
              <w:rPr>
                <w:rStyle w:val="Superscript"/>
              </w:rPr>
              <w:t>i</w:t>
            </w:r>
            <w:proofErr w:type="spellEnd"/>
            <w:r w:rsidRPr="00DE5DA7">
              <w:rPr>
                <w:rStyle w:val="Superscript"/>
              </w:rPr>
              <w:t>)</w:t>
            </w:r>
          </w:p>
        </w:tc>
        <w:tc>
          <w:tcPr>
            <w:tcW w:w="1418" w:type="dxa"/>
            <w:tcBorders>
              <w:top w:val="nil"/>
              <w:left w:val="nil"/>
              <w:bottom w:val="single" w:color="000000" w:sz="6" w:space="0"/>
              <w:right w:val="nil"/>
            </w:tcBorders>
            <w:tcMar>
              <w:top w:w="28" w:type="dxa"/>
              <w:left w:w="57" w:type="dxa"/>
              <w:bottom w:w="57" w:type="dxa"/>
              <w:right w:w="57" w:type="dxa"/>
            </w:tcMar>
            <w:vAlign w:val="bottom"/>
          </w:tcPr>
          <w:p w:rsidRPr="00DE5DA7" w:rsidR="00F423CA" w:rsidP="00DE5DA7" w:rsidRDefault="004E2DCE">
            <w:pPr>
              <w:pStyle w:val="bodytableRtable"/>
              <w:spacing w:after="0" w:line="240" w:lineRule="auto"/>
            </w:pPr>
            <w:r w:rsidRPr="00DE5DA7">
              <w:t xml:space="preserve">24,654 </w:t>
            </w:r>
          </w:p>
        </w:tc>
        <w:tc>
          <w:tcPr>
            <w:tcW w:w="1417" w:type="dxa"/>
            <w:tcBorders>
              <w:top w:val="nil"/>
              <w:left w:val="nil"/>
              <w:bottom w:val="single" w:color="000000" w:sz="6" w:space="0"/>
              <w:right w:val="nil"/>
            </w:tcBorders>
            <w:tcMar>
              <w:top w:w="28" w:type="dxa"/>
              <w:left w:w="57" w:type="dxa"/>
              <w:bottom w:w="57" w:type="dxa"/>
              <w:right w:w="57" w:type="dxa"/>
            </w:tcMar>
            <w:vAlign w:val="bottom"/>
          </w:tcPr>
          <w:p w:rsidRPr="00DE5DA7" w:rsidR="00F423CA" w:rsidP="00DE5DA7" w:rsidRDefault="004E2DCE">
            <w:pPr>
              <w:pStyle w:val="bodytableRtable"/>
              <w:spacing w:after="0" w:line="240" w:lineRule="auto"/>
            </w:pPr>
            <w:r w:rsidRPr="00DE5DA7">
              <w:t xml:space="preserve">100,000 </w:t>
            </w:r>
          </w:p>
        </w:tc>
      </w:tr>
      <w:tr w:rsidRPr="00DE5DA7" w:rsidR="00F423CA" w:rsidTr="00DE5DA7">
        <w:trPr>
          <w:trHeight w:val="113"/>
        </w:trPr>
        <w:tc>
          <w:tcPr>
            <w:tcW w:w="6236"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Ltable"/>
              <w:spacing w:after="0" w:line="240" w:lineRule="auto"/>
            </w:pPr>
            <w:r w:rsidRPr="00DE5DA7">
              <w:rPr>
                <w:rStyle w:val="medium"/>
                <w:b/>
                <w:bCs/>
              </w:rPr>
              <w:t>Total current investments and other financial assets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rPr>
                <w:rStyle w:val="medium"/>
                <w:b/>
                <w:bCs/>
              </w:rPr>
              <w:t xml:space="preserve">24,654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rPr>
                <w:rStyle w:val="medium"/>
                <w:b/>
                <w:bCs/>
              </w:rPr>
              <w:t xml:space="preserve">100,000 </w:t>
            </w:r>
          </w:p>
        </w:tc>
      </w:tr>
      <w:tr w:rsidRPr="00DE5DA7" w:rsidR="00F423CA" w:rsidTr="00DE5DA7">
        <w:trPr>
          <w:trHeight w:val="113"/>
        </w:trPr>
        <w:tc>
          <w:tcPr>
            <w:tcW w:w="6236" w:type="dxa"/>
            <w:gridSpan w:val="2"/>
            <w:tcBorders>
              <w:top w:val="single" w:color="000000" w:sz="6" w:space="0"/>
              <w:left w:val="nil"/>
              <w:bottom w:val="nil"/>
              <w:right w:val="nil"/>
            </w:tcBorders>
            <w:tcMar>
              <w:top w:w="57" w:type="dxa"/>
              <w:left w:w="57" w:type="dxa"/>
              <w:bottom w:w="57" w:type="dxa"/>
              <w:right w:w="57" w:type="dxa"/>
            </w:tcMar>
            <w:vAlign w:val="bottom"/>
          </w:tcPr>
          <w:p w:rsidRPr="00DE5DA7" w:rsidR="00F423CA" w:rsidP="00DE5DA7" w:rsidRDefault="004E2DCE">
            <w:pPr>
              <w:pStyle w:val="bodytableLtable"/>
              <w:spacing w:after="0" w:line="240" w:lineRule="auto"/>
            </w:pPr>
            <w:r w:rsidRPr="00DE5DA7">
              <w:rPr>
                <w:rStyle w:val="medium"/>
                <w:b/>
                <w:bCs/>
              </w:rPr>
              <w:t>Non-current investments and other financial assets</w:t>
            </w: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r>
      <w:tr w:rsidRPr="00DE5DA7" w:rsidR="00F423CA" w:rsidTr="00DE5DA7">
        <w:trPr>
          <w:trHeight w:val="113"/>
        </w:trPr>
        <w:tc>
          <w:tcPr>
            <w:tcW w:w="6236" w:type="dxa"/>
            <w:gridSpan w:val="2"/>
            <w:tcBorders>
              <w:top w:val="nil"/>
              <w:left w:val="nil"/>
              <w:bottom w:val="nil"/>
              <w:right w:val="nil"/>
            </w:tcBorders>
            <w:tcMar>
              <w:top w:w="28" w:type="dxa"/>
              <w:left w:w="57" w:type="dxa"/>
              <w:bottom w:w="28" w:type="dxa"/>
              <w:right w:w="57" w:type="dxa"/>
            </w:tcMar>
            <w:vAlign w:val="bottom"/>
          </w:tcPr>
          <w:p w:rsidRPr="00DE5DA7" w:rsidR="00F423CA" w:rsidP="00DE5DA7" w:rsidRDefault="004E2DCE">
            <w:pPr>
              <w:pStyle w:val="bodytableLtable"/>
              <w:spacing w:after="0" w:line="240" w:lineRule="auto"/>
            </w:pPr>
            <w:r w:rsidRPr="00DE5DA7">
              <w:t>Managed investment schemes</w:t>
            </w:r>
            <w:r w:rsidRPr="00DE5DA7">
              <w:rPr>
                <w:rStyle w:val="Superscript"/>
              </w:rPr>
              <w:t xml:space="preserve"> (ii)</w:t>
            </w:r>
          </w:p>
        </w:tc>
        <w:tc>
          <w:tcPr>
            <w:tcW w:w="1418" w:type="dxa"/>
            <w:tcBorders>
              <w:top w:val="nil"/>
              <w:left w:val="nil"/>
              <w:bottom w:val="nil"/>
              <w:right w:val="nil"/>
            </w:tcBorders>
            <w:tcMar>
              <w:top w:w="28" w:type="dxa"/>
              <w:left w:w="57" w:type="dxa"/>
              <w:bottom w:w="28"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28" w:type="dxa"/>
              <w:left w:w="57" w:type="dxa"/>
              <w:bottom w:w="28" w:type="dxa"/>
              <w:right w:w="57" w:type="dxa"/>
            </w:tcMar>
            <w:vAlign w:val="bottom"/>
          </w:tcPr>
          <w:p w:rsidRPr="00DE5DA7" w:rsidR="00F423CA" w:rsidP="00DE5DA7" w:rsidRDefault="00F423CA">
            <w:pPr>
              <w:pStyle w:val="NoParagraphStyle"/>
              <w:spacing w:line="240" w:lineRule="auto"/>
              <w:textAlignment w:val="auto"/>
              <w:rPr>
                <w:rFonts w:ascii="Arial" w:hAnsi="Arial" w:cs="Arial"/>
                <w:color w:val="auto"/>
                <w:sz w:val="16"/>
                <w:szCs w:val="16"/>
              </w:rPr>
            </w:pPr>
          </w:p>
        </w:tc>
      </w:tr>
      <w:tr w:rsidRPr="00DE5DA7" w:rsidR="00F423CA" w:rsidTr="00DE5DA7">
        <w:trPr>
          <w:trHeight w:val="113"/>
        </w:trPr>
        <w:tc>
          <w:tcPr>
            <w:tcW w:w="6236" w:type="dxa"/>
            <w:gridSpan w:val="2"/>
            <w:tcBorders>
              <w:top w:val="nil"/>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Ltable"/>
              <w:spacing w:after="0" w:line="240" w:lineRule="auto"/>
              <w:ind w:left="227" w:hanging="227"/>
            </w:pPr>
            <w:r w:rsidRPr="00DE5DA7">
              <w:t>Multi-strategy funds</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t xml:space="preserve">222,049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t xml:space="preserve">234,124 </w:t>
            </w:r>
          </w:p>
        </w:tc>
      </w:tr>
      <w:tr w:rsidRPr="00DE5DA7" w:rsidR="00F423CA" w:rsidTr="00DE5DA7">
        <w:trPr>
          <w:trHeight w:val="113"/>
        </w:trPr>
        <w:tc>
          <w:tcPr>
            <w:tcW w:w="6236"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Ltable"/>
              <w:spacing w:after="0" w:line="240" w:lineRule="auto"/>
            </w:pPr>
            <w:r w:rsidRPr="00DE5DA7">
              <w:rPr>
                <w:rStyle w:val="medium"/>
                <w:b/>
                <w:bCs/>
              </w:rPr>
              <w:t>Total non-current investments and other financial assets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rPr>
                <w:rStyle w:val="medium"/>
                <w:b/>
                <w:bCs/>
              </w:rPr>
              <w:t xml:space="preserve">222,049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rPr>
                <w:rStyle w:val="medium"/>
                <w:b/>
                <w:bCs/>
              </w:rPr>
              <w:t xml:space="preserve">234,124 </w:t>
            </w:r>
          </w:p>
        </w:tc>
      </w:tr>
      <w:tr w:rsidRPr="00DE5DA7" w:rsidR="00F423CA" w:rsidTr="00DE5DA7">
        <w:trPr>
          <w:trHeight w:val="113"/>
        </w:trPr>
        <w:tc>
          <w:tcPr>
            <w:tcW w:w="6236"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Ltable"/>
              <w:spacing w:after="0" w:line="240" w:lineRule="auto"/>
            </w:pPr>
            <w:r w:rsidRPr="00DE5DA7">
              <w:rPr>
                <w:rStyle w:val="medium"/>
                <w:b/>
                <w:bCs/>
              </w:rPr>
              <w:t>Total investments and other financial assets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rPr>
                <w:rStyle w:val="medium"/>
                <w:b/>
                <w:bCs/>
              </w:rPr>
              <w:t xml:space="preserve">246,703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E5DA7" w:rsidR="00F423CA" w:rsidP="00DE5DA7" w:rsidRDefault="004E2DCE">
            <w:pPr>
              <w:pStyle w:val="bodytableRtable"/>
              <w:spacing w:after="0" w:line="240" w:lineRule="auto"/>
            </w:pPr>
            <w:r w:rsidRPr="00DE5DA7">
              <w:rPr>
                <w:rStyle w:val="medium"/>
                <w:b/>
                <w:bCs/>
              </w:rPr>
              <w:t xml:space="preserve">334,124 </w:t>
            </w:r>
          </w:p>
        </w:tc>
      </w:tr>
    </w:tbl>
    <w:p w:rsidR="00F423CA" w:rsidP="00DE5DA7" w:rsidRDefault="004E2DCE">
      <w:pPr>
        <w:pStyle w:val="notestable"/>
        <w:spacing w:before="60"/>
        <w:rPr>
          <w:spacing w:val="-1"/>
        </w:rPr>
      </w:pPr>
      <w:r>
        <w:t>(</w:t>
      </w:r>
      <w:proofErr w:type="spellStart"/>
      <w:r>
        <w:t>i</w:t>
      </w:r>
      <w:proofErr w:type="spellEnd"/>
      <w:r>
        <w:t xml:space="preserve">)  </w:t>
      </w:r>
      <w:r>
        <w:rPr>
          <w:spacing w:val="-1"/>
        </w:rPr>
        <w:t>Term deposits under ‘investments and other financial assets’ class include only term deposits with maturity greater than 3 months.</w:t>
      </w:r>
    </w:p>
    <w:p w:rsidR="00F423CA" w:rsidRDefault="004E2DCE">
      <w:pPr>
        <w:pStyle w:val="notestable"/>
      </w:pPr>
      <w:r>
        <w:t>(ii) The department designated all its managed investment schemes at fair value through profit or loss.</w:t>
      </w:r>
    </w:p>
    <w:p w:rsidR="00F423CA" w:rsidRDefault="00F423CA">
      <w:pPr>
        <w:pStyle w:val="notestable"/>
      </w:pPr>
    </w:p>
    <w:p w:rsidR="00F423CA" w:rsidRDefault="004E2DCE">
      <w:pPr>
        <w:pStyle w:val="H2"/>
      </w:pPr>
      <w:bookmarkStart w:id="15" w:name="_Toc525290073"/>
      <w:r>
        <w:t>6. Other assets and liabilities</w:t>
      </w:r>
      <w:bookmarkEnd w:id="15"/>
    </w:p>
    <w:p w:rsidR="00F423CA" w:rsidRDefault="004E2DCE">
      <w:pPr>
        <w:pStyle w:val="H3"/>
      </w:pPr>
      <w:r>
        <w:t>6.1 Introduction</w:t>
      </w:r>
    </w:p>
    <w:p w:rsidR="00F423CA" w:rsidRDefault="004E2DCE">
      <w:pPr>
        <w:pStyle w:val="Bodycopy"/>
      </w:pPr>
      <w:r>
        <w:t xml:space="preserve">This note sets out those assets and liabilities that arose from the </w:t>
      </w:r>
      <w:proofErr w:type="gramStart"/>
      <w:r>
        <w:t>department’s controlled</w:t>
      </w:r>
      <w:proofErr w:type="gramEnd"/>
      <w:r>
        <w:t xml:space="preserve"> operations.</w:t>
      </w:r>
    </w:p>
    <w:p w:rsidR="00F423CA" w:rsidRDefault="004E2DCE">
      <w:pPr>
        <w:pStyle w:val="H3"/>
      </w:pPr>
      <w:r>
        <w:t>6.2 Receivables</w:t>
      </w:r>
    </w:p>
    <w:tbl>
      <w:tblPr>
        <w:tblW w:w="0" w:type="auto"/>
        <w:tblInd w:w="57" w:type="dxa"/>
        <w:tblLayout w:type="fixed"/>
        <w:tblCellMar>
          <w:left w:w="0" w:type="dxa"/>
          <w:right w:w="0" w:type="dxa"/>
        </w:tblCellMar>
        <w:tblLook w:firstRow="0" w:lastRow="0" w:firstColumn="0" w:lastColumn="0" w:noHBand="0" w:noVBand="0" w:val="0000"/>
      </w:tblPr>
      <w:tblGrid>
        <w:gridCol w:w="6222"/>
        <w:gridCol w:w="1417"/>
        <w:gridCol w:w="1418"/>
      </w:tblGrid>
      <w:tr w:rsidRPr="00D670CB" w:rsidR="00F423CA" w:rsidTr="00D670CB">
        <w:trPr>
          <w:trHeight w:val="113"/>
          <w:tblHeader/>
        </w:trPr>
        <w:tc>
          <w:tcPr>
            <w:tcW w:w="622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D670CB" w:rsidR="00F423CA" w:rsidP="00D670CB" w:rsidRDefault="004E2DCE">
            <w:pPr>
              <w:pStyle w:val="bodytableLtable"/>
              <w:spacing w:after="0" w:line="240" w:lineRule="auto"/>
              <w:jc w:val="right"/>
            </w:pPr>
            <w:r w:rsidRPr="00D670CB">
              <w:rPr>
                <w:rStyle w:val="medium"/>
                <w:b/>
                <w:bCs/>
                <w:color w:val="542E8E"/>
              </w:rPr>
              <w:t>($ thousand)</w:t>
            </w:r>
          </w:p>
        </w:tc>
      </w:tr>
      <w:tr w:rsidRPr="00D670CB" w:rsidR="00F423CA" w:rsidTr="00D670CB">
        <w:trPr>
          <w:trHeight w:val="113"/>
          <w:tblHeader/>
        </w:trPr>
        <w:tc>
          <w:tcPr>
            <w:tcW w:w="622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670CB" w:rsidR="00F423CA" w:rsidP="00D670CB" w:rsidRDefault="004E2DCE">
            <w:pPr>
              <w:pStyle w:val="bodytableLtable"/>
              <w:spacing w:after="0" w:line="240" w:lineRule="auto"/>
              <w:jc w:val="right"/>
            </w:pPr>
            <w:r w:rsidRPr="00D670CB">
              <w:rPr>
                <w:rStyle w:val="medium"/>
                <w:b/>
                <w:bCs/>
                <w:color w:val="542E8E"/>
              </w:rPr>
              <w:t>2018</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D670CB" w:rsidR="00F423CA" w:rsidP="00D670CB" w:rsidRDefault="004E2DCE">
            <w:pPr>
              <w:pStyle w:val="bodytableLtable"/>
              <w:spacing w:after="0" w:line="240" w:lineRule="auto"/>
              <w:jc w:val="right"/>
            </w:pPr>
            <w:r w:rsidRPr="00D670CB">
              <w:rPr>
                <w:rStyle w:val="medium"/>
                <w:b/>
                <w:bCs/>
                <w:color w:val="542E8E"/>
              </w:rPr>
              <w:t>2017</w:t>
            </w:r>
          </w:p>
        </w:tc>
      </w:tr>
      <w:tr w:rsidRPr="00D670CB" w:rsidR="00F423CA" w:rsidTr="00D670CB">
        <w:trPr>
          <w:trHeight w:val="113"/>
        </w:trPr>
        <w:tc>
          <w:tcPr>
            <w:tcW w:w="6222" w:type="dxa"/>
            <w:tcBorders>
              <w:top w:val="single" w:color="000000" w:sz="8" w:space="0"/>
              <w:left w:val="nil"/>
              <w:bottom w:val="nil"/>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rPr>
                <w:rStyle w:val="medium"/>
                <w:b/>
                <w:bCs/>
              </w:rPr>
              <w:t>Contractual</w:t>
            </w: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r>
      <w:tr w:rsidRPr="00D670CB" w:rsidR="00F423CA" w:rsidTr="00D670CB">
        <w:trPr>
          <w:trHeight w:val="113"/>
        </w:trPr>
        <w:tc>
          <w:tcPr>
            <w:tcW w:w="6222"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Ltable"/>
              <w:spacing w:after="0" w:line="240" w:lineRule="auto"/>
            </w:pPr>
            <w:r w:rsidRPr="00D670CB">
              <w:t>Advance to Metropolitan Fire and Emergency Services Board</w:t>
            </w:r>
          </w:p>
        </w:tc>
        <w:tc>
          <w:tcPr>
            <w:tcW w:w="1417"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1,189 </w:t>
            </w:r>
          </w:p>
        </w:tc>
        <w:tc>
          <w:tcPr>
            <w:tcW w:w="1418"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1,427 </w:t>
            </w:r>
          </w:p>
        </w:tc>
      </w:tr>
      <w:tr w:rsidRPr="00D670CB" w:rsidR="00F423CA" w:rsidTr="00D670CB">
        <w:trPr>
          <w:trHeight w:val="113"/>
        </w:trPr>
        <w:tc>
          <w:tcPr>
            <w:tcW w:w="6222"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Ltable"/>
              <w:spacing w:after="0" w:line="240" w:lineRule="auto"/>
            </w:pPr>
            <w:r w:rsidRPr="00D670CB">
              <w:t>Accrued interest income (</w:t>
            </w:r>
            <w:proofErr w:type="spellStart"/>
            <w:r w:rsidRPr="00D670CB">
              <w:t>i</w:t>
            </w:r>
            <w:proofErr w:type="spellEnd"/>
            <w:r w:rsidRPr="00D670CB">
              <w:t>)</w:t>
            </w:r>
          </w:p>
        </w:tc>
        <w:tc>
          <w:tcPr>
            <w:tcW w:w="1417"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2,214 </w:t>
            </w:r>
          </w:p>
        </w:tc>
        <w:tc>
          <w:tcPr>
            <w:tcW w:w="1418"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3,157 </w:t>
            </w:r>
          </w:p>
        </w:tc>
      </w:tr>
      <w:tr w:rsidRPr="00D670CB" w:rsidR="00F423CA" w:rsidTr="00D670CB">
        <w:trPr>
          <w:trHeight w:val="113"/>
        </w:trPr>
        <w:tc>
          <w:tcPr>
            <w:tcW w:w="6222"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Ltable"/>
              <w:spacing w:after="0" w:line="240" w:lineRule="auto"/>
            </w:pPr>
            <w:r w:rsidRPr="00D670CB">
              <w:t>Other receivables (</w:t>
            </w:r>
            <w:proofErr w:type="spellStart"/>
            <w:r w:rsidRPr="00D670CB">
              <w:t>i</w:t>
            </w:r>
            <w:proofErr w:type="spellEnd"/>
            <w:r w:rsidRPr="00D670CB">
              <w:t>)</w:t>
            </w:r>
          </w:p>
        </w:tc>
        <w:tc>
          <w:tcPr>
            <w:tcW w:w="1417"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14,339 </w:t>
            </w:r>
          </w:p>
        </w:tc>
        <w:tc>
          <w:tcPr>
            <w:tcW w:w="1418"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6,793 </w:t>
            </w:r>
          </w:p>
        </w:tc>
      </w:tr>
      <w:tr w:rsidRPr="00D670CB" w:rsidR="00F423CA" w:rsidTr="00D670CB">
        <w:trPr>
          <w:trHeight w:val="113"/>
        </w:trPr>
        <w:tc>
          <w:tcPr>
            <w:tcW w:w="6222"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t>Provision for doubtful contractual receivables</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t xml:space="preserve">(771)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t xml:space="preserve">(1,279) </w:t>
            </w:r>
          </w:p>
        </w:tc>
      </w:tr>
      <w:tr w:rsidRPr="00D670CB" w:rsidR="00F423CA" w:rsidTr="00D670CB">
        <w:trPr>
          <w:trHeight w:val="113"/>
        </w:trPr>
        <w:tc>
          <w:tcPr>
            <w:tcW w:w="622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rPr>
                <w:rStyle w:val="medium"/>
                <w:b/>
                <w:bCs/>
              </w:rPr>
              <w:t>Total contractual receivables</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rPr>
                <w:rStyle w:val="medium"/>
                <w:b/>
                <w:bCs/>
              </w:rPr>
              <w:t xml:space="preserve">16,971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rPr>
                <w:rStyle w:val="medium"/>
                <w:b/>
                <w:bCs/>
              </w:rPr>
              <w:t xml:space="preserve">10,098 </w:t>
            </w:r>
          </w:p>
        </w:tc>
      </w:tr>
      <w:tr w:rsidRPr="00D670CB" w:rsidR="00F423CA" w:rsidTr="00D670CB">
        <w:trPr>
          <w:trHeight w:val="113"/>
        </w:trPr>
        <w:tc>
          <w:tcPr>
            <w:tcW w:w="6222" w:type="dxa"/>
            <w:tcBorders>
              <w:top w:val="single" w:color="000000" w:sz="6" w:space="0"/>
              <w:left w:val="nil"/>
              <w:bottom w:val="nil"/>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rPr>
                <w:rStyle w:val="medium"/>
                <w:b/>
                <w:bCs/>
              </w:rPr>
              <w:t>Statutory</w:t>
            </w: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r>
      <w:tr w:rsidRPr="00D670CB" w:rsidR="00F423CA" w:rsidTr="00D670CB">
        <w:trPr>
          <w:trHeight w:val="113"/>
        </w:trPr>
        <w:tc>
          <w:tcPr>
            <w:tcW w:w="6222"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Ltable"/>
              <w:spacing w:after="0" w:line="240" w:lineRule="auto"/>
            </w:pPr>
            <w:r w:rsidRPr="00D670CB">
              <w:t>Amounts owing from Victorian Government</w:t>
            </w:r>
          </w:p>
        </w:tc>
        <w:tc>
          <w:tcPr>
            <w:tcW w:w="1417"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1,008,359 </w:t>
            </w:r>
          </w:p>
        </w:tc>
        <w:tc>
          <w:tcPr>
            <w:tcW w:w="1418"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835,395 </w:t>
            </w:r>
          </w:p>
        </w:tc>
      </w:tr>
      <w:tr w:rsidRPr="00D670CB" w:rsidR="00F423CA" w:rsidTr="00D670CB">
        <w:trPr>
          <w:trHeight w:val="113"/>
        </w:trPr>
        <w:tc>
          <w:tcPr>
            <w:tcW w:w="6222"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t>GST input tax credit recoverable</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t xml:space="preserve">36,315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t xml:space="preserve">25,780 </w:t>
            </w:r>
          </w:p>
        </w:tc>
      </w:tr>
      <w:tr w:rsidRPr="00D670CB" w:rsidR="00F423CA" w:rsidTr="00D670CB">
        <w:trPr>
          <w:trHeight w:val="113"/>
        </w:trPr>
        <w:tc>
          <w:tcPr>
            <w:tcW w:w="622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rPr>
                <w:rStyle w:val="medium"/>
                <w:b/>
                <w:bCs/>
              </w:rPr>
              <w:t>Total statutory receivables</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rPr>
                <w:rStyle w:val="medium"/>
                <w:b/>
                <w:bCs/>
              </w:rPr>
              <w:t xml:space="preserve">1,044,674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rPr>
                <w:rStyle w:val="medium"/>
                <w:b/>
                <w:bCs/>
              </w:rPr>
              <w:t xml:space="preserve">861,175 </w:t>
            </w:r>
          </w:p>
        </w:tc>
      </w:tr>
      <w:tr w:rsidRPr="00D670CB" w:rsidR="00F423CA" w:rsidTr="00D670CB">
        <w:trPr>
          <w:trHeight w:val="113"/>
        </w:trPr>
        <w:tc>
          <w:tcPr>
            <w:tcW w:w="622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rPr>
                <w:rStyle w:val="medium"/>
                <w:b/>
                <w:bCs/>
              </w:rPr>
              <w:t>Total receivables</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rPr>
                <w:rStyle w:val="medium"/>
                <w:b/>
                <w:bCs/>
              </w:rPr>
              <w:t xml:space="preserve">1,061,645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rPr>
                <w:rStyle w:val="medium"/>
                <w:b/>
                <w:bCs/>
              </w:rPr>
              <w:t xml:space="preserve">871,273 </w:t>
            </w:r>
          </w:p>
        </w:tc>
      </w:tr>
      <w:tr w:rsidRPr="00D670CB" w:rsidR="00F423CA" w:rsidTr="00D670CB">
        <w:trPr>
          <w:trHeight w:val="113"/>
        </w:trPr>
        <w:tc>
          <w:tcPr>
            <w:tcW w:w="6222" w:type="dxa"/>
            <w:tcBorders>
              <w:top w:val="single" w:color="000000" w:sz="6" w:space="0"/>
              <w:left w:val="nil"/>
              <w:bottom w:val="nil"/>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t>Represented by</w:t>
            </w: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D670CB" w:rsidR="00F423CA" w:rsidP="00D670CB" w:rsidRDefault="00F423CA">
            <w:pPr>
              <w:pStyle w:val="NoParagraphStyle"/>
              <w:spacing w:line="240" w:lineRule="auto"/>
              <w:textAlignment w:val="auto"/>
              <w:rPr>
                <w:rFonts w:ascii="Arial" w:hAnsi="Arial" w:cs="Arial"/>
                <w:color w:val="auto"/>
                <w:sz w:val="16"/>
                <w:szCs w:val="16"/>
              </w:rPr>
            </w:pPr>
          </w:p>
        </w:tc>
      </w:tr>
      <w:tr w:rsidRPr="00D670CB" w:rsidR="00F423CA" w:rsidTr="00D670CB">
        <w:trPr>
          <w:trHeight w:val="113"/>
        </w:trPr>
        <w:tc>
          <w:tcPr>
            <w:tcW w:w="6222"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Ltable"/>
              <w:spacing w:after="0" w:line="240" w:lineRule="auto"/>
            </w:pPr>
            <w:r w:rsidRPr="00D670CB">
              <w:lastRenderedPageBreak/>
              <w:t>Current receivables</w:t>
            </w:r>
          </w:p>
        </w:tc>
        <w:tc>
          <w:tcPr>
            <w:tcW w:w="1417"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868,569 </w:t>
            </w:r>
          </w:p>
        </w:tc>
        <w:tc>
          <w:tcPr>
            <w:tcW w:w="1418" w:type="dxa"/>
            <w:tcBorders>
              <w:top w:val="nil"/>
              <w:left w:val="nil"/>
              <w:bottom w:val="nil"/>
              <w:right w:val="nil"/>
            </w:tcBorders>
            <w:tcMar>
              <w:top w:w="28" w:type="dxa"/>
              <w:left w:w="57" w:type="dxa"/>
              <w:bottom w:w="28" w:type="dxa"/>
              <w:right w:w="57" w:type="dxa"/>
            </w:tcMar>
            <w:vAlign w:val="bottom"/>
          </w:tcPr>
          <w:p w:rsidRPr="00D670CB" w:rsidR="00F423CA" w:rsidP="00D670CB" w:rsidRDefault="004E2DCE">
            <w:pPr>
              <w:pStyle w:val="bodytableRtable"/>
              <w:spacing w:after="0" w:line="240" w:lineRule="auto"/>
            </w:pPr>
            <w:r w:rsidRPr="00D670CB">
              <w:t xml:space="preserve">675,602 </w:t>
            </w:r>
          </w:p>
        </w:tc>
      </w:tr>
      <w:tr w:rsidRPr="00D670CB" w:rsidR="00F423CA" w:rsidTr="00D670CB">
        <w:trPr>
          <w:trHeight w:val="113"/>
        </w:trPr>
        <w:tc>
          <w:tcPr>
            <w:tcW w:w="6222"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Ltable"/>
              <w:spacing w:after="0" w:line="240" w:lineRule="auto"/>
            </w:pPr>
            <w:r w:rsidRPr="00D670CB">
              <w:t>Non-current receivables</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t xml:space="preserve">193,076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D670CB" w:rsidR="00F423CA" w:rsidP="00D670CB" w:rsidRDefault="004E2DCE">
            <w:pPr>
              <w:pStyle w:val="bodytableRtable"/>
              <w:spacing w:after="0" w:line="240" w:lineRule="auto"/>
            </w:pPr>
            <w:r w:rsidRPr="00D670CB">
              <w:t xml:space="preserve">195,671 </w:t>
            </w:r>
          </w:p>
        </w:tc>
      </w:tr>
    </w:tbl>
    <w:p w:rsidR="00F423CA" w:rsidRDefault="00F423CA">
      <w:pPr>
        <w:pStyle w:val="Bodycopy"/>
        <w:rPr>
          <w:sz w:val="24"/>
          <w:szCs w:val="24"/>
        </w:rPr>
      </w:pPr>
    </w:p>
    <w:p w:rsidR="00F423CA" w:rsidRDefault="004E2DCE">
      <w:pPr>
        <w:pStyle w:val="notestable"/>
        <w:spacing w:after="170"/>
      </w:pPr>
      <w:r>
        <w:t>(</w:t>
      </w:r>
      <w:proofErr w:type="spellStart"/>
      <w:r>
        <w:t>i</w:t>
      </w:r>
      <w:proofErr w:type="spellEnd"/>
      <w:r>
        <w:t>) The 2016-17 comparative has been adjusted to reclassify a receivable from accrued interest income to other receivables.</w:t>
      </w:r>
    </w:p>
    <w:p w:rsidR="00F423CA" w:rsidRDefault="004E2DCE">
      <w:pPr>
        <w:pStyle w:val="Bodycopy"/>
      </w:pPr>
      <w:r>
        <w:rPr>
          <w:rStyle w:val="medium"/>
          <w:b/>
          <w:bCs/>
        </w:rPr>
        <w:t>Contractual receivables</w:t>
      </w:r>
      <w:r>
        <w:t xml:space="preserve"> arise from an agreement between the department and another party.  They are classified as financial instruments and categorised as ‘loans and receivables’.  They are initially recognised at fair value plus any directly attributable transaction </w:t>
      </w:r>
      <w:proofErr w:type="gramStart"/>
      <w:r>
        <w:t>costs, and</w:t>
      </w:r>
      <w:proofErr w:type="gramEnd"/>
      <w:r>
        <w:t xml:space="preserve"> are subsequently measured at amortised cost using the effective interest method, less any impairment.</w:t>
      </w:r>
    </w:p>
    <w:p w:rsidR="00F423CA" w:rsidRDefault="004E2DCE">
      <w:pPr>
        <w:pStyle w:val="Bodycopy"/>
      </w:pPr>
      <w:r>
        <w:t xml:space="preserve">The average credit period for other receivables is 30 days.  Overdue receivable balances are </w:t>
      </w:r>
      <w:proofErr w:type="gramStart"/>
      <w:r>
        <w:t>immaterial</w:t>
      </w:r>
      <w:proofErr w:type="gramEnd"/>
      <w:r>
        <w:t xml:space="preserve"> and no interest is charged on these balances.  The department does not hold any collateral as security nor credit enhancements relating to its receivables.  No terms have been renegotiated to prevent a receivable from being past due or impaired.  Receivables are stated at their carrying amounts.</w:t>
      </w:r>
    </w:p>
    <w:p w:rsidR="00F423CA" w:rsidRDefault="004E2DCE">
      <w:pPr>
        <w:pStyle w:val="Bodycopy"/>
      </w:pPr>
      <w:r>
        <w:rPr>
          <w:rStyle w:val="medium"/>
          <w:b/>
          <w:bCs/>
        </w:rPr>
        <w:t xml:space="preserve">Statutory receivables </w:t>
      </w:r>
      <w:r>
        <w:t>do not arise from contracts and are recognised and measured similarly to contractual receivables (except for impairment</w:t>
      </w:r>
      <w:proofErr w:type="gramStart"/>
      <w:r>
        <w:t>), but</w:t>
      </w:r>
      <w:proofErr w:type="gramEnd"/>
      <w:r>
        <w:t xml:space="preserve"> are not classified as financial instruments.  Amounts owing from the Victorian Government represent funding for all commitments incurred and are drawn from the Consolidated Fund as the commitments fall due.</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CD2811" w:rsidR="00F423CA" w:rsidTr="00CD2811">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CD2811" w:rsidR="00F423CA" w:rsidP="00CD2811" w:rsidRDefault="004E2DCE">
            <w:pPr>
              <w:pStyle w:val="bodytableLtable"/>
              <w:spacing w:after="0" w:line="240" w:lineRule="auto"/>
            </w:pPr>
            <w:r w:rsidRPr="00CD2811">
              <w:rPr>
                <w:rStyle w:val="medium"/>
                <w:b/>
                <w:bCs/>
                <w:color w:val="542E8E"/>
              </w:rPr>
              <w:t>Movement in the provision for doubtful contractual receivables</w:t>
            </w: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CD2811" w:rsidR="00F423CA" w:rsidP="00CD2811"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CD2811" w:rsidR="00F423CA" w:rsidP="00CD2811" w:rsidRDefault="004E2DCE">
            <w:pPr>
              <w:pStyle w:val="bodytableLtable"/>
              <w:spacing w:after="0" w:line="240" w:lineRule="auto"/>
              <w:jc w:val="right"/>
            </w:pPr>
            <w:r w:rsidRPr="00CD2811">
              <w:rPr>
                <w:rStyle w:val="medium"/>
                <w:b/>
                <w:bCs/>
                <w:color w:val="542E8E"/>
              </w:rPr>
              <w:t>($ thousand)</w:t>
            </w:r>
          </w:p>
        </w:tc>
      </w:tr>
      <w:tr w:rsidRPr="00CD2811" w:rsidR="00F423CA" w:rsidTr="00CD2811">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D2811" w:rsidR="00F423CA" w:rsidP="00CD2811"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D2811" w:rsidR="00F423CA" w:rsidP="00CD2811" w:rsidRDefault="004E2DCE">
            <w:pPr>
              <w:pStyle w:val="bodytableLtable"/>
              <w:spacing w:after="0" w:line="240" w:lineRule="auto"/>
              <w:jc w:val="right"/>
            </w:pPr>
            <w:r w:rsidRPr="00CD2811">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D2811" w:rsidR="00F423CA" w:rsidP="00CD2811" w:rsidRDefault="004E2DCE">
            <w:pPr>
              <w:pStyle w:val="bodytableLtable"/>
              <w:spacing w:after="0" w:line="240" w:lineRule="auto"/>
              <w:jc w:val="right"/>
            </w:pPr>
            <w:r w:rsidRPr="00CD2811">
              <w:rPr>
                <w:rStyle w:val="medium"/>
                <w:b/>
                <w:bCs/>
                <w:color w:val="542E8E"/>
              </w:rPr>
              <w:t>2017</w:t>
            </w:r>
          </w:p>
        </w:tc>
      </w:tr>
      <w:tr w:rsidRPr="00CD2811" w:rsidR="00F423CA" w:rsidTr="00CD2811">
        <w:trPr>
          <w:trHeight w:val="113"/>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CD2811" w:rsidR="00F423CA" w:rsidP="00CD2811" w:rsidRDefault="004E2DCE">
            <w:pPr>
              <w:pStyle w:val="bodytableLtable"/>
              <w:spacing w:after="0" w:line="240" w:lineRule="auto"/>
            </w:pPr>
            <w:r w:rsidRPr="00CD2811">
              <w:rPr>
                <w:rStyle w:val="medium"/>
                <w:b/>
                <w:bCs/>
              </w:rPr>
              <w:t>Balance at beginning of year</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CD2811" w:rsidR="00F423CA" w:rsidP="00CD2811" w:rsidRDefault="004E2DCE">
            <w:pPr>
              <w:pStyle w:val="bodytableRtable"/>
              <w:spacing w:after="0" w:line="240" w:lineRule="auto"/>
            </w:pPr>
            <w:r w:rsidRPr="00CD2811">
              <w:rPr>
                <w:rStyle w:val="medium"/>
                <w:b/>
                <w:bCs/>
              </w:rPr>
              <w:t xml:space="preserve">1,279 </w:t>
            </w: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CD2811" w:rsidR="00F423CA" w:rsidP="00CD2811" w:rsidRDefault="004E2DCE">
            <w:pPr>
              <w:pStyle w:val="bodytableRtable"/>
              <w:spacing w:after="0" w:line="240" w:lineRule="auto"/>
            </w:pPr>
            <w:r w:rsidRPr="00CD2811">
              <w:rPr>
                <w:rStyle w:val="medium"/>
                <w:b/>
                <w:bCs/>
              </w:rPr>
              <w:t xml:space="preserve">1,279 </w:t>
            </w:r>
          </w:p>
        </w:tc>
      </w:tr>
      <w:tr w:rsidRPr="00CD2811" w:rsidR="00F423CA" w:rsidTr="00CB07E8">
        <w:trPr>
          <w:trHeight w:val="113"/>
        </w:trPr>
        <w:tc>
          <w:tcPr>
            <w:tcW w:w="6236" w:type="dxa"/>
            <w:tcBorders>
              <w:top w:val="nil"/>
              <w:left w:val="nil"/>
              <w:bottom w:val="nil"/>
              <w:right w:val="nil"/>
            </w:tcBorders>
            <w:tcMar>
              <w:top w:w="28" w:type="dxa"/>
              <w:left w:w="57" w:type="dxa"/>
              <w:bottom w:w="28" w:type="dxa"/>
              <w:right w:w="57" w:type="dxa"/>
            </w:tcMar>
            <w:vAlign w:val="bottom"/>
          </w:tcPr>
          <w:p w:rsidRPr="00CD2811" w:rsidR="00F423CA" w:rsidP="00CD2811" w:rsidRDefault="004E2DCE">
            <w:pPr>
              <w:pStyle w:val="bodytableLtable"/>
              <w:spacing w:after="0" w:line="240" w:lineRule="auto"/>
            </w:pPr>
            <w:r w:rsidRPr="00CD2811">
              <w:t>Reversal of unused provision recognised in net result</w:t>
            </w:r>
          </w:p>
        </w:tc>
        <w:tc>
          <w:tcPr>
            <w:tcW w:w="1418" w:type="dxa"/>
            <w:tcBorders>
              <w:top w:val="nil"/>
              <w:left w:val="nil"/>
              <w:bottom w:val="nil"/>
              <w:right w:val="nil"/>
            </w:tcBorders>
            <w:tcMar>
              <w:top w:w="28" w:type="dxa"/>
              <w:left w:w="57" w:type="dxa"/>
              <w:bottom w:w="28" w:type="dxa"/>
              <w:right w:w="57" w:type="dxa"/>
            </w:tcMar>
            <w:vAlign w:val="bottom"/>
          </w:tcPr>
          <w:p w:rsidRPr="00CD2811" w:rsidR="00F423CA" w:rsidP="00CD2811" w:rsidRDefault="004E2DCE">
            <w:pPr>
              <w:pStyle w:val="bodytableRtable"/>
              <w:spacing w:after="0" w:line="240" w:lineRule="auto"/>
            </w:pPr>
            <w:r w:rsidRPr="00CD2811">
              <w:t xml:space="preserve">(26) </w:t>
            </w:r>
          </w:p>
        </w:tc>
        <w:tc>
          <w:tcPr>
            <w:tcW w:w="1417" w:type="dxa"/>
            <w:tcBorders>
              <w:top w:val="nil"/>
              <w:left w:val="nil"/>
              <w:bottom w:val="nil"/>
              <w:right w:val="nil"/>
            </w:tcBorders>
            <w:tcMar>
              <w:top w:w="28" w:type="dxa"/>
              <w:left w:w="57" w:type="dxa"/>
              <w:bottom w:w="28" w:type="dxa"/>
              <w:right w:w="57" w:type="dxa"/>
            </w:tcMar>
            <w:vAlign w:val="bottom"/>
          </w:tcPr>
          <w:p w:rsidRPr="00CD2811" w:rsidR="00F423CA" w:rsidP="00CD2811" w:rsidRDefault="004E2DCE">
            <w:pPr>
              <w:pStyle w:val="bodytableRtable"/>
              <w:spacing w:after="0" w:line="240" w:lineRule="auto"/>
            </w:pPr>
            <w:r w:rsidRPr="00CD2811">
              <w:t xml:space="preserve">0 </w:t>
            </w:r>
          </w:p>
        </w:tc>
      </w:tr>
      <w:tr w:rsidRPr="00CD2811" w:rsidR="00F423CA" w:rsidTr="00CD2811">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CD2811" w:rsidR="00F423CA" w:rsidP="00CD2811" w:rsidRDefault="004E2DCE">
            <w:pPr>
              <w:pStyle w:val="bodytableLtable"/>
              <w:spacing w:after="0" w:line="240" w:lineRule="auto"/>
            </w:pPr>
            <w:r w:rsidRPr="00CD2811">
              <w:t>Reversal of provision for receivables written off during the year as uncollectible</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CD2811" w:rsidR="00F423CA" w:rsidP="00CD2811" w:rsidRDefault="004E2DCE">
            <w:pPr>
              <w:pStyle w:val="bodytableRtable"/>
              <w:spacing w:after="0" w:line="240" w:lineRule="auto"/>
            </w:pPr>
            <w:r w:rsidRPr="00CD2811">
              <w:t xml:space="preserve">(482)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CD2811" w:rsidR="00F423CA" w:rsidP="00CD2811" w:rsidRDefault="004E2DCE">
            <w:pPr>
              <w:pStyle w:val="bodytableRtable"/>
              <w:spacing w:after="0" w:line="240" w:lineRule="auto"/>
            </w:pPr>
            <w:r w:rsidRPr="00CD2811">
              <w:t xml:space="preserve">0 </w:t>
            </w:r>
          </w:p>
        </w:tc>
      </w:tr>
      <w:tr w:rsidRPr="00CD2811" w:rsidR="00F423CA" w:rsidTr="00CD2811">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D2811" w:rsidR="00F423CA" w:rsidP="00CD2811" w:rsidRDefault="004E2DCE">
            <w:pPr>
              <w:pStyle w:val="bodytableLtable"/>
              <w:spacing w:after="0" w:line="240" w:lineRule="auto"/>
            </w:pPr>
            <w:r w:rsidRPr="00CD2811">
              <w:rPr>
                <w:rStyle w:val="medium"/>
                <w:b/>
                <w:bCs/>
              </w:rPr>
              <w:t>Balance at end of year</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D2811" w:rsidR="00F423CA" w:rsidP="00CD2811" w:rsidRDefault="004E2DCE">
            <w:pPr>
              <w:pStyle w:val="bodytableRtable"/>
              <w:spacing w:after="0" w:line="240" w:lineRule="auto"/>
            </w:pPr>
            <w:r w:rsidRPr="00CD2811">
              <w:rPr>
                <w:rStyle w:val="medium"/>
                <w:b/>
                <w:bCs/>
              </w:rPr>
              <w:t xml:space="preserve">771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D2811" w:rsidR="00F423CA" w:rsidP="00CD2811" w:rsidRDefault="004E2DCE">
            <w:pPr>
              <w:pStyle w:val="bodytableRtable"/>
              <w:spacing w:after="0" w:line="240" w:lineRule="auto"/>
            </w:pPr>
            <w:r w:rsidRPr="00CD2811">
              <w:rPr>
                <w:rStyle w:val="medium"/>
                <w:b/>
                <w:bCs/>
              </w:rPr>
              <w:t xml:space="preserve">1,279 </w:t>
            </w:r>
          </w:p>
        </w:tc>
      </w:tr>
    </w:tbl>
    <w:p w:rsidRPr="00CB07E8" w:rsidR="00F423CA" w:rsidP="00CB07E8" w:rsidRDefault="00F423CA">
      <w:pPr>
        <w:pStyle w:val="Bodycopy"/>
      </w:pPr>
    </w:p>
    <w:p w:rsidR="00F423CA" w:rsidRDefault="004E2DCE">
      <w:pPr>
        <w:pStyle w:val="Bodycopy"/>
      </w:pPr>
      <w:r>
        <w:rPr>
          <w:rStyle w:val="medium"/>
          <w:b/>
          <w:bCs/>
        </w:rPr>
        <w:t xml:space="preserve">Bad and doubtful contractual receivables: </w:t>
      </w:r>
      <w:r>
        <w:t>Contractual receivables are assessed for bad and doub</w:t>
      </w:r>
      <w:r w:rsidR="00CB07E8">
        <w:t xml:space="preserve">tful debts on a regular basis. </w:t>
      </w:r>
      <w:r>
        <w:t>A provision for doubtful contractual receivables is recognised when there is objective evidence that the debts may not be collected. Bad debts ar</w:t>
      </w:r>
      <w:r w:rsidR="00CB07E8">
        <w:t xml:space="preserve">e written off when identified. </w:t>
      </w:r>
      <w:r>
        <w:t>Bad debts written off by mutual consent are classified as a transaction expense.  Bad debts unilaterally written off are classified as other eco</w:t>
      </w:r>
      <w:r w:rsidR="00CB07E8">
        <w:t xml:space="preserve">nomic flows in the net result. </w:t>
      </w:r>
      <w:r>
        <w:t>Any increase or decrease in the provision for doubtful contractual receivables are classified as other economic flows in the net result.</w:t>
      </w:r>
    </w:p>
    <w:p w:rsidR="00F423CA" w:rsidRDefault="004E2DCE">
      <w:pPr>
        <w:pStyle w:val="H3"/>
      </w:pPr>
      <w:r>
        <w:t>6.3 Payables</w:t>
      </w:r>
    </w:p>
    <w:tbl>
      <w:tblPr>
        <w:tblW w:w="0" w:type="auto"/>
        <w:tblInd w:w="57" w:type="dxa"/>
        <w:tblLayout w:type="fixed"/>
        <w:tblCellMar>
          <w:left w:w="0" w:type="dxa"/>
          <w:right w:w="0" w:type="dxa"/>
        </w:tblCellMar>
        <w:tblLook w:firstRow="0" w:lastRow="0" w:firstColumn="0" w:lastColumn="0" w:noHBand="0" w:noVBand="0" w:val="0000"/>
      </w:tblPr>
      <w:tblGrid>
        <w:gridCol w:w="6222"/>
        <w:gridCol w:w="1417"/>
        <w:gridCol w:w="1418"/>
      </w:tblGrid>
      <w:tr w:rsidRPr="00CB07E8" w:rsidR="00F423CA" w:rsidTr="00CB07E8">
        <w:trPr>
          <w:trHeight w:val="113"/>
          <w:tblHeader/>
        </w:trPr>
        <w:tc>
          <w:tcPr>
            <w:tcW w:w="622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Ltable"/>
              <w:spacing w:after="0" w:line="240" w:lineRule="auto"/>
              <w:jc w:val="right"/>
            </w:pPr>
            <w:r w:rsidRPr="00CB07E8">
              <w:rPr>
                <w:rStyle w:val="medium"/>
                <w:b/>
                <w:bCs/>
                <w:color w:val="542E8E"/>
              </w:rPr>
              <w:t>($ thousand)</w:t>
            </w:r>
          </w:p>
        </w:tc>
      </w:tr>
      <w:tr w:rsidRPr="00CB07E8" w:rsidR="00F423CA" w:rsidTr="00CB07E8">
        <w:trPr>
          <w:trHeight w:val="113"/>
          <w:tblHeader/>
        </w:trPr>
        <w:tc>
          <w:tcPr>
            <w:tcW w:w="622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Ltable"/>
              <w:spacing w:after="0" w:line="240" w:lineRule="auto"/>
              <w:jc w:val="right"/>
            </w:pPr>
            <w:r w:rsidRPr="00CB07E8">
              <w:rPr>
                <w:rStyle w:val="medium"/>
                <w:b/>
                <w:bCs/>
                <w:color w:val="542E8E"/>
              </w:rPr>
              <w:t>2018</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Ltable"/>
              <w:spacing w:after="0" w:line="240" w:lineRule="auto"/>
              <w:jc w:val="right"/>
            </w:pPr>
            <w:r w:rsidRPr="00CB07E8">
              <w:rPr>
                <w:rStyle w:val="medium"/>
                <w:b/>
                <w:bCs/>
                <w:color w:val="542E8E"/>
              </w:rPr>
              <w:t>2017</w:t>
            </w:r>
          </w:p>
        </w:tc>
      </w:tr>
      <w:tr w:rsidRPr="00CB07E8" w:rsidR="00F423CA" w:rsidTr="00CB07E8">
        <w:trPr>
          <w:trHeight w:val="113"/>
        </w:trPr>
        <w:tc>
          <w:tcPr>
            <w:tcW w:w="6222" w:type="dxa"/>
            <w:tcBorders>
              <w:top w:val="single" w:color="000000" w:sz="8" w:space="0"/>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rPr>
                <w:rStyle w:val="medium"/>
                <w:b/>
                <w:bCs/>
              </w:rPr>
              <w:t>Contractual</w:t>
            </w: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r>
      <w:tr w:rsidRPr="00CB07E8" w:rsidR="00F423CA" w:rsidTr="00CB07E8">
        <w:trPr>
          <w:trHeight w:val="113"/>
        </w:trPr>
        <w:tc>
          <w:tcPr>
            <w:tcW w:w="6222"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Ltable"/>
              <w:spacing w:after="0" w:line="240" w:lineRule="auto"/>
            </w:pPr>
            <w:r w:rsidRPr="00CB07E8">
              <w:t>Trade creditors and other payables</w:t>
            </w:r>
          </w:p>
        </w:tc>
        <w:tc>
          <w:tcPr>
            <w:tcW w:w="1417"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259,601 </w:t>
            </w:r>
          </w:p>
        </w:tc>
        <w:tc>
          <w:tcPr>
            <w:tcW w:w="1418"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196,857 </w:t>
            </w:r>
          </w:p>
        </w:tc>
      </w:tr>
      <w:tr w:rsidRPr="00CB07E8" w:rsidR="00F423CA" w:rsidTr="00CB07E8">
        <w:trPr>
          <w:trHeight w:val="113"/>
        </w:trPr>
        <w:tc>
          <w:tcPr>
            <w:tcW w:w="6222"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Ltable"/>
              <w:spacing w:after="0" w:line="240" w:lineRule="auto"/>
            </w:pPr>
            <w:r w:rsidRPr="00CB07E8">
              <w:t>Accrued capital works</w:t>
            </w:r>
          </w:p>
        </w:tc>
        <w:tc>
          <w:tcPr>
            <w:tcW w:w="1417"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56,991 </w:t>
            </w:r>
          </w:p>
        </w:tc>
        <w:tc>
          <w:tcPr>
            <w:tcW w:w="1418"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21,151 </w:t>
            </w:r>
          </w:p>
        </w:tc>
      </w:tr>
      <w:tr w:rsidRPr="00CB07E8" w:rsidR="00F423CA" w:rsidTr="00CB07E8">
        <w:trPr>
          <w:trHeight w:val="113"/>
        </w:trPr>
        <w:tc>
          <w:tcPr>
            <w:tcW w:w="6222"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Salaries and wages</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19,279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14,908 </w:t>
            </w:r>
          </w:p>
        </w:tc>
      </w:tr>
      <w:tr w:rsidRPr="00CB07E8" w:rsidR="00F423CA" w:rsidTr="00CB07E8">
        <w:trPr>
          <w:trHeight w:val="113"/>
        </w:trPr>
        <w:tc>
          <w:tcPr>
            <w:tcW w:w="622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rPr>
                <w:rStyle w:val="medium"/>
                <w:b/>
                <w:bCs/>
              </w:rPr>
              <w:t>Total contractual payables</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rPr>
              <w:t xml:space="preserve">335,871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rPr>
              <w:t xml:space="preserve">232,916 </w:t>
            </w:r>
          </w:p>
        </w:tc>
      </w:tr>
      <w:tr w:rsidRPr="00CB07E8" w:rsidR="00F423CA" w:rsidTr="00CB07E8">
        <w:trPr>
          <w:trHeight w:val="113"/>
        </w:trPr>
        <w:tc>
          <w:tcPr>
            <w:tcW w:w="6222"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rPr>
                <w:rStyle w:val="medium"/>
                <w:b/>
                <w:bCs/>
              </w:rPr>
              <w:t>Statutory</w:t>
            </w: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r>
      <w:tr w:rsidRPr="00CB07E8" w:rsidR="00F423CA" w:rsidTr="00CB07E8">
        <w:trPr>
          <w:trHeight w:val="113"/>
        </w:trPr>
        <w:tc>
          <w:tcPr>
            <w:tcW w:w="6222"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Pay as you go (PAYG) tax withheld</w:t>
            </w:r>
          </w:p>
        </w:tc>
        <w:tc>
          <w:tcPr>
            <w:tcW w:w="1417"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3,167 </w:t>
            </w:r>
          </w:p>
        </w:tc>
        <w:tc>
          <w:tcPr>
            <w:tcW w:w="1418"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2,920 </w:t>
            </w:r>
          </w:p>
        </w:tc>
      </w:tr>
      <w:tr w:rsidRPr="00CB07E8" w:rsidR="00F423CA" w:rsidTr="00CB07E8">
        <w:trPr>
          <w:trHeight w:val="113"/>
        </w:trPr>
        <w:tc>
          <w:tcPr>
            <w:tcW w:w="6222"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Payroll tax</w:t>
            </w:r>
          </w:p>
        </w:tc>
        <w:tc>
          <w:tcPr>
            <w:tcW w:w="1417"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3,898 </w:t>
            </w:r>
          </w:p>
        </w:tc>
        <w:tc>
          <w:tcPr>
            <w:tcW w:w="1418"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4,628 </w:t>
            </w:r>
          </w:p>
        </w:tc>
      </w:tr>
      <w:tr w:rsidRPr="00CB07E8" w:rsidR="00F423CA" w:rsidTr="00CB07E8">
        <w:trPr>
          <w:trHeight w:val="113"/>
        </w:trPr>
        <w:tc>
          <w:tcPr>
            <w:tcW w:w="6222"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Fringe benefits tax</w:t>
            </w:r>
          </w:p>
        </w:tc>
        <w:tc>
          <w:tcPr>
            <w:tcW w:w="1417"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135 </w:t>
            </w:r>
          </w:p>
        </w:tc>
        <w:tc>
          <w:tcPr>
            <w:tcW w:w="1418"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212 </w:t>
            </w:r>
          </w:p>
        </w:tc>
      </w:tr>
      <w:tr w:rsidRPr="00CB07E8" w:rsidR="00F423CA" w:rsidTr="00CB07E8">
        <w:trPr>
          <w:trHeight w:val="113"/>
        </w:trPr>
        <w:tc>
          <w:tcPr>
            <w:tcW w:w="6222"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Amounts payable to government agencies</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521,995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472,464 </w:t>
            </w:r>
          </w:p>
        </w:tc>
      </w:tr>
      <w:tr w:rsidRPr="00CB07E8" w:rsidR="00F423CA" w:rsidTr="00CB07E8">
        <w:trPr>
          <w:trHeight w:val="113"/>
        </w:trPr>
        <w:tc>
          <w:tcPr>
            <w:tcW w:w="622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rPr>
                <w:rStyle w:val="medium"/>
                <w:b/>
                <w:bCs/>
              </w:rPr>
              <w:t>Total statutory payables</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rPr>
              <w:t xml:space="preserve">529,195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rPr>
              <w:t xml:space="preserve">480,224 </w:t>
            </w:r>
          </w:p>
        </w:tc>
      </w:tr>
      <w:tr w:rsidRPr="00CB07E8" w:rsidR="00F423CA" w:rsidTr="00CB07E8">
        <w:trPr>
          <w:trHeight w:val="113"/>
        </w:trPr>
        <w:tc>
          <w:tcPr>
            <w:tcW w:w="622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rPr>
                <w:rStyle w:val="medium"/>
                <w:b/>
                <w:bCs/>
              </w:rPr>
              <w:t>Total payables</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rPr>
              <w:t xml:space="preserve">865,066 </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rPr>
              <w:t xml:space="preserve">713,140 </w:t>
            </w:r>
          </w:p>
        </w:tc>
      </w:tr>
      <w:tr w:rsidRPr="00CB07E8" w:rsidR="00F423CA" w:rsidTr="00CB07E8">
        <w:trPr>
          <w:trHeight w:val="113"/>
        </w:trPr>
        <w:tc>
          <w:tcPr>
            <w:tcW w:w="6222"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Represented by</w:t>
            </w: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r>
      <w:tr w:rsidRPr="00CB07E8" w:rsidR="00F423CA" w:rsidTr="00CB07E8">
        <w:trPr>
          <w:trHeight w:val="113"/>
        </w:trPr>
        <w:tc>
          <w:tcPr>
            <w:tcW w:w="6222" w:type="dxa"/>
            <w:tcBorders>
              <w:top w:val="nil"/>
              <w:left w:val="nil"/>
              <w:bottom w:val="nil"/>
              <w:right w:val="nil"/>
            </w:tcBorders>
            <w:tcMar>
              <w:top w:w="28" w:type="dxa"/>
              <w:left w:w="57" w:type="dxa"/>
              <w:bottom w:w="85" w:type="dxa"/>
              <w:right w:w="57" w:type="dxa"/>
            </w:tcMar>
            <w:vAlign w:val="bottom"/>
          </w:tcPr>
          <w:p w:rsidRPr="00CB07E8" w:rsidR="00F423CA" w:rsidP="00CB07E8" w:rsidRDefault="004E2DCE">
            <w:pPr>
              <w:pStyle w:val="bodytableLtable"/>
              <w:spacing w:after="0" w:line="240" w:lineRule="auto"/>
            </w:pPr>
            <w:r w:rsidRPr="00CB07E8">
              <w:t>Current payables</w:t>
            </w:r>
          </w:p>
        </w:tc>
        <w:tc>
          <w:tcPr>
            <w:tcW w:w="1417" w:type="dxa"/>
            <w:tcBorders>
              <w:top w:val="nil"/>
              <w:left w:val="nil"/>
              <w:bottom w:val="nil"/>
              <w:right w:val="nil"/>
            </w:tcBorders>
            <w:tcMar>
              <w:top w:w="28" w:type="dxa"/>
              <w:left w:w="57" w:type="dxa"/>
              <w:bottom w:w="85" w:type="dxa"/>
              <w:right w:w="57" w:type="dxa"/>
            </w:tcMar>
            <w:vAlign w:val="bottom"/>
          </w:tcPr>
          <w:p w:rsidRPr="00CB07E8" w:rsidR="00F423CA" w:rsidP="00CB07E8" w:rsidRDefault="004E2DCE">
            <w:pPr>
              <w:pStyle w:val="bodytableRtable"/>
              <w:spacing w:after="0" w:line="240" w:lineRule="auto"/>
            </w:pPr>
            <w:r w:rsidRPr="00CB07E8">
              <w:t xml:space="preserve">699,263 </w:t>
            </w:r>
          </w:p>
        </w:tc>
        <w:tc>
          <w:tcPr>
            <w:tcW w:w="1418" w:type="dxa"/>
            <w:tcBorders>
              <w:top w:val="nil"/>
              <w:left w:val="nil"/>
              <w:bottom w:val="nil"/>
              <w:right w:val="nil"/>
            </w:tcBorders>
            <w:tcMar>
              <w:top w:w="28" w:type="dxa"/>
              <w:left w:w="57" w:type="dxa"/>
              <w:bottom w:w="85" w:type="dxa"/>
              <w:right w:w="57" w:type="dxa"/>
            </w:tcMar>
            <w:vAlign w:val="bottom"/>
          </w:tcPr>
          <w:p w:rsidRPr="00CB07E8" w:rsidR="00F423CA" w:rsidP="00CB07E8" w:rsidRDefault="004E2DCE">
            <w:pPr>
              <w:pStyle w:val="bodytableRtable"/>
              <w:spacing w:after="0" w:line="240" w:lineRule="auto"/>
            </w:pPr>
            <w:r w:rsidRPr="00CB07E8">
              <w:t xml:space="preserve">548,534 </w:t>
            </w:r>
          </w:p>
        </w:tc>
      </w:tr>
      <w:tr w:rsidRPr="00CB07E8" w:rsidR="00F423CA" w:rsidTr="00CB07E8">
        <w:trPr>
          <w:trHeight w:val="113"/>
        </w:trPr>
        <w:tc>
          <w:tcPr>
            <w:tcW w:w="6222"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Non-current payables</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165,803 </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164,606 </w:t>
            </w:r>
          </w:p>
        </w:tc>
      </w:tr>
    </w:tbl>
    <w:p w:rsidRPr="00CB07E8" w:rsidR="00F423CA" w:rsidP="00CB07E8" w:rsidRDefault="00F423CA">
      <w:pPr>
        <w:pStyle w:val="Bodycopy"/>
      </w:pPr>
    </w:p>
    <w:p w:rsidR="00F423CA" w:rsidRDefault="004E2DCE">
      <w:pPr>
        <w:pStyle w:val="Bodycopy"/>
      </w:pPr>
      <w:r>
        <w:rPr>
          <w:rStyle w:val="medium"/>
          <w:b/>
          <w:bCs/>
        </w:rPr>
        <w:t>Contractual payables</w:t>
      </w:r>
      <w:r>
        <w:t xml:space="preserve"> arise from an agreement between the department and another party.  They are classified as financial instruments and measured at amortised cost.  </w:t>
      </w:r>
    </w:p>
    <w:p w:rsidR="00F423CA" w:rsidRDefault="004E2DCE">
      <w:pPr>
        <w:pStyle w:val="Bodycopy"/>
      </w:pPr>
      <w:r>
        <w:t>The average credit period for trade creditors and other payables is 30 days.</w:t>
      </w:r>
    </w:p>
    <w:p w:rsidR="00F423CA" w:rsidRDefault="004E2DCE">
      <w:pPr>
        <w:pStyle w:val="Bodycopy"/>
      </w:pPr>
      <w:r>
        <w:rPr>
          <w:rStyle w:val="medium"/>
          <w:b/>
          <w:bCs/>
        </w:rPr>
        <w:t>Statutory payables</w:t>
      </w:r>
      <w:r>
        <w:t xml:space="preserve"> do not arise from contracts and are recognised and measured similarly to contractual </w:t>
      </w:r>
      <w:proofErr w:type="gramStart"/>
      <w:r>
        <w:t>payables, but</w:t>
      </w:r>
      <w:proofErr w:type="gramEnd"/>
      <w:r>
        <w:t xml:space="preserve"> are not classified as financial instruments.</w:t>
      </w:r>
    </w:p>
    <w:p w:rsidR="00F423CA" w:rsidRDefault="004E2DCE">
      <w:pPr>
        <w:pStyle w:val="H2"/>
      </w:pPr>
      <w:bookmarkStart w:id="16" w:name="_Toc525290074"/>
      <w:r>
        <w:lastRenderedPageBreak/>
        <w:t>7. Financing operations</w:t>
      </w:r>
      <w:bookmarkEnd w:id="16"/>
    </w:p>
    <w:p w:rsidR="00F423CA" w:rsidRDefault="004E2DCE">
      <w:pPr>
        <w:pStyle w:val="H3"/>
      </w:pPr>
      <w:r>
        <w:t>7.1 Introduction</w:t>
      </w:r>
    </w:p>
    <w:p w:rsidR="00F423CA" w:rsidRDefault="004E2DCE">
      <w:pPr>
        <w:pStyle w:val="Bodycopy"/>
      </w:pPr>
      <w:r>
        <w:t>This note provides information on the sources of finance utilised by the department during its operations, along with interest expenses (the cost of borrowings) and other information related to financing activities of the department.</w:t>
      </w:r>
    </w:p>
    <w:p w:rsidR="00F423CA" w:rsidRDefault="004E2DCE">
      <w:pPr>
        <w:pStyle w:val="Bodycopy"/>
      </w:pPr>
      <w:r>
        <w:t>This note includes disclosures of balances that are financial instruments (such as borrowings and cash balances).  Notes 8.2 provides additional disclosures.</w:t>
      </w:r>
    </w:p>
    <w:p w:rsidR="00F423CA" w:rsidRDefault="004E2DCE">
      <w:pPr>
        <w:pStyle w:val="H3"/>
      </w:pPr>
      <w:r>
        <w:t>7.2 Borrowings (finance lease liabilities)</w:t>
      </w:r>
    </w:p>
    <w:p w:rsidR="00F423CA" w:rsidRDefault="004E2DCE">
      <w:pPr>
        <w:pStyle w:val="Bodycopy"/>
      </w:pPr>
      <w:r>
        <w:t xml:space="preserve">The department’s borrowings </w:t>
      </w:r>
      <w:proofErr w:type="gramStart"/>
      <w:r>
        <w:t>consists</w:t>
      </w:r>
      <w:proofErr w:type="gramEnd"/>
      <w:r>
        <w:t xml:space="preserve"> only of its finance lease liabilities.  Finance leases are effectively secured by the leased assets, as the rights to the leased assets revert to the lessor in the event of default.  Borrowings are classified as financial instruments and are measured at amortised cost.  </w:t>
      </w:r>
    </w:p>
    <w:p w:rsidR="00F423CA" w:rsidRDefault="004E2DCE">
      <w:pPr>
        <w:pStyle w:val="Bodycopy"/>
      </w:pPr>
      <w:r>
        <w:t>At the commencement of the lease term, finance leases liabilities are recognised at amounts equal to the fair value of the leased property or, if lower, the present value of the minimum lease payment, each determined at the inception of the lease.  Minimum finance lease payments are apportioned between the reduction of the outstanding lease liability and the periodic finance expense (interest expense) which is calculated using the interest rate implicit in the lease and charged directly to the comprehensive operating statement.</w:t>
      </w:r>
    </w:p>
    <w:p w:rsidR="00F423CA" w:rsidRDefault="004E2DCE">
      <w:pPr>
        <w:pStyle w:val="Bodycopy"/>
      </w:pPr>
      <w:r>
        <w:t>Contingent rentals associated with finance leases are recognised as an expense in the period in which they are incurred.</w:t>
      </w:r>
    </w:p>
    <w:p w:rsidR="00F423CA" w:rsidRDefault="004E2DCE">
      <w:pPr>
        <w:pStyle w:val="Bodycopy"/>
      </w:pPr>
      <w:r>
        <w:rPr>
          <w:rStyle w:val="medium"/>
          <w:b/>
          <w:bCs/>
        </w:rPr>
        <w:t>Commissioned public private partnerships (PPP):</w:t>
      </w:r>
      <w:r>
        <w:t xml:space="preserve"> In December 2003, the State entered into a PPP arrangement with Victorian Correctional Infrastructure Partnership Pty Ltd (VCIP) for the design, construction and maintenance of two prisons, </w:t>
      </w:r>
      <w:proofErr w:type="spellStart"/>
      <w:r>
        <w:t>Marngoneet</w:t>
      </w:r>
      <w:proofErr w:type="spellEnd"/>
      <w:r>
        <w:t xml:space="preserve"> Correctional Centre and Metropolitan Remand Centre.  This contract ends in 2031.  </w:t>
      </w:r>
    </w:p>
    <w:p w:rsidR="00F423CA" w:rsidRDefault="004E2DCE">
      <w:pPr>
        <w:pStyle w:val="Bodycopy"/>
      </w:pPr>
      <w:r>
        <w:t>In September 2014, the State entered into a PPP arrangement with GEO Consortium for the design, construction, operation and maintenance of Ravenhall Correctional Centre.  This contract ends in 2042.</w:t>
      </w:r>
    </w:p>
    <w:p w:rsidR="00F423CA" w:rsidRDefault="004E2DCE">
      <w:pPr>
        <w:pStyle w:val="Bodycopy"/>
      </w:pPr>
      <w:r>
        <w:t>The portion of total payments relating to the department’s right to use the prison assets under these contracts are accounted for as finance lease liabilities.  The payments relating to the ongoing maintenance and operation of the prisons are expensed.  Refer to note 7.5 for commitments for expenditure for PPPs.</w:t>
      </w:r>
    </w:p>
    <w:p w:rsidR="00F423CA" w:rsidRDefault="004E2DCE">
      <w:pPr>
        <w:pStyle w:val="Bodycopy"/>
      </w:pPr>
      <w:r>
        <w:rPr>
          <w:rStyle w:val="medium"/>
          <w:b/>
          <w:bCs/>
        </w:rPr>
        <w:t>Other leasing arrangements:</w:t>
      </w:r>
      <w:r>
        <w:t xml:space="preserve"> The other finance leases relate to vehicles with lease terms of up to five years.  </w:t>
      </w:r>
    </w:p>
    <w:p w:rsidR="00F423CA" w:rsidRDefault="004E2DCE">
      <w:pPr>
        <w:pStyle w:val="H4A"/>
      </w:pPr>
      <w:r>
        <w:t>Finance lease liabilities payable</w:t>
      </w:r>
    </w:p>
    <w:tbl>
      <w:tblPr>
        <w:tblW w:w="0" w:type="auto"/>
        <w:tblInd w:w="57" w:type="dxa"/>
        <w:tblLayout w:type="fixed"/>
        <w:tblCellMar>
          <w:left w:w="0" w:type="dxa"/>
          <w:right w:w="0" w:type="dxa"/>
        </w:tblCellMar>
        <w:tblLook w:firstRow="0" w:lastRow="0" w:firstColumn="0" w:lastColumn="0" w:noHBand="0" w:noVBand="0" w:val="0000"/>
      </w:tblPr>
      <w:tblGrid>
        <w:gridCol w:w="283"/>
        <w:gridCol w:w="4706"/>
        <w:gridCol w:w="1020"/>
        <w:gridCol w:w="1021"/>
        <w:gridCol w:w="1020"/>
        <w:gridCol w:w="1021"/>
      </w:tblGrid>
      <w:tr w:rsidRPr="00CB07E8" w:rsidR="00F423CA" w:rsidTr="00CB07E8">
        <w:trPr>
          <w:trHeight w:val="113"/>
          <w:tblHeader/>
        </w:trPr>
        <w:tc>
          <w:tcPr>
            <w:tcW w:w="9071" w:type="dxa"/>
            <w:gridSpan w:val="6"/>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color w:val="542E8E"/>
              </w:rPr>
              <w:t>($ thousand)</w:t>
            </w:r>
          </w:p>
        </w:tc>
      </w:tr>
      <w:tr w:rsidRPr="00CB07E8" w:rsidR="00F423CA" w:rsidTr="00CB07E8">
        <w:trPr>
          <w:trHeight w:val="113"/>
          <w:tblHeader/>
        </w:trPr>
        <w:tc>
          <w:tcPr>
            <w:tcW w:w="28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2041"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color w:val="542E8E"/>
              </w:rPr>
              <w:t>Minimum future</w:t>
            </w:r>
            <w:r w:rsidRPr="00CB07E8">
              <w:rPr>
                <w:rStyle w:val="medium"/>
                <w:b/>
                <w:bCs/>
                <w:color w:val="542E8E"/>
              </w:rPr>
              <w:br/>
              <w:t>lease payments</w:t>
            </w:r>
          </w:p>
        </w:tc>
        <w:tc>
          <w:tcPr>
            <w:tcW w:w="2041"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color w:val="542E8E"/>
              </w:rPr>
              <w:t>Present value of minimum future</w:t>
            </w:r>
            <w:r w:rsidRPr="00CB07E8">
              <w:rPr>
                <w:rStyle w:val="medium"/>
                <w:b/>
                <w:bCs/>
                <w:color w:val="542E8E"/>
              </w:rPr>
              <w:br/>
              <w:t>lease payments</w:t>
            </w:r>
          </w:p>
        </w:tc>
      </w:tr>
      <w:tr w:rsidRPr="00CB07E8" w:rsidR="00F423CA" w:rsidTr="00CB07E8">
        <w:trPr>
          <w:trHeight w:val="113"/>
          <w:tblHeader/>
        </w:trPr>
        <w:tc>
          <w:tcPr>
            <w:tcW w:w="28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color w:val="542E8E"/>
              </w:rPr>
              <w:t>2018</w:t>
            </w:r>
          </w:p>
        </w:tc>
        <w:tc>
          <w:tcPr>
            <w:tcW w:w="102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color w:val="542E8E"/>
              </w:rPr>
              <w:t>2017</w:t>
            </w:r>
          </w:p>
        </w:tc>
        <w:tc>
          <w:tcPr>
            <w:tcW w:w="102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color w:val="542E8E"/>
              </w:rPr>
              <w:t>2018</w:t>
            </w:r>
          </w:p>
        </w:tc>
        <w:tc>
          <w:tcPr>
            <w:tcW w:w="102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rPr>
                <w:rStyle w:val="medium"/>
                <w:b/>
                <w:bCs/>
                <w:color w:val="542E8E"/>
              </w:rPr>
              <w:t>2017</w:t>
            </w:r>
          </w:p>
        </w:tc>
      </w:tr>
      <w:tr w:rsidRPr="00CB07E8" w:rsidR="00F423CA" w:rsidTr="00CB07E8">
        <w:trPr>
          <w:trHeight w:val="113"/>
        </w:trPr>
        <w:tc>
          <w:tcPr>
            <w:tcW w:w="9071" w:type="dxa"/>
            <w:gridSpan w:val="6"/>
            <w:tcBorders>
              <w:top w:val="single" w:color="000000" w:sz="8" w:space="0"/>
              <w:left w:val="nil"/>
              <w:bottom w:val="nil"/>
              <w:right w:val="nil"/>
            </w:tcBorders>
            <w:tcMar>
              <w:top w:w="57" w:type="dxa"/>
              <w:left w:w="57" w:type="dxa"/>
              <w:bottom w:w="28" w:type="dxa"/>
              <w:right w:w="57" w:type="dxa"/>
            </w:tcMar>
            <w:vAlign w:val="bottom"/>
          </w:tcPr>
          <w:p w:rsidRPr="00CB07E8" w:rsidR="00F423CA" w:rsidP="00CB07E8" w:rsidRDefault="004E2DCE">
            <w:pPr>
              <w:pStyle w:val="bodytableLtable"/>
              <w:spacing w:after="0" w:line="240" w:lineRule="auto"/>
            </w:pPr>
            <w:r w:rsidRPr="00CB07E8">
              <w:rPr>
                <w:rStyle w:val="medium"/>
                <w:b/>
                <w:bCs/>
              </w:rPr>
              <w:t>Commissioned PPP related finance lease liabilities payable</w:t>
            </w:r>
          </w:p>
        </w:tc>
      </w:tr>
      <w:tr w:rsidRPr="00CB07E8" w:rsidR="00F423CA" w:rsidTr="00CB07E8">
        <w:trPr>
          <w:trHeight w:val="113"/>
        </w:trPr>
        <w:tc>
          <w:tcPr>
            <w:tcW w:w="283" w:type="dxa"/>
            <w:tcBorders>
              <w:top w:val="nil"/>
              <w:left w:val="nil"/>
              <w:bottom w:val="nil"/>
              <w:right w:val="nil"/>
            </w:tcBorders>
            <w:tcMar>
              <w:top w:w="28" w:type="dxa"/>
              <w:left w:w="57" w:type="dxa"/>
              <w:bottom w:w="28"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Ltable"/>
              <w:spacing w:after="0" w:line="240" w:lineRule="auto"/>
            </w:pPr>
            <w:proofErr w:type="spellStart"/>
            <w:r w:rsidRPr="00CB07E8">
              <w:t>Not longer</w:t>
            </w:r>
            <w:proofErr w:type="spellEnd"/>
            <w:r w:rsidRPr="00CB07E8">
              <w:t xml:space="preserve"> than 1 year</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77,201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26,283 </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12,521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6,588 </w:t>
            </w:r>
          </w:p>
        </w:tc>
      </w:tr>
      <w:tr w:rsidRPr="00CB07E8" w:rsidR="00F423CA" w:rsidTr="00CB07E8">
        <w:trPr>
          <w:trHeight w:val="113"/>
        </w:trPr>
        <w:tc>
          <w:tcPr>
            <w:tcW w:w="283" w:type="dxa"/>
            <w:tcBorders>
              <w:top w:val="nil"/>
              <w:left w:val="nil"/>
              <w:bottom w:val="nil"/>
              <w:right w:val="nil"/>
            </w:tcBorders>
            <w:tcMar>
              <w:top w:w="28" w:type="dxa"/>
              <w:left w:w="57" w:type="dxa"/>
              <w:bottom w:w="28"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Ltable"/>
              <w:spacing w:after="0" w:line="240" w:lineRule="auto"/>
            </w:pPr>
            <w:r w:rsidRPr="00CB07E8">
              <w:t>Longer than 1 year but not longer than 5 years</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314,272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110,496 </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61,971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32,107 </w:t>
            </w:r>
          </w:p>
        </w:tc>
      </w:tr>
      <w:tr w:rsidRPr="00CB07E8" w:rsidR="00F423CA" w:rsidTr="00CB07E8">
        <w:trPr>
          <w:trHeight w:val="113"/>
        </w:trPr>
        <w:tc>
          <w:tcPr>
            <w:tcW w:w="283"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Longer than 5 years</w:t>
            </w:r>
          </w:p>
        </w:tc>
        <w:tc>
          <w:tcPr>
            <w:tcW w:w="1020"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1,224,454 </w:t>
            </w:r>
          </w:p>
        </w:tc>
        <w:tc>
          <w:tcPr>
            <w:tcW w:w="1021"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292,420 </w:t>
            </w:r>
          </w:p>
        </w:tc>
        <w:tc>
          <w:tcPr>
            <w:tcW w:w="1020"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561,420 </w:t>
            </w:r>
          </w:p>
        </w:tc>
        <w:tc>
          <w:tcPr>
            <w:tcW w:w="1021"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139,067 </w:t>
            </w:r>
          </w:p>
        </w:tc>
      </w:tr>
      <w:tr w:rsidRPr="00CB07E8" w:rsidR="00F423CA" w:rsidTr="00CB07E8">
        <w:trPr>
          <w:trHeight w:val="113"/>
        </w:trPr>
        <w:tc>
          <w:tcPr>
            <w:tcW w:w="283"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1,615,927 </w:t>
            </w:r>
          </w:p>
        </w:tc>
        <w:tc>
          <w:tcPr>
            <w:tcW w:w="1021"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429,199 </w:t>
            </w:r>
          </w:p>
        </w:tc>
        <w:tc>
          <w:tcPr>
            <w:tcW w:w="1020"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635,912 </w:t>
            </w:r>
          </w:p>
        </w:tc>
        <w:tc>
          <w:tcPr>
            <w:tcW w:w="1021" w:type="dxa"/>
            <w:tcBorders>
              <w:top w:val="single" w:color="000000" w:sz="6" w:space="0"/>
              <w:left w:val="nil"/>
              <w:bottom w:val="nil"/>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177,762 </w:t>
            </w:r>
          </w:p>
        </w:tc>
      </w:tr>
      <w:tr w:rsidRPr="00CB07E8" w:rsidR="00F423CA" w:rsidTr="00CB07E8">
        <w:trPr>
          <w:trHeight w:val="113"/>
        </w:trPr>
        <w:tc>
          <w:tcPr>
            <w:tcW w:w="9071" w:type="dxa"/>
            <w:gridSpan w:val="6"/>
            <w:tcBorders>
              <w:top w:val="nil"/>
              <w:left w:val="nil"/>
              <w:bottom w:val="nil"/>
              <w:right w:val="nil"/>
            </w:tcBorders>
            <w:tcMar>
              <w:top w:w="0" w:type="dxa"/>
              <w:left w:w="57" w:type="dxa"/>
              <w:bottom w:w="28" w:type="dxa"/>
              <w:right w:w="57" w:type="dxa"/>
            </w:tcMar>
            <w:vAlign w:val="bottom"/>
          </w:tcPr>
          <w:p w:rsidRPr="00CB07E8" w:rsidR="00F423CA" w:rsidP="00CB07E8" w:rsidRDefault="004E2DCE">
            <w:pPr>
              <w:pStyle w:val="bodytableLtable"/>
              <w:spacing w:after="0" w:line="240" w:lineRule="auto"/>
            </w:pPr>
            <w:r w:rsidRPr="00CB07E8">
              <w:rPr>
                <w:rStyle w:val="medium"/>
                <w:b/>
                <w:bCs/>
              </w:rPr>
              <w:t>Other finance lease liabilities payable</w:t>
            </w:r>
          </w:p>
        </w:tc>
      </w:tr>
      <w:tr w:rsidRPr="00CB07E8" w:rsidR="00F423CA" w:rsidTr="00CB07E8">
        <w:trPr>
          <w:trHeight w:val="113"/>
        </w:trPr>
        <w:tc>
          <w:tcPr>
            <w:tcW w:w="283" w:type="dxa"/>
            <w:tcBorders>
              <w:top w:val="nil"/>
              <w:left w:val="nil"/>
              <w:bottom w:val="nil"/>
              <w:right w:val="nil"/>
            </w:tcBorders>
            <w:tcMar>
              <w:top w:w="28" w:type="dxa"/>
              <w:left w:w="57" w:type="dxa"/>
              <w:bottom w:w="28"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Ltable"/>
              <w:spacing w:after="0" w:line="240" w:lineRule="auto"/>
            </w:pPr>
            <w:proofErr w:type="spellStart"/>
            <w:r w:rsidRPr="00CB07E8">
              <w:t>Not longer</w:t>
            </w:r>
            <w:proofErr w:type="spellEnd"/>
            <w:r w:rsidRPr="00CB07E8">
              <w:t xml:space="preserve"> than 1 year</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8,826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7,890 </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8,455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7,495 </w:t>
            </w:r>
          </w:p>
        </w:tc>
      </w:tr>
      <w:tr w:rsidRPr="00CB07E8" w:rsidR="00F423CA" w:rsidTr="00CB07E8">
        <w:trPr>
          <w:trHeight w:val="113"/>
        </w:trPr>
        <w:tc>
          <w:tcPr>
            <w:tcW w:w="283" w:type="dxa"/>
            <w:tcBorders>
              <w:top w:val="nil"/>
              <w:left w:val="nil"/>
              <w:bottom w:val="nil"/>
              <w:right w:val="nil"/>
            </w:tcBorders>
            <w:tcMar>
              <w:top w:w="28" w:type="dxa"/>
              <w:left w:w="57" w:type="dxa"/>
              <w:bottom w:w="28"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Ltable"/>
              <w:spacing w:after="0" w:line="240" w:lineRule="auto"/>
            </w:pPr>
            <w:r w:rsidRPr="00CB07E8">
              <w:t>Longer than 1 year but not longer than 5 years</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7,717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7,643 </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7,521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7,400 </w:t>
            </w:r>
          </w:p>
        </w:tc>
      </w:tr>
      <w:tr w:rsidRPr="00CB07E8" w:rsidR="00F423CA" w:rsidTr="00CB07E8">
        <w:trPr>
          <w:trHeight w:val="113"/>
        </w:trPr>
        <w:tc>
          <w:tcPr>
            <w:tcW w:w="283"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t>Longer than 5 years</w:t>
            </w:r>
          </w:p>
        </w:tc>
        <w:tc>
          <w:tcPr>
            <w:tcW w:w="1020"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0 </w:t>
            </w:r>
          </w:p>
        </w:tc>
        <w:tc>
          <w:tcPr>
            <w:tcW w:w="1021"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0 </w:t>
            </w:r>
          </w:p>
        </w:tc>
        <w:tc>
          <w:tcPr>
            <w:tcW w:w="1020"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0 </w:t>
            </w:r>
          </w:p>
        </w:tc>
        <w:tc>
          <w:tcPr>
            <w:tcW w:w="1021"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0 </w:t>
            </w:r>
          </w:p>
        </w:tc>
      </w:tr>
      <w:tr w:rsidRPr="00CB07E8" w:rsidR="00F423CA" w:rsidTr="00CB07E8">
        <w:trPr>
          <w:trHeight w:val="113"/>
        </w:trPr>
        <w:tc>
          <w:tcPr>
            <w:tcW w:w="283"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16,543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15,533 </w:t>
            </w:r>
          </w:p>
        </w:tc>
        <w:tc>
          <w:tcPr>
            <w:tcW w:w="102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15,976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14,895 </w:t>
            </w:r>
          </w:p>
        </w:tc>
      </w:tr>
      <w:tr w:rsidRPr="00CB07E8" w:rsidR="00F423CA" w:rsidTr="00CB07E8">
        <w:trPr>
          <w:trHeight w:val="113"/>
        </w:trPr>
        <w:tc>
          <w:tcPr>
            <w:tcW w:w="283"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1,632,470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444,732 </w:t>
            </w:r>
          </w:p>
        </w:tc>
        <w:tc>
          <w:tcPr>
            <w:tcW w:w="102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651,888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192,657 </w:t>
            </w:r>
          </w:p>
        </w:tc>
      </w:tr>
      <w:tr w:rsidRPr="00CB07E8" w:rsidR="00F423CA" w:rsidTr="00CB07E8">
        <w:trPr>
          <w:trHeight w:val="113"/>
        </w:trPr>
        <w:tc>
          <w:tcPr>
            <w:tcW w:w="9071" w:type="dxa"/>
            <w:gridSpan w:val="6"/>
            <w:tcBorders>
              <w:top w:val="nil"/>
              <w:left w:val="nil"/>
              <w:bottom w:val="nil"/>
              <w:right w:val="nil"/>
            </w:tcBorders>
            <w:tcMar>
              <w:top w:w="0" w:type="dxa"/>
              <w:left w:w="57" w:type="dxa"/>
              <w:bottom w:w="28" w:type="dxa"/>
              <w:right w:w="57" w:type="dxa"/>
            </w:tcMar>
            <w:vAlign w:val="bottom"/>
          </w:tcPr>
          <w:p w:rsidRPr="00CB07E8" w:rsidR="00F423CA" w:rsidP="00CB07E8" w:rsidRDefault="004E2DCE">
            <w:pPr>
              <w:pStyle w:val="bodytableLtable"/>
              <w:spacing w:after="0" w:line="240" w:lineRule="auto"/>
            </w:pPr>
            <w:r w:rsidRPr="00CB07E8">
              <w:rPr>
                <w:rStyle w:val="medium"/>
                <w:b/>
                <w:bCs/>
              </w:rPr>
              <w:t>Minimum future lease payments</w:t>
            </w:r>
            <w:r w:rsidRPr="00CB07E8">
              <w:rPr>
                <w:rStyle w:val="Superscript"/>
              </w:rPr>
              <w:t xml:space="preserve"> (</w:t>
            </w:r>
            <w:proofErr w:type="spellStart"/>
            <w:r w:rsidRPr="00CB07E8">
              <w:rPr>
                <w:rStyle w:val="Superscript"/>
              </w:rPr>
              <w:t>i</w:t>
            </w:r>
            <w:proofErr w:type="spellEnd"/>
            <w:r w:rsidRPr="00CB07E8">
              <w:rPr>
                <w:rStyle w:val="Superscript"/>
              </w:rPr>
              <w:t>)</w:t>
            </w:r>
          </w:p>
        </w:tc>
      </w:tr>
      <w:tr w:rsidRPr="00CB07E8" w:rsidR="00F423CA" w:rsidTr="00CB07E8">
        <w:trPr>
          <w:trHeight w:val="113"/>
        </w:trPr>
        <w:tc>
          <w:tcPr>
            <w:tcW w:w="283" w:type="dxa"/>
            <w:tcBorders>
              <w:top w:val="nil"/>
              <w:left w:val="nil"/>
              <w:bottom w:val="nil"/>
              <w:right w:val="nil"/>
            </w:tcBorders>
            <w:tcMar>
              <w:top w:w="28"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28" w:type="dxa"/>
              <w:left w:w="57" w:type="dxa"/>
              <w:bottom w:w="57" w:type="dxa"/>
              <w:right w:w="57" w:type="dxa"/>
            </w:tcMar>
            <w:vAlign w:val="bottom"/>
          </w:tcPr>
          <w:p w:rsidRPr="00CB07E8" w:rsidR="00F423CA" w:rsidP="00CB07E8" w:rsidRDefault="004E2DCE">
            <w:pPr>
              <w:pStyle w:val="bodytableLtable"/>
              <w:spacing w:after="0" w:line="240" w:lineRule="auto"/>
            </w:pPr>
            <w:r w:rsidRPr="00CB07E8">
              <w:t>Less future finance charges</w:t>
            </w:r>
          </w:p>
        </w:tc>
        <w:tc>
          <w:tcPr>
            <w:tcW w:w="1020" w:type="dxa"/>
            <w:tcBorders>
              <w:top w:val="nil"/>
              <w:left w:val="nil"/>
              <w:bottom w:val="single" w:color="000000" w:sz="6" w:space="0"/>
              <w:right w:val="nil"/>
            </w:tcBorders>
            <w:tcMar>
              <w:top w:w="28"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(980,582) </w:t>
            </w:r>
          </w:p>
        </w:tc>
        <w:tc>
          <w:tcPr>
            <w:tcW w:w="1021" w:type="dxa"/>
            <w:tcBorders>
              <w:top w:val="nil"/>
              <w:left w:val="nil"/>
              <w:bottom w:val="single" w:color="000000" w:sz="6" w:space="0"/>
              <w:right w:val="nil"/>
            </w:tcBorders>
            <w:tcMar>
              <w:top w:w="28"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(252,075) </w:t>
            </w:r>
          </w:p>
        </w:tc>
        <w:tc>
          <w:tcPr>
            <w:tcW w:w="1020" w:type="dxa"/>
            <w:tcBorders>
              <w:top w:val="nil"/>
              <w:left w:val="nil"/>
              <w:bottom w:val="single" w:color="000000" w:sz="6" w:space="0"/>
              <w:right w:val="nil"/>
            </w:tcBorders>
            <w:tcMar>
              <w:top w:w="28"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0 </w:t>
            </w:r>
          </w:p>
        </w:tc>
        <w:tc>
          <w:tcPr>
            <w:tcW w:w="1021" w:type="dxa"/>
            <w:tcBorders>
              <w:top w:val="nil"/>
              <w:left w:val="nil"/>
              <w:bottom w:val="single" w:color="000000" w:sz="6" w:space="0"/>
              <w:right w:val="nil"/>
            </w:tcBorders>
            <w:tcMar>
              <w:top w:w="28"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0 </w:t>
            </w:r>
          </w:p>
        </w:tc>
      </w:tr>
      <w:tr w:rsidRPr="00CB07E8" w:rsidR="00F423CA" w:rsidTr="00CB07E8">
        <w:trPr>
          <w:trHeight w:val="113"/>
        </w:trPr>
        <w:tc>
          <w:tcPr>
            <w:tcW w:w="4989" w:type="dxa"/>
            <w:gridSpan w:val="2"/>
            <w:tcBorders>
              <w:top w:val="nil"/>
              <w:left w:val="nil"/>
              <w:bottom w:val="nil"/>
              <w:right w:val="nil"/>
            </w:tcBorders>
            <w:tcMar>
              <w:top w:w="57" w:type="dxa"/>
              <w:left w:w="57" w:type="dxa"/>
              <w:bottom w:w="57" w:type="dxa"/>
              <w:right w:w="57" w:type="dxa"/>
            </w:tcMar>
            <w:vAlign w:val="bottom"/>
          </w:tcPr>
          <w:p w:rsidRPr="00CB07E8" w:rsidR="00F423CA" w:rsidP="00CB07E8" w:rsidRDefault="004E2DCE">
            <w:pPr>
              <w:pStyle w:val="bodytableLtable"/>
              <w:spacing w:after="0" w:line="240" w:lineRule="auto"/>
            </w:pPr>
            <w:r w:rsidRPr="00CB07E8">
              <w:rPr>
                <w:rStyle w:val="medium"/>
                <w:b/>
                <w:bCs/>
              </w:rPr>
              <w:t>Present value of minimum lease payments</w:t>
            </w:r>
          </w:p>
        </w:tc>
        <w:tc>
          <w:tcPr>
            <w:tcW w:w="102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651,888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192,657 </w:t>
            </w:r>
          </w:p>
        </w:tc>
        <w:tc>
          <w:tcPr>
            <w:tcW w:w="102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651,888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192,657 </w:t>
            </w:r>
          </w:p>
        </w:tc>
      </w:tr>
      <w:tr w:rsidRPr="00CB07E8" w:rsidR="00F423CA" w:rsidTr="00CB07E8">
        <w:trPr>
          <w:trHeight w:val="113"/>
        </w:trPr>
        <w:tc>
          <w:tcPr>
            <w:tcW w:w="9071" w:type="dxa"/>
            <w:gridSpan w:val="6"/>
            <w:tcBorders>
              <w:top w:val="nil"/>
              <w:left w:val="nil"/>
              <w:bottom w:val="nil"/>
              <w:right w:val="nil"/>
            </w:tcBorders>
            <w:tcMar>
              <w:top w:w="57" w:type="dxa"/>
              <w:left w:w="57" w:type="dxa"/>
              <w:bottom w:w="28" w:type="dxa"/>
              <w:right w:w="57" w:type="dxa"/>
            </w:tcMar>
            <w:vAlign w:val="bottom"/>
          </w:tcPr>
          <w:p w:rsidRPr="00CB07E8" w:rsidR="00F423CA" w:rsidP="00CB07E8" w:rsidRDefault="004E2DCE">
            <w:pPr>
              <w:pStyle w:val="bodytableLtable"/>
              <w:spacing w:after="0" w:line="240" w:lineRule="auto"/>
            </w:pPr>
            <w:r w:rsidRPr="00CB07E8">
              <w:t>Included in the financial statements as:</w:t>
            </w:r>
          </w:p>
        </w:tc>
      </w:tr>
      <w:tr w:rsidRPr="00CB07E8" w:rsidR="00F423CA" w:rsidTr="00CB07E8">
        <w:trPr>
          <w:trHeight w:val="113"/>
        </w:trPr>
        <w:tc>
          <w:tcPr>
            <w:tcW w:w="283" w:type="dxa"/>
            <w:tcBorders>
              <w:top w:val="nil"/>
              <w:left w:val="nil"/>
              <w:bottom w:val="nil"/>
              <w:right w:val="nil"/>
            </w:tcBorders>
            <w:tcMar>
              <w:top w:w="28" w:type="dxa"/>
              <w:left w:w="57" w:type="dxa"/>
              <w:bottom w:w="28"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Ltable"/>
              <w:spacing w:after="0" w:line="240" w:lineRule="auto"/>
            </w:pPr>
            <w:r w:rsidRPr="00CB07E8">
              <w:t>Current borrowings lease liabilities</w:t>
            </w: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20,976 </w:t>
            </w:r>
          </w:p>
        </w:tc>
        <w:tc>
          <w:tcPr>
            <w:tcW w:w="1021" w:type="dxa"/>
            <w:tcBorders>
              <w:top w:val="nil"/>
              <w:left w:val="nil"/>
              <w:bottom w:val="nil"/>
              <w:right w:val="nil"/>
            </w:tcBorders>
            <w:tcMar>
              <w:top w:w="28" w:type="dxa"/>
              <w:left w:w="57" w:type="dxa"/>
              <w:bottom w:w="28" w:type="dxa"/>
              <w:right w:w="57" w:type="dxa"/>
            </w:tcMar>
            <w:vAlign w:val="bottom"/>
          </w:tcPr>
          <w:p w:rsidRPr="00CB07E8" w:rsidR="00F423CA" w:rsidP="00CB07E8" w:rsidRDefault="004E2DCE">
            <w:pPr>
              <w:pStyle w:val="bodytableRtable"/>
              <w:spacing w:after="0" w:line="240" w:lineRule="auto"/>
            </w:pPr>
            <w:r w:rsidRPr="00CB07E8">
              <w:t xml:space="preserve">14,083 </w:t>
            </w:r>
          </w:p>
        </w:tc>
      </w:tr>
      <w:tr w:rsidRPr="00CB07E8" w:rsidR="00F423CA" w:rsidTr="00CB07E8">
        <w:trPr>
          <w:trHeight w:val="113"/>
        </w:trPr>
        <w:tc>
          <w:tcPr>
            <w:tcW w:w="283" w:type="dxa"/>
            <w:tcBorders>
              <w:top w:val="nil"/>
              <w:left w:val="nil"/>
              <w:bottom w:val="nil"/>
              <w:right w:val="nil"/>
            </w:tcBorders>
            <w:tcMar>
              <w:top w:w="28"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nil"/>
              <w:right w:val="nil"/>
            </w:tcBorders>
            <w:tcMar>
              <w:top w:w="28" w:type="dxa"/>
              <w:left w:w="57" w:type="dxa"/>
              <w:bottom w:w="57" w:type="dxa"/>
              <w:right w:w="57" w:type="dxa"/>
            </w:tcMar>
            <w:vAlign w:val="bottom"/>
          </w:tcPr>
          <w:p w:rsidRPr="00CB07E8" w:rsidR="00F423CA" w:rsidP="00CB07E8" w:rsidRDefault="004E2DCE">
            <w:pPr>
              <w:pStyle w:val="bodytableLtable"/>
              <w:spacing w:after="0" w:line="240" w:lineRule="auto"/>
            </w:pPr>
            <w:r w:rsidRPr="00CB07E8">
              <w:t>Non-current borrowing lease liabilities</w:t>
            </w:r>
          </w:p>
        </w:tc>
        <w:tc>
          <w:tcPr>
            <w:tcW w:w="1020" w:type="dxa"/>
            <w:tcBorders>
              <w:top w:val="nil"/>
              <w:left w:val="nil"/>
              <w:bottom w:val="nil"/>
              <w:right w:val="nil"/>
            </w:tcBorders>
            <w:tcMar>
              <w:top w:w="28"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1" w:type="dxa"/>
            <w:tcBorders>
              <w:top w:val="nil"/>
              <w:left w:val="nil"/>
              <w:bottom w:val="nil"/>
              <w:right w:val="nil"/>
            </w:tcBorders>
            <w:tcMar>
              <w:top w:w="28"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nil"/>
              <w:left w:val="nil"/>
              <w:bottom w:val="single" w:color="000000" w:sz="6" w:space="0"/>
              <w:right w:val="nil"/>
            </w:tcBorders>
            <w:tcMar>
              <w:top w:w="28"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630,912 </w:t>
            </w:r>
          </w:p>
        </w:tc>
        <w:tc>
          <w:tcPr>
            <w:tcW w:w="1021" w:type="dxa"/>
            <w:tcBorders>
              <w:top w:val="nil"/>
              <w:left w:val="nil"/>
              <w:bottom w:val="single" w:color="000000" w:sz="6" w:space="0"/>
              <w:right w:val="nil"/>
            </w:tcBorders>
            <w:tcMar>
              <w:top w:w="28"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178,574 </w:t>
            </w:r>
          </w:p>
        </w:tc>
      </w:tr>
      <w:tr w:rsidRPr="00CB07E8" w:rsidR="00F423CA" w:rsidTr="00CB07E8">
        <w:trPr>
          <w:trHeight w:val="113"/>
        </w:trPr>
        <w:tc>
          <w:tcPr>
            <w:tcW w:w="283"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4706"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1" w:type="dxa"/>
            <w:tcBorders>
              <w:top w:val="nil"/>
              <w:left w:val="nil"/>
              <w:bottom w:val="single" w:color="000000" w:sz="6" w:space="0"/>
              <w:right w:val="nil"/>
            </w:tcBorders>
            <w:tcMar>
              <w:top w:w="57" w:type="dxa"/>
              <w:left w:w="57" w:type="dxa"/>
              <w:bottom w:w="57" w:type="dxa"/>
              <w:right w:w="57" w:type="dxa"/>
            </w:tcMar>
            <w:vAlign w:val="bottom"/>
          </w:tcPr>
          <w:p w:rsidRPr="00CB07E8" w:rsidR="00F423CA" w:rsidP="00CB07E8" w:rsidRDefault="00F423CA">
            <w:pPr>
              <w:pStyle w:val="NoParagraphStyle"/>
              <w:spacing w:line="240" w:lineRule="auto"/>
              <w:textAlignment w:val="auto"/>
              <w:rPr>
                <w:rFonts w:ascii="Arial" w:hAnsi="Arial" w:cs="Arial"/>
                <w:color w:val="auto"/>
                <w:sz w:val="16"/>
                <w:szCs w:val="16"/>
              </w:rPr>
            </w:pPr>
          </w:p>
        </w:tc>
        <w:tc>
          <w:tcPr>
            <w:tcW w:w="102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651,888 </w:t>
            </w:r>
          </w:p>
        </w:tc>
        <w:tc>
          <w:tcPr>
            <w:tcW w:w="102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CB07E8" w:rsidR="00F423CA" w:rsidP="00CB07E8" w:rsidRDefault="004E2DCE">
            <w:pPr>
              <w:pStyle w:val="bodytableRtable"/>
              <w:spacing w:after="0" w:line="240" w:lineRule="auto"/>
            </w:pPr>
            <w:r w:rsidRPr="00CB07E8">
              <w:t xml:space="preserve">192,657 </w:t>
            </w:r>
          </w:p>
        </w:tc>
      </w:tr>
    </w:tbl>
    <w:p w:rsidR="00F423CA" w:rsidP="00CB07E8" w:rsidRDefault="00CB07E8">
      <w:pPr>
        <w:pStyle w:val="notestable"/>
        <w:spacing w:before="60"/>
      </w:pPr>
      <w:r>
        <w:t xml:space="preserve"> </w:t>
      </w:r>
      <w:r w:rsidR="004E2DCE">
        <w:t>(</w:t>
      </w:r>
      <w:proofErr w:type="spellStart"/>
      <w:r w:rsidR="004E2DCE">
        <w:t>i</w:t>
      </w:r>
      <w:proofErr w:type="spellEnd"/>
      <w:r w:rsidR="004E2DCE">
        <w:t>) Minimum future lease payments include the aggregate of all lease payments and any guaranteed residual.</w:t>
      </w:r>
    </w:p>
    <w:p w:rsidR="00CB07E8" w:rsidRDefault="00CB07E8">
      <w:pPr>
        <w:rPr>
          <w:rFonts w:ascii="Arial" w:hAnsi="Arial" w:cs="Arial"/>
          <w:i/>
          <w:iCs/>
          <w:color w:val="542E8E"/>
          <w:sz w:val="20"/>
          <w:szCs w:val="20"/>
          <w:lang w:val="en-GB"/>
        </w:rPr>
      </w:pPr>
      <w:r>
        <w:br w:type="page"/>
      </w:r>
    </w:p>
    <w:p w:rsidR="00F423CA" w:rsidRDefault="004E2DCE">
      <w:pPr>
        <w:pStyle w:val="H4A"/>
      </w:pPr>
      <w:r>
        <w:lastRenderedPageBreak/>
        <w:t>Interest expense</w:t>
      </w:r>
    </w:p>
    <w:tbl>
      <w:tblPr>
        <w:tblW w:w="0" w:type="auto"/>
        <w:tblInd w:w="57" w:type="dxa"/>
        <w:tblLayout w:type="fixed"/>
        <w:tblCellMar>
          <w:left w:w="0" w:type="dxa"/>
          <w:right w:w="0" w:type="dxa"/>
        </w:tblCellMar>
        <w:tblLook w:firstRow="0" w:lastRow="0" w:firstColumn="0" w:lastColumn="0" w:noHBand="0" w:noVBand="0" w:val="0000"/>
      </w:tblPr>
      <w:tblGrid>
        <w:gridCol w:w="485"/>
        <w:gridCol w:w="4504"/>
        <w:gridCol w:w="2041"/>
        <w:gridCol w:w="2041"/>
      </w:tblGrid>
      <w:tr w:rsidRPr="009A22A7" w:rsidR="00F423CA" w:rsidTr="009A22A7">
        <w:trPr>
          <w:trHeight w:val="113"/>
          <w:tblHeader/>
        </w:trPr>
        <w:tc>
          <w:tcPr>
            <w:tcW w:w="485"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450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204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204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 thousand)</w:t>
            </w:r>
          </w:p>
        </w:tc>
      </w:tr>
      <w:tr w:rsidRPr="009A22A7" w:rsidR="00F423CA" w:rsidTr="009A22A7">
        <w:trPr>
          <w:trHeight w:val="113"/>
          <w:tblHeader/>
        </w:trPr>
        <w:tc>
          <w:tcPr>
            <w:tcW w:w="48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450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204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2018</w:t>
            </w:r>
          </w:p>
        </w:tc>
        <w:tc>
          <w:tcPr>
            <w:tcW w:w="204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2017</w:t>
            </w:r>
          </w:p>
        </w:tc>
      </w:tr>
      <w:tr w:rsidRPr="009A22A7" w:rsidR="00F423CA" w:rsidTr="009A22A7">
        <w:trPr>
          <w:trHeight w:val="113"/>
        </w:trPr>
        <w:tc>
          <w:tcPr>
            <w:tcW w:w="9071" w:type="dxa"/>
            <w:gridSpan w:val="4"/>
            <w:tcBorders>
              <w:top w:val="single" w:color="000000" w:sz="8" w:space="0"/>
              <w:left w:val="nil"/>
              <w:bottom w:val="nil"/>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pPr>
            <w:r w:rsidRPr="009A22A7">
              <w:t>Interest on finance leases</w:t>
            </w:r>
          </w:p>
        </w:tc>
      </w:tr>
      <w:tr w:rsidRPr="009A22A7" w:rsidR="00F423CA" w:rsidTr="009A22A7">
        <w:trPr>
          <w:trHeight w:val="113"/>
        </w:trPr>
        <w:tc>
          <w:tcPr>
            <w:tcW w:w="4989" w:type="dxa"/>
            <w:gridSpan w:val="2"/>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For PPP arrangements</w:t>
            </w:r>
          </w:p>
        </w:tc>
        <w:tc>
          <w:tcPr>
            <w:tcW w:w="2041"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50,453 </w:t>
            </w:r>
          </w:p>
        </w:tc>
        <w:tc>
          <w:tcPr>
            <w:tcW w:w="2041"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19,931 </w:t>
            </w:r>
          </w:p>
        </w:tc>
      </w:tr>
      <w:tr w:rsidRPr="009A22A7" w:rsidR="00F423CA" w:rsidTr="009A22A7">
        <w:trPr>
          <w:trHeight w:val="113"/>
        </w:trPr>
        <w:tc>
          <w:tcPr>
            <w:tcW w:w="4989" w:type="dxa"/>
            <w:gridSpan w:val="2"/>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ind w:left="227" w:hanging="227"/>
            </w:pPr>
            <w:r w:rsidRPr="009A22A7">
              <w:t>For non-PPP arrangements</w:t>
            </w:r>
          </w:p>
        </w:tc>
        <w:tc>
          <w:tcPr>
            <w:tcW w:w="2041" w:type="dxa"/>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223 </w:t>
            </w:r>
          </w:p>
        </w:tc>
        <w:tc>
          <w:tcPr>
            <w:tcW w:w="2041" w:type="dxa"/>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298 </w:t>
            </w:r>
          </w:p>
        </w:tc>
      </w:tr>
      <w:tr w:rsidRPr="009A22A7" w:rsidR="00F423CA" w:rsidTr="009A22A7">
        <w:trPr>
          <w:trHeight w:val="113"/>
        </w:trPr>
        <w:tc>
          <w:tcPr>
            <w:tcW w:w="498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pPr>
            <w:r w:rsidRPr="009A22A7">
              <w:rPr>
                <w:rStyle w:val="medium"/>
                <w:b/>
                <w:bCs/>
              </w:rPr>
              <w:t>Total interest expense</w:t>
            </w:r>
          </w:p>
        </w:tc>
        <w:tc>
          <w:tcPr>
            <w:tcW w:w="204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rPr>
              <w:t xml:space="preserve">50,676 </w:t>
            </w:r>
          </w:p>
        </w:tc>
        <w:tc>
          <w:tcPr>
            <w:tcW w:w="204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rPr>
              <w:t xml:space="preserve">20,229 </w:t>
            </w:r>
          </w:p>
        </w:tc>
      </w:tr>
    </w:tbl>
    <w:p w:rsidR="00F423CA" w:rsidRDefault="00F423CA">
      <w:pPr>
        <w:pStyle w:val="Bodycopy"/>
        <w:rPr>
          <w:sz w:val="20"/>
          <w:szCs w:val="20"/>
        </w:rPr>
      </w:pPr>
    </w:p>
    <w:p w:rsidR="00F423CA" w:rsidRDefault="004E2DCE">
      <w:pPr>
        <w:pStyle w:val="H3"/>
      </w:pPr>
      <w:r>
        <w:t>7.3 Cash flow information and balances</w:t>
      </w:r>
    </w:p>
    <w:p w:rsidR="00F423CA" w:rsidRDefault="004E2DCE">
      <w:pPr>
        <w:pStyle w:val="Bodycopy"/>
      </w:pPr>
      <w:r>
        <w:t>For the purposes of the cash flow statement and balance sheet, cash includes cash on hand and in banks, net of outstanding bank overdrafts, and investments in term deposits of less than three months.  Most of this cash is held in trusts as shown below.</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9A22A7" w:rsidR="00F423CA" w:rsidTr="009A22A7">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 thousand)</w:t>
            </w:r>
          </w:p>
        </w:tc>
      </w:tr>
      <w:tr w:rsidRPr="009A22A7" w:rsidR="00F423CA" w:rsidTr="009A22A7">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2017</w:t>
            </w:r>
          </w:p>
        </w:tc>
      </w:tr>
      <w:tr w:rsidRPr="009A22A7" w:rsidR="00F423CA" w:rsidTr="009A22A7">
        <w:trPr>
          <w:trHeight w:val="113"/>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pPr>
            <w:r w:rsidRPr="009A22A7">
              <w:t>Cash</w:t>
            </w:r>
            <w:r w:rsidRPr="009A22A7">
              <w:rPr>
                <w:rStyle w:val="Superscript"/>
              </w:rPr>
              <w:t xml:space="preserve"> (</w:t>
            </w:r>
            <w:proofErr w:type="spellStart"/>
            <w:r w:rsidRPr="009A22A7">
              <w:rPr>
                <w:rStyle w:val="Superscript"/>
              </w:rPr>
              <w:t>i</w:t>
            </w:r>
            <w:proofErr w:type="spellEnd"/>
            <w:r w:rsidRPr="009A22A7">
              <w:rPr>
                <w:rStyle w:val="Superscript"/>
              </w:rPr>
              <w:t>)</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(1,427) </w:t>
            </w: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(1,020)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Cash and deposits held in trust</w:t>
            </w:r>
            <w:r w:rsidRPr="009A22A7">
              <w:rPr>
                <w:rStyle w:val="Superscript"/>
              </w:rPr>
              <w:t xml:space="preserve"> (ii)</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Crime prevention and victims’ aid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41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41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Domestic builders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2,442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21,409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Victorian property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28,286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19,797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Correctional enterprises working account</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12,616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12,992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Motor car traders’ guarantee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1,635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4,059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National gambling research trust</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0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434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Sex work regulation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1,251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1,335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Residential tenancies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3,213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1,257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Inter-departmental transfer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2,472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0 </w:t>
            </w:r>
          </w:p>
        </w:tc>
      </w:tr>
      <w:tr w:rsidRPr="009A22A7" w:rsidR="00F423CA" w:rsidTr="009A22A7">
        <w:trPr>
          <w:trHeight w:val="113"/>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ind w:left="227" w:hanging="227"/>
            </w:pPr>
            <w:r w:rsidRPr="009A22A7">
              <w:t>Treasury trust fund</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38,945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28,037 </w:t>
            </w:r>
          </w:p>
        </w:tc>
      </w:tr>
      <w:tr w:rsidRPr="009A22A7" w:rsidR="00F423CA" w:rsidTr="009A22A7">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ind w:left="227" w:hanging="227"/>
            </w:pPr>
            <w:r w:rsidRPr="009A22A7">
              <w:t>Victorian consumer law fund</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1,293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1,695 </w:t>
            </w:r>
          </w:p>
        </w:tc>
      </w:tr>
      <w:tr w:rsidRPr="009A22A7" w:rsidR="00F423CA" w:rsidTr="009A22A7">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pPr>
            <w:r w:rsidRPr="009A22A7">
              <w:rPr>
                <w:rStyle w:val="bold"/>
              </w:rPr>
              <w:t>Balance as per cash flow statement and balance sheet</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bold"/>
              </w:rPr>
              <w:t xml:space="preserve">90,767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bold"/>
              </w:rPr>
              <w:t xml:space="preserve">90,036 </w:t>
            </w:r>
          </w:p>
        </w:tc>
      </w:tr>
    </w:tbl>
    <w:p w:rsidR="00F423CA" w:rsidP="009A22A7" w:rsidRDefault="009A22A7">
      <w:pPr>
        <w:pStyle w:val="notestable"/>
        <w:spacing w:before="60"/>
        <w:ind w:left="227" w:hanging="227"/>
      </w:pPr>
      <w:r>
        <w:t xml:space="preserve"> </w:t>
      </w:r>
      <w:r w:rsidR="004E2DCE">
        <w:t>(</w:t>
      </w:r>
      <w:proofErr w:type="spellStart"/>
      <w:r w:rsidR="004E2DCE">
        <w:t>i</w:t>
      </w:r>
      <w:proofErr w:type="spellEnd"/>
      <w:r w:rsidR="004E2DCE">
        <w:t>)</w:t>
      </w:r>
      <w:r w:rsidR="004E2DCE">
        <w:tab/>
        <w:t xml:space="preserve">Due to the State of Victoria’s investment policy and government funding arrangements, government departments generally do not hold a large cash reserve in their bank accounts. Cash received by a department from the generation of revenue is generally paid into the State’s bank account, known as the Public Account.  Similarly, any departmental expenditure, including those in the form of cheques drawn by the department for the payment of goods and services to its suppliers and creditors are made via the Public Account.  The process is such that, the Public Account would remit to the department the cash required for the amount drawn on the cheques.  This remittance by the Public Account occurs upon the presentation of the cheques by the department’s suppliers or creditors. </w:t>
      </w:r>
    </w:p>
    <w:p w:rsidR="00F423CA" w:rsidRDefault="004E2DCE">
      <w:pPr>
        <w:pStyle w:val="notestable"/>
        <w:ind w:left="227" w:hanging="227"/>
      </w:pPr>
      <w:r>
        <w:tab/>
        <w:t>The above funding arrangements often result in departments having a shortfall in the cash at bank required for payment of unpresented cheques at the reporting date.  At 30 June 2018, cash at bank included the amount of a shortfall for the payment of unpresented cheques of $1.488 million (2017: $1.058 million).</w:t>
      </w:r>
    </w:p>
    <w:p w:rsidR="00F423CA" w:rsidRDefault="004E2DCE">
      <w:pPr>
        <w:pStyle w:val="notestable"/>
        <w:ind w:left="227" w:hanging="227"/>
      </w:pPr>
      <w:r>
        <w:t>(ii)</w:t>
      </w:r>
      <w:r>
        <w:tab/>
        <w:t>Funds held in trust are quarantined for use specifically for the purposes under which each trust fund has been established.</w:t>
      </w:r>
    </w:p>
    <w:p w:rsidR="00F423CA" w:rsidRDefault="00F423CA">
      <w:pPr>
        <w:pStyle w:val="notestable"/>
        <w:ind w:left="227" w:hanging="227"/>
      </w:pPr>
    </w:p>
    <w:p w:rsidR="00F423CA" w:rsidRDefault="004E2DCE">
      <w:pPr>
        <w:pStyle w:val="H4"/>
      </w:pPr>
      <w:r>
        <w:t>7.3.1 Reconciliation of net result for the period to cash flow from operating activities</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9A22A7" w:rsidR="00F423CA" w:rsidTr="009A22A7">
        <w:trPr>
          <w:trHeight w:val="60"/>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 thousand)</w:t>
            </w:r>
          </w:p>
        </w:tc>
      </w:tr>
      <w:tr w:rsidRPr="009A22A7" w:rsidR="00F423CA" w:rsidTr="009A22A7">
        <w:trPr>
          <w:trHeight w:val="60"/>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color w:val="542E8E"/>
              </w:rPr>
              <w:t>2017</w:t>
            </w:r>
          </w:p>
        </w:tc>
      </w:tr>
      <w:tr w:rsidRPr="009A22A7" w:rsidR="00F423CA" w:rsidTr="009A22A7">
        <w:trPr>
          <w:trHeight w:val="60"/>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pPr>
            <w:r w:rsidRPr="009A22A7">
              <w:rPr>
                <w:rStyle w:val="medium"/>
                <w:b/>
                <w:bCs/>
              </w:rPr>
              <w:t>Net result for the period</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29,824 </w:t>
            </w: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(1,543)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rPr>
                <w:rStyle w:val="medium"/>
                <w:b/>
                <w:bCs/>
              </w:rPr>
              <w:t>Non-cash movements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Net (gain)/loss on disposal of non-current assets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(1,956)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(935)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Depreciation of non-current assets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118,593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97,093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Resources (received)/provided free of charge or for nominal consideration</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(175)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12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Net (gain)/loss on financial instruments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(6,006)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6,341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Net (gain)/loss from revaluation of provisions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(2,399)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1,598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rPr>
                <w:rStyle w:val="medium"/>
                <w:b/>
                <w:bCs/>
              </w:rPr>
              <w:t>Movements in assets and liabilities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F423CA">
            <w:pPr>
              <w:pStyle w:val="NoParagraphStyle"/>
              <w:spacing w:line="240" w:lineRule="auto"/>
              <w:textAlignment w:val="auto"/>
              <w:rPr>
                <w:rFonts w:ascii="Arial" w:hAnsi="Arial" w:cs="Arial"/>
                <w:color w:val="auto"/>
                <w:sz w:val="16"/>
                <w:szCs w:val="16"/>
              </w:rPr>
            </w:pP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Decrease/(increase) in receivables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(189,874)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(111,441)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Decrease/(increase) in prepayments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(2,366)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2,917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Decrease/(increase) in inventories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(1,549)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(1,448) </w:t>
            </w:r>
          </w:p>
        </w:tc>
      </w:tr>
      <w:tr w:rsidRPr="009A22A7" w:rsidR="00F423CA" w:rsidTr="009A22A7">
        <w:trPr>
          <w:trHeight w:val="60"/>
        </w:trPr>
        <w:tc>
          <w:tcPr>
            <w:tcW w:w="6236"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Ltable"/>
              <w:spacing w:after="0" w:line="240" w:lineRule="auto"/>
            </w:pPr>
            <w:r w:rsidRPr="009A22A7">
              <w:t>Increase/(decrease) in payables</w:t>
            </w:r>
          </w:p>
        </w:tc>
        <w:tc>
          <w:tcPr>
            <w:tcW w:w="1418"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116,086 </w:t>
            </w:r>
          </w:p>
        </w:tc>
        <w:tc>
          <w:tcPr>
            <w:tcW w:w="1417" w:type="dxa"/>
            <w:tcBorders>
              <w:top w:val="nil"/>
              <w:left w:val="nil"/>
              <w:bottom w:val="nil"/>
              <w:right w:val="nil"/>
            </w:tcBorders>
            <w:tcMar>
              <w:top w:w="28" w:type="dxa"/>
              <w:left w:w="57" w:type="dxa"/>
              <w:bottom w:w="28" w:type="dxa"/>
              <w:right w:w="57" w:type="dxa"/>
            </w:tcMar>
            <w:vAlign w:val="bottom"/>
          </w:tcPr>
          <w:p w:rsidRPr="009A22A7" w:rsidR="00F423CA" w:rsidP="009A22A7" w:rsidRDefault="004E2DCE">
            <w:pPr>
              <w:pStyle w:val="bodytableRtable"/>
              <w:spacing w:after="0" w:line="240" w:lineRule="auto"/>
            </w:pPr>
            <w:r w:rsidRPr="009A22A7">
              <w:t xml:space="preserve">91,332 </w:t>
            </w:r>
          </w:p>
        </w:tc>
      </w:tr>
      <w:tr w:rsidRPr="009A22A7" w:rsidR="00F423CA" w:rsidTr="009A22A7">
        <w:trPr>
          <w:trHeight w:val="60"/>
        </w:trPr>
        <w:tc>
          <w:tcPr>
            <w:tcW w:w="6236" w:type="dxa"/>
            <w:tcBorders>
              <w:top w:val="nil"/>
              <w:left w:val="nil"/>
              <w:bottom w:val="nil"/>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pPr>
            <w:r w:rsidRPr="009A22A7">
              <w:t>Increase/(decrease) in provisions</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28,788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t xml:space="preserve">16,150 </w:t>
            </w:r>
          </w:p>
        </w:tc>
      </w:tr>
      <w:tr w:rsidRPr="009A22A7" w:rsidR="00F423CA" w:rsidTr="009A22A7">
        <w:trPr>
          <w:trHeight w:val="60"/>
        </w:trPr>
        <w:tc>
          <w:tcPr>
            <w:tcW w:w="6236" w:type="dxa"/>
            <w:tcBorders>
              <w:top w:val="nil"/>
              <w:left w:val="nil"/>
              <w:bottom w:val="nil"/>
              <w:right w:val="nil"/>
            </w:tcBorders>
            <w:tcMar>
              <w:top w:w="57" w:type="dxa"/>
              <w:left w:w="57" w:type="dxa"/>
              <w:bottom w:w="57" w:type="dxa"/>
              <w:right w:w="57" w:type="dxa"/>
            </w:tcMar>
            <w:vAlign w:val="bottom"/>
          </w:tcPr>
          <w:p w:rsidRPr="009A22A7" w:rsidR="00F423CA" w:rsidP="009A22A7" w:rsidRDefault="004E2DCE">
            <w:pPr>
              <w:pStyle w:val="bodytableLtable"/>
              <w:spacing w:after="0" w:line="240" w:lineRule="auto"/>
            </w:pPr>
            <w:r w:rsidRPr="009A22A7">
              <w:rPr>
                <w:rStyle w:val="medium"/>
                <w:b/>
                <w:bCs/>
              </w:rPr>
              <w:t>Net cash flows from</w:t>
            </w:r>
            <w:proofErr w:type="gramStart"/>
            <w:r w:rsidRPr="009A22A7">
              <w:rPr>
                <w:rStyle w:val="medium"/>
                <w:b/>
                <w:bCs/>
              </w:rPr>
              <w:t>/(</w:t>
            </w:r>
            <w:proofErr w:type="gramEnd"/>
            <w:r w:rsidRPr="009A22A7">
              <w:rPr>
                <w:rStyle w:val="medium"/>
                <w:b/>
                <w:bCs/>
              </w:rPr>
              <w:t>used in) operating activities</w:t>
            </w:r>
          </w:p>
        </w:tc>
        <w:tc>
          <w:tcPr>
            <w:tcW w:w="1418" w:type="dxa"/>
            <w:tcBorders>
              <w:top w:val="single" w:color="000000" w:sz="6" w:space="0"/>
              <w:left w:val="nil"/>
              <w:bottom w:val="double" w:color="000000" w:sz="1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rPr>
              <w:t xml:space="preserve">88,966 </w:t>
            </w:r>
          </w:p>
        </w:tc>
        <w:tc>
          <w:tcPr>
            <w:tcW w:w="1417" w:type="dxa"/>
            <w:tcBorders>
              <w:top w:val="single" w:color="000000" w:sz="6" w:space="0"/>
              <w:left w:val="nil"/>
              <w:bottom w:val="double" w:color="000000" w:sz="16" w:space="0"/>
              <w:right w:val="nil"/>
            </w:tcBorders>
            <w:tcMar>
              <w:top w:w="57" w:type="dxa"/>
              <w:left w:w="57" w:type="dxa"/>
              <w:bottom w:w="57" w:type="dxa"/>
              <w:right w:w="57" w:type="dxa"/>
            </w:tcMar>
            <w:vAlign w:val="bottom"/>
          </w:tcPr>
          <w:p w:rsidRPr="009A22A7" w:rsidR="00F423CA" w:rsidP="009A22A7" w:rsidRDefault="004E2DCE">
            <w:pPr>
              <w:pStyle w:val="bodytableRtable"/>
              <w:spacing w:after="0" w:line="240" w:lineRule="auto"/>
            </w:pPr>
            <w:r w:rsidRPr="009A22A7">
              <w:rPr>
                <w:rStyle w:val="medium"/>
                <w:b/>
                <w:bCs/>
              </w:rPr>
              <w:t xml:space="preserve">100,076 </w:t>
            </w:r>
          </w:p>
        </w:tc>
      </w:tr>
    </w:tbl>
    <w:p w:rsidR="00F423CA" w:rsidRDefault="00F423CA">
      <w:pPr>
        <w:pStyle w:val="Bodycopy"/>
        <w:rPr>
          <w:sz w:val="21"/>
          <w:szCs w:val="21"/>
        </w:rPr>
      </w:pPr>
    </w:p>
    <w:p w:rsidRPr="00B572FB" w:rsidR="009A22A7" w:rsidP="00B572FB" w:rsidRDefault="009A22A7">
      <w:pPr>
        <w:pStyle w:val="Bodycopy"/>
      </w:pPr>
      <w:r>
        <w:br w:type="page"/>
      </w:r>
    </w:p>
    <w:p w:rsidR="00F423CA" w:rsidRDefault="004E2DCE">
      <w:pPr>
        <w:pStyle w:val="H3"/>
      </w:pPr>
      <w:r>
        <w:lastRenderedPageBreak/>
        <w:t>7.4 Trust account balances</w:t>
      </w:r>
    </w:p>
    <w:p w:rsidR="00F423CA" w:rsidRDefault="004E2DCE">
      <w:pPr>
        <w:pStyle w:val="H4A"/>
      </w:pPr>
      <w:r>
        <w:t>Trust account balances relating to trust accounts controlled and/or administered by the department</w:t>
      </w:r>
    </w:p>
    <w:tbl>
      <w:tblPr>
        <w:tblW w:w="0" w:type="auto"/>
        <w:tblInd w:w="57" w:type="dxa"/>
        <w:tblLayout w:type="fixed"/>
        <w:tblCellMar>
          <w:left w:w="0" w:type="dxa"/>
          <w:right w:w="0" w:type="dxa"/>
        </w:tblCellMar>
        <w:tblLook w:firstRow="0" w:lastRow="0" w:firstColumn="0" w:lastColumn="0" w:noHBand="0" w:noVBand="0" w:val="0000"/>
      </w:tblPr>
      <w:tblGrid>
        <w:gridCol w:w="2211"/>
        <w:gridCol w:w="1134"/>
        <w:gridCol w:w="709"/>
        <w:gridCol w:w="851"/>
        <w:gridCol w:w="992"/>
        <w:gridCol w:w="992"/>
        <w:gridCol w:w="709"/>
        <w:gridCol w:w="850"/>
        <w:gridCol w:w="993"/>
      </w:tblGrid>
      <w:tr w:rsidRPr="009A22A7" w:rsidR="00F423CA" w:rsidTr="003E0B8E">
        <w:trPr>
          <w:trHeight w:val="113"/>
          <w:tblHeader/>
        </w:trPr>
        <w:tc>
          <w:tcPr>
            <w:tcW w:w="9441" w:type="dxa"/>
            <w:gridSpan w:val="9"/>
            <w:tcBorders>
              <w:top w:val="single" w:color="FFFFFF" w:themeColor="background1" w:sz="4" w:space="0"/>
              <w:left w:val="nil"/>
              <w:bottom w:val="single" w:color="542E8E" w:sz="6" w:space="0"/>
              <w:right w:val="single" w:color="FFFFFF" w:themeColor="background1" w:sz="4" w:space="0"/>
            </w:tcBorders>
            <w:shd w:val="solid" w:color="FFFFFF" w:fill="auto"/>
            <w:tcMar>
              <w:top w:w="28" w:type="dxa"/>
              <w:left w:w="57" w:type="dxa"/>
              <w:bottom w:w="28" w:type="dxa"/>
              <w:right w:w="57" w:type="dxa"/>
            </w:tcMar>
          </w:tcPr>
          <w:p w:rsidRPr="009A22A7" w:rsidR="00F423CA" w:rsidP="009A22A7" w:rsidRDefault="004E2DCE">
            <w:pPr>
              <w:pStyle w:val="bodytableLtable"/>
              <w:spacing w:after="0" w:line="240" w:lineRule="auto"/>
              <w:jc w:val="right"/>
              <w:rPr>
                <w:sz w:val="14"/>
                <w:szCs w:val="14"/>
              </w:rPr>
            </w:pPr>
            <w:r w:rsidRPr="009A22A7">
              <w:rPr>
                <w:rStyle w:val="medium"/>
                <w:b/>
                <w:bCs/>
                <w:color w:val="542E8E"/>
                <w:sz w:val="14"/>
                <w:szCs w:val="14"/>
              </w:rPr>
              <w:t>($ thousand)</w:t>
            </w:r>
          </w:p>
        </w:tc>
      </w:tr>
      <w:tr w:rsidRPr="009A22A7" w:rsidR="00F423CA" w:rsidTr="003E0B8E">
        <w:trPr>
          <w:trHeight w:val="113"/>
          <w:tblHeader/>
        </w:trPr>
        <w:tc>
          <w:tcPr>
            <w:tcW w:w="2211" w:type="dxa"/>
            <w:vMerge w:val="restart"/>
            <w:tcBorders>
              <w:top w:val="single" w:color="542E8E" w:sz="6" w:space="0"/>
              <w:left w:val="nil"/>
              <w:bottom w:val="single" w:color="542E8E" w:sz="6" w:space="0"/>
              <w:right w:val="single" w:color="FFFFFF" w:themeColor="background1" w:sz="4" w:space="0"/>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rPr>
                <w:sz w:val="14"/>
                <w:szCs w:val="14"/>
              </w:rPr>
            </w:pPr>
            <w:r w:rsidRPr="009A22A7">
              <w:rPr>
                <w:rStyle w:val="medium"/>
                <w:b/>
                <w:bCs/>
                <w:color w:val="542E8E"/>
                <w:sz w:val="14"/>
                <w:szCs w:val="14"/>
              </w:rPr>
              <w:t>Cash and deposits,</w:t>
            </w:r>
            <w:r w:rsidRPr="009A22A7">
              <w:rPr>
                <w:rStyle w:val="medium"/>
                <w:b/>
                <w:bCs/>
                <w:color w:val="542E8E"/>
                <w:sz w:val="14"/>
                <w:szCs w:val="14"/>
              </w:rPr>
              <w:br/>
              <w:t>and investments</w:t>
            </w:r>
          </w:p>
        </w:tc>
        <w:tc>
          <w:tcPr>
            <w:tcW w:w="3686" w:type="dxa"/>
            <w:gridSpan w:val="4"/>
            <w:tcBorders>
              <w:top w:val="single" w:color="542E8E" w:sz="6" w:space="0"/>
              <w:left w:val="single" w:color="FFFFFF" w:themeColor="background1" w:sz="4" w:space="0"/>
              <w:bottom w:val="single" w:color="542E8E" w:sz="6" w:space="0"/>
              <w:right w:val="nil"/>
            </w:tcBorders>
            <w:shd w:val="solid" w:color="FFFFFF" w:fill="auto"/>
            <w:tcMar>
              <w:top w:w="28" w:type="dxa"/>
              <w:left w:w="57" w:type="dxa"/>
              <w:bottom w:w="28" w:type="dxa"/>
              <w:right w:w="57" w:type="dxa"/>
            </w:tcMar>
          </w:tcPr>
          <w:p w:rsidRPr="009A22A7" w:rsidR="00F423CA" w:rsidP="009A22A7" w:rsidRDefault="004E2DCE">
            <w:pPr>
              <w:pStyle w:val="bodytableLtable"/>
              <w:spacing w:after="0" w:line="240" w:lineRule="auto"/>
              <w:jc w:val="center"/>
              <w:rPr>
                <w:sz w:val="14"/>
                <w:szCs w:val="14"/>
              </w:rPr>
            </w:pPr>
            <w:r w:rsidRPr="009A22A7">
              <w:rPr>
                <w:rStyle w:val="medium"/>
                <w:b/>
                <w:bCs/>
                <w:color w:val="542E8E"/>
                <w:sz w:val="14"/>
                <w:szCs w:val="14"/>
              </w:rPr>
              <w:t>2018</w:t>
            </w:r>
          </w:p>
        </w:tc>
        <w:tc>
          <w:tcPr>
            <w:tcW w:w="3544" w:type="dxa"/>
            <w:gridSpan w:val="4"/>
            <w:tcBorders>
              <w:top w:val="single" w:color="542E8E" w:sz="6" w:space="0"/>
              <w:left w:val="single" w:color="000000" w:sz="6" w:space="0"/>
              <w:bottom w:val="single" w:color="542E8E" w:sz="6" w:space="0"/>
              <w:right w:val="single" w:color="FFFFFF" w:themeColor="background1" w:sz="4" w:space="0"/>
            </w:tcBorders>
            <w:shd w:val="solid" w:color="FFFFFF" w:fill="auto"/>
            <w:tcMar>
              <w:top w:w="28" w:type="dxa"/>
              <w:left w:w="57" w:type="dxa"/>
              <w:bottom w:w="28" w:type="dxa"/>
              <w:right w:w="57" w:type="dxa"/>
            </w:tcMar>
          </w:tcPr>
          <w:p w:rsidRPr="009A22A7" w:rsidR="00F423CA" w:rsidP="009A22A7" w:rsidRDefault="004E2DCE">
            <w:pPr>
              <w:pStyle w:val="bodytableLtable"/>
              <w:spacing w:after="0" w:line="240" w:lineRule="auto"/>
              <w:jc w:val="center"/>
              <w:rPr>
                <w:sz w:val="14"/>
                <w:szCs w:val="14"/>
              </w:rPr>
            </w:pPr>
            <w:r w:rsidRPr="009A22A7">
              <w:rPr>
                <w:rStyle w:val="medium"/>
                <w:b/>
                <w:bCs/>
                <w:color w:val="542E8E"/>
                <w:sz w:val="14"/>
                <w:szCs w:val="14"/>
              </w:rPr>
              <w:t>2017</w:t>
            </w:r>
          </w:p>
        </w:tc>
      </w:tr>
      <w:tr w:rsidRPr="009A22A7" w:rsidR="00F423CA" w:rsidTr="003E0B8E">
        <w:trPr>
          <w:trHeight w:val="113"/>
          <w:tblHeader/>
        </w:trPr>
        <w:tc>
          <w:tcPr>
            <w:tcW w:w="2211" w:type="dxa"/>
            <w:vMerge/>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1134" w:type="dxa"/>
            <w:tcBorders>
              <w:top w:val="single" w:color="542E8E" w:sz="6" w:space="0"/>
              <w:left w:val="single" w:color="FFFFFF" w:themeColor="background1" w:sz="4" w:space="0"/>
              <w:bottom w:val="single" w:color="542E8E" w:sz="6" w:space="0"/>
              <w:right w:val="nil"/>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Opening balance as at</w:t>
            </w:r>
            <w:r w:rsidRPr="009A22A7">
              <w:rPr>
                <w:rStyle w:val="medium"/>
                <w:b/>
                <w:bCs/>
                <w:color w:val="542E8E"/>
                <w:sz w:val="14"/>
                <w:szCs w:val="14"/>
              </w:rPr>
              <w:br/>
              <w:t>1 July 2017</w:t>
            </w:r>
          </w:p>
        </w:tc>
        <w:tc>
          <w:tcPr>
            <w:tcW w:w="709" w:type="dxa"/>
            <w:tcBorders>
              <w:top w:val="single" w:color="542E8E" w:sz="6" w:space="0"/>
              <w:left w:val="nil"/>
              <w:bottom w:val="single" w:color="542E8E" w:sz="6" w:space="0"/>
              <w:right w:val="nil"/>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 xml:space="preserve">Total </w:t>
            </w:r>
            <w:r w:rsidRPr="009A22A7">
              <w:rPr>
                <w:rStyle w:val="medium"/>
                <w:b/>
                <w:bCs/>
                <w:color w:val="542E8E"/>
                <w:sz w:val="14"/>
                <w:szCs w:val="14"/>
              </w:rPr>
              <w:br/>
              <w:t>receipts</w:t>
            </w:r>
          </w:p>
        </w:tc>
        <w:tc>
          <w:tcPr>
            <w:tcW w:w="851" w:type="dxa"/>
            <w:tcBorders>
              <w:top w:val="single" w:color="542E8E" w:sz="6" w:space="0"/>
              <w:left w:val="nil"/>
              <w:bottom w:val="single" w:color="542E8E" w:sz="6" w:space="0"/>
              <w:right w:val="nil"/>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 xml:space="preserve">Total </w:t>
            </w:r>
            <w:r w:rsidRPr="009A22A7">
              <w:rPr>
                <w:rStyle w:val="medium"/>
                <w:b/>
                <w:bCs/>
                <w:color w:val="542E8E"/>
                <w:sz w:val="14"/>
                <w:szCs w:val="14"/>
              </w:rPr>
              <w:br/>
            </w:r>
            <w:r w:rsidRPr="009A22A7">
              <w:rPr>
                <w:rStyle w:val="medium"/>
                <w:b/>
                <w:bCs/>
                <w:color w:val="542E8E"/>
                <w:spacing w:val="-3"/>
                <w:sz w:val="14"/>
                <w:szCs w:val="14"/>
              </w:rPr>
              <w:t>payments</w:t>
            </w:r>
          </w:p>
        </w:tc>
        <w:tc>
          <w:tcPr>
            <w:tcW w:w="992" w:type="dxa"/>
            <w:tcBorders>
              <w:top w:val="single" w:color="542E8E" w:sz="6" w:space="0"/>
              <w:left w:val="nil"/>
              <w:bottom w:val="single" w:color="542E8E" w:sz="6" w:space="0"/>
              <w:right w:val="single" w:color="000000" w:sz="6" w:space="0"/>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 xml:space="preserve">Closing </w:t>
            </w:r>
            <w:r w:rsidRPr="009A22A7">
              <w:rPr>
                <w:rStyle w:val="medium"/>
                <w:b/>
                <w:bCs/>
                <w:color w:val="542E8E"/>
                <w:spacing w:val="-3"/>
                <w:sz w:val="14"/>
                <w:szCs w:val="14"/>
              </w:rPr>
              <w:t xml:space="preserve">balance as at </w:t>
            </w:r>
            <w:r w:rsidRPr="009A22A7">
              <w:rPr>
                <w:rStyle w:val="medium"/>
                <w:b/>
                <w:bCs/>
                <w:color w:val="542E8E"/>
                <w:spacing w:val="-3"/>
                <w:sz w:val="14"/>
                <w:szCs w:val="14"/>
              </w:rPr>
              <w:br/>
            </w:r>
            <w:r w:rsidRPr="009A22A7">
              <w:rPr>
                <w:rStyle w:val="medium"/>
                <w:b/>
                <w:bCs/>
                <w:color w:val="542E8E"/>
                <w:sz w:val="14"/>
                <w:szCs w:val="14"/>
              </w:rPr>
              <w:t>30 June 2018</w:t>
            </w:r>
          </w:p>
        </w:tc>
        <w:tc>
          <w:tcPr>
            <w:tcW w:w="992" w:type="dxa"/>
            <w:tcBorders>
              <w:top w:val="single" w:color="542E8E" w:sz="6" w:space="0"/>
              <w:left w:val="single" w:color="000000" w:sz="6" w:space="0"/>
              <w:bottom w:val="single" w:color="542E8E" w:sz="6" w:space="0"/>
              <w:right w:val="nil"/>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 xml:space="preserve">Opening </w:t>
            </w:r>
            <w:r w:rsidRPr="009A22A7">
              <w:rPr>
                <w:rStyle w:val="medium"/>
                <w:b/>
                <w:bCs/>
                <w:color w:val="542E8E"/>
                <w:spacing w:val="-4"/>
                <w:sz w:val="14"/>
                <w:szCs w:val="14"/>
              </w:rPr>
              <w:t>balance as at</w:t>
            </w:r>
            <w:r w:rsidRPr="009A22A7">
              <w:rPr>
                <w:rStyle w:val="medium"/>
                <w:b/>
                <w:bCs/>
                <w:color w:val="542E8E"/>
                <w:spacing w:val="-4"/>
                <w:sz w:val="14"/>
                <w:szCs w:val="14"/>
              </w:rPr>
              <w:br/>
            </w:r>
            <w:r w:rsidRPr="009A22A7">
              <w:rPr>
                <w:rStyle w:val="medium"/>
                <w:b/>
                <w:bCs/>
                <w:color w:val="542E8E"/>
                <w:sz w:val="14"/>
                <w:szCs w:val="14"/>
              </w:rPr>
              <w:t>1 July 2016</w:t>
            </w:r>
          </w:p>
        </w:tc>
        <w:tc>
          <w:tcPr>
            <w:tcW w:w="709" w:type="dxa"/>
            <w:tcBorders>
              <w:top w:val="single" w:color="542E8E" w:sz="6" w:space="0"/>
              <w:left w:val="nil"/>
              <w:bottom w:val="single" w:color="542E8E" w:sz="6" w:space="0"/>
              <w:right w:val="nil"/>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 xml:space="preserve">Total </w:t>
            </w:r>
            <w:r w:rsidRPr="009A22A7">
              <w:rPr>
                <w:rStyle w:val="medium"/>
                <w:b/>
                <w:bCs/>
                <w:color w:val="542E8E"/>
                <w:sz w:val="14"/>
                <w:szCs w:val="14"/>
              </w:rPr>
              <w:br/>
              <w:t>receipts</w:t>
            </w:r>
          </w:p>
        </w:tc>
        <w:tc>
          <w:tcPr>
            <w:tcW w:w="850" w:type="dxa"/>
            <w:tcBorders>
              <w:top w:val="single" w:color="542E8E" w:sz="6" w:space="0"/>
              <w:left w:val="nil"/>
              <w:bottom w:val="single" w:color="542E8E" w:sz="6" w:space="0"/>
              <w:right w:val="nil"/>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 xml:space="preserve">Total </w:t>
            </w:r>
            <w:r w:rsidRPr="009A22A7">
              <w:rPr>
                <w:rStyle w:val="medium"/>
                <w:b/>
                <w:bCs/>
                <w:color w:val="542E8E"/>
                <w:sz w:val="14"/>
                <w:szCs w:val="14"/>
              </w:rPr>
              <w:br/>
            </w:r>
            <w:r w:rsidRPr="009A22A7">
              <w:rPr>
                <w:rStyle w:val="medium"/>
                <w:b/>
                <w:bCs/>
                <w:color w:val="542E8E"/>
                <w:spacing w:val="-3"/>
                <w:sz w:val="14"/>
                <w:szCs w:val="14"/>
              </w:rPr>
              <w:t>payments</w:t>
            </w:r>
          </w:p>
        </w:tc>
        <w:tc>
          <w:tcPr>
            <w:tcW w:w="993" w:type="dxa"/>
            <w:tcBorders>
              <w:top w:val="single" w:color="542E8E" w:sz="6" w:space="0"/>
              <w:left w:val="nil"/>
              <w:bottom w:val="single" w:color="542E8E" w:sz="6" w:space="0"/>
              <w:right w:val="single" w:color="FFFFFF" w:themeColor="background1" w:sz="4" w:space="0"/>
            </w:tcBorders>
            <w:shd w:val="solid" w:color="FFFFFF" w:fill="auto"/>
            <w:tcMar>
              <w:top w:w="28" w:type="dxa"/>
              <w:left w:w="57" w:type="dxa"/>
              <w:bottom w:w="28" w:type="dxa"/>
              <w:right w:w="57" w:type="dxa"/>
            </w:tcMar>
            <w:vAlign w:val="bottom"/>
          </w:tcPr>
          <w:p w:rsidRPr="009A22A7" w:rsidR="00F423CA" w:rsidP="003E0B8E" w:rsidRDefault="004E2DCE">
            <w:pPr>
              <w:pStyle w:val="bodytableLtable"/>
              <w:spacing w:after="0" w:line="240" w:lineRule="auto"/>
              <w:jc w:val="right"/>
              <w:rPr>
                <w:sz w:val="14"/>
                <w:szCs w:val="14"/>
              </w:rPr>
            </w:pPr>
            <w:r w:rsidRPr="009A22A7">
              <w:rPr>
                <w:rStyle w:val="medium"/>
                <w:b/>
                <w:bCs/>
                <w:color w:val="542E8E"/>
                <w:sz w:val="14"/>
                <w:szCs w:val="14"/>
              </w:rPr>
              <w:t xml:space="preserve">Closing </w:t>
            </w:r>
            <w:r w:rsidRPr="009A22A7">
              <w:rPr>
                <w:rStyle w:val="medium"/>
                <w:b/>
                <w:bCs/>
                <w:color w:val="542E8E"/>
                <w:spacing w:val="-3"/>
                <w:sz w:val="14"/>
                <w:szCs w:val="14"/>
              </w:rPr>
              <w:t>balance as at</w:t>
            </w:r>
            <w:r w:rsidRPr="009A22A7">
              <w:rPr>
                <w:rStyle w:val="medium"/>
                <w:b/>
                <w:bCs/>
                <w:color w:val="542E8E"/>
                <w:spacing w:val="-3"/>
                <w:sz w:val="14"/>
                <w:szCs w:val="14"/>
              </w:rPr>
              <w:br/>
            </w:r>
            <w:r w:rsidRPr="009A22A7">
              <w:rPr>
                <w:rStyle w:val="medium"/>
                <w:b/>
                <w:bCs/>
                <w:color w:val="542E8E"/>
                <w:sz w:val="14"/>
                <w:szCs w:val="14"/>
              </w:rPr>
              <w:t>30 June 2017</w:t>
            </w:r>
          </w:p>
        </w:tc>
      </w:tr>
      <w:tr w:rsidRPr="009A22A7" w:rsidR="00F423CA" w:rsidTr="003E0B8E">
        <w:trPr>
          <w:trHeight w:val="113"/>
        </w:trPr>
        <w:tc>
          <w:tcPr>
            <w:tcW w:w="2211" w:type="dxa"/>
            <w:tcBorders>
              <w:top w:val="single" w:color="000000" w:sz="8" w:space="0"/>
              <w:left w:val="nil"/>
              <w:bottom w:val="nil"/>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purple"/>
                <w:b/>
                <w:bCs/>
                <w:sz w:val="14"/>
                <w:szCs w:val="14"/>
              </w:rPr>
              <w:t>Controlled trusts</w:t>
            </w:r>
            <w:r w:rsidRPr="009A22A7">
              <w:rPr>
                <w:rStyle w:val="Superscript"/>
                <w:sz w:val="14"/>
                <w:szCs w:val="14"/>
              </w:rPr>
              <w:t xml:space="preserve"> (</w:t>
            </w:r>
            <w:proofErr w:type="spellStart"/>
            <w:r w:rsidRPr="009A22A7">
              <w:rPr>
                <w:rStyle w:val="Superscript"/>
                <w:sz w:val="14"/>
                <w:szCs w:val="14"/>
              </w:rPr>
              <w:t>i</w:t>
            </w:r>
            <w:proofErr w:type="spellEnd"/>
            <w:r w:rsidRPr="009A22A7">
              <w:rPr>
                <w:rStyle w:val="Superscript"/>
                <w:sz w:val="14"/>
                <w:szCs w:val="14"/>
              </w:rPr>
              <w:t>)</w:t>
            </w:r>
          </w:p>
        </w:tc>
        <w:tc>
          <w:tcPr>
            <w:tcW w:w="1134" w:type="dxa"/>
            <w:tcBorders>
              <w:top w:val="single" w:color="000000" w:sz="8" w:space="0"/>
              <w:left w:val="single" w:color="FFFFFF" w:themeColor="background1" w:sz="4" w:space="0"/>
              <w:bottom w:val="nil"/>
              <w:right w:val="nil"/>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709" w:type="dxa"/>
            <w:tcBorders>
              <w:top w:val="single" w:color="000000" w:sz="8" w:space="0"/>
              <w:left w:val="nil"/>
              <w:bottom w:val="nil"/>
              <w:right w:val="nil"/>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851" w:type="dxa"/>
            <w:tcBorders>
              <w:top w:val="single" w:color="000000" w:sz="8" w:space="0"/>
              <w:left w:val="nil"/>
              <w:bottom w:val="nil"/>
              <w:right w:val="nil"/>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992" w:type="dxa"/>
            <w:tcBorders>
              <w:top w:val="single" w:color="000000" w:sz="8" w:space="0"/>
              <w:left w:val="nil"/>
              <w:bottom w:val="nil"/>
              <w:right w:val="single" w:color="542E8E" w:sz="4" w:space="0"/>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992" w:type="dxa"/>
            <w:tcBorders>
              <w:top w:val="single" w:color="000000" w:sz="8" w:space="0"/>
              <w:left w:val="single" w:color="542E8E" w:sz="4" w:space="0"/>
              <w:bottom w:val="nil"/>
              <w:right w:val="nil"/>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709" w:type="dxa"/>
            <w:tcBorders>
              <w:top w:val="single" w:color="000000" w:sz="8" w:space="0"/>
              <w:left w:val="nil"/>
              <w:bottom w:val="nil"/>
              <w:right w:val="nil"/>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850" w:type="dxa"/>
            <w:tcBorders>
              <w:top w:val="single" w:color="000000" w:sz="8" w:space="0"/>
              <w:left w:val="nil"/>
              <w:bottom w:val="nil"/>
              <w:right w:val="nil"/>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c>
          <w:tcPr>
            <w:tcW w:w="993" w:type="dxa"/>
            <w:tcBorders>
              <w:top w:val="single" w:color="000000" w:sz="8" w:space="0"/>
              <w:left w:val="nil"/>
              <w:bottom w:val="nil"/>
              <w:right w:val="single" w:color="FFFFFF" w:themeColor="background1" w:sz="4" w:space="0"/>
            </w:tcBorders>
            <w:tcMar>
              <w:top w:w="28" w:type="dxa"/>
              <w:left w:w="57" w:type="dxa"/>
              <w:bottom w:w="28" w:type="dxa"/>
              <w:right w:w="57" w:type="dxa"/>
            </w:tcMar>
          </w:tcPr>
          <w:p w:rsidRPr="009A22A7" w:rsidR="00F423CA" w:rsidP="009A22A7" w:rsidRDefault="00F423CA">
            <w:pPr>
              <w:pStyle w:val="NoParagraphStyle"/>
              <w:spacing w:line="240" w:lineRule="auto"/>
              <w:textAlignment w:val="auto"/>
              <w:rPr>
                <w:rFonts w:ascii="Arial" w:hAnsi="Arial" w:cs="Arial"/>
                <w:color w:val="auto"/>
                <w:sz w:val="14"/>
                <w:szCs w:val="14"/>
              </w:rPr>
            </w:pPr>
          </w:p>
        </w:tc>
      </w:tr>
      <w:tr w:rsidRPr="009A22A7" w:rsidR="00F423CA" w:rsidTr="003E0B8E">
        <w:trPr>
          <w:trHeight w:val="113"/>
        </w:trPr>
        <w:tc>
          <w:tcPr>
            <w:tcW w:w="2211" w:type="dxa"/>
            <w:tcBorders>
              <w:top w:val="nil"/>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Crime prevention and victims’ aid fund</w:t>
            </w:r>
            <w:r w:rsidRPr="009A22A7">
              <w:rPr>
                <w:rStyle w:val="medium"/>
                <w:b/>
                <w:bCs/>
                <w:sz w:val="14"/>
                <w:szCs w:val="14"/>
              </w:rPr>
              <w:br/>
            </w:r>
            <w:r w:rsidRPr="009A22A7">
              <w:rPr>
                <w:sz w:val="14"/>
                <w:szCs w:val="14"/>
              </w:rPr>
              <w:t xml:space="preserve">Established under the </w:t>
            </w:r>
            <w:r w:rsidRPr="009A22A7">
              <w:rPr>
                <w:rStyle w:val="italic"/>
                <w:sz w:val="14"/>
                <w:szCs w:val="14"/>
              </w:rPr>
              <w:t>Confiscation Act 1997</w:t>
            </w:r>
            <w:r w:rsidRPr="009A22A7">
              <w:rPr>
                <w:sz w:val="14"/>
                <w:szCs w:val="14"/>
              </w:rPr>
              <w:t xml:space="preserve"> to hold monies in accordance with section 134 of that Act.</w:t>
            </w:r>
          </w:p>
        </w:tc>
        <w:tc>
          <w:tcPr>
            <w:tcW w:w="1134" w:type="dxa"/>
            <w:tcBorders>
              <w:top w:val="nil"/>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41 </w:t>
            </w:r>
          </w:p>
        </w:tc>
        <w:tc>
          <w:tcPr>
            <w:tcW w:w="709" w:type="dxa"/>
            <w:tcBorders>
              <w:top w:val="nil"/>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851" w:type="dxa"/>
            <w:tcBorders>
              <w:top w:val="nil"/>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992" w:type="dxa"/>
            <w:tcBorders>
              <w:top w:val="nil"/>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41 </w:t>
            </w:r>
          </w:p>
        </w:tc>
        <w:tc>
          <w:tcPr>
            <w:tcW w:w="992" w:type="dxa"/>
            <w:tcBorders>
              <w:top w:val="nil"/>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41 </w:t>
            </w:r>
          </w:p>
        </w:tc>
        <w:tc>
          <w:tcPr>
            <w:tcW w:w="709" w:type="dxa"/>
            <w:tcBorders>
              <w:top w:val="nil"/>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850" w:type="dxa"/>
            <w:tcBorders>
              <w:top w:val="nil"/>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993" w:type="dxa"/>
            <w:tcBorders>
              <w:top w:val="nil"/>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41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Domestic builders fund</w:t>
            </w:r>
            <w:r w:rsidRPr="009A22A7">
              <w:rPr>
                <w:rStyle w:val="medium"/>
                <w:b/>
                <w:bCs/>
                <w:sz w:val="14"/>
                <w:szCs w:val="14"/>
              </w:rPr>
              <w:br/>
            </w:r>
            <w:r w:rsidRPr="009A22A7">
              <w:rPr>
                <w:sz w:val="14"/>
                <w:szCs w:val="14"/>
              </w:rPr>
              <w:t xml:space="preserve">Established under the </w:t>
            </w:r>
            <w:r w:rsidRPr="009A22A7">
              <w:rPr>
                <w:rStyle w:val="italic"/>
                <w:sz w:val="14"/>
                <w:szCs w:val="14"/>
              </w:rPr>
              <w:t>Domestic Building Contracts Act 1995</w:t>
            </w:r>
            <w:r w:rsidRPr="009A22A7">
              <w:rPr>
                <w:sz w:val="14"/>
                <w:szCs w:val="14"/>
              </w:rPr>
              <w:t xml:space="preserve"> to hold monies in accordance with section 124 of that Act.</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21,409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14,663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14,876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21,196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21,760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13,213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13,564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21,409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pacing w:val="-1"/>
                <w:sz w:val="14"/>
                <w:szCs w:val="14"/>
              </w:rPr>
              <w:t>Victorian property fund</w:t>
            </w:r>
            <w:r w:rsidRPr="009A22A7">
              <w:rPr>
                <w:spacing w:val="-1"/>
                <w:sz w:val="14"/>
                <w:szCs w:val="14"/>
              </w:rPr>
              <w:t xml:space="preserve"> </w:t>
            </w:r>
            <w:r w:rsidRPr="009A22A7">
              <w:rPr>
                <w:spacing w:val="-1"/>
                <w:sz w:val="14"/>
                <w:szCs w:val="14"/>
              </w:rPr>
              <w:br/>
            </w:r>
            <w:r w:rsidRPr="009A22A7">
              <w:rPr>
                <w:spacing w:val="-3"/>
                <w:sz w:val="14"/>
                <w:szCs w:val="14"/>
              </w:rPr>
              <w:t xml:space="preserve">Established under the </w:t>
            </w:r>
            <w:r w:rsidRPr="009A22A7">
              <w:rPr>
                <w:rStyle w:val="italic"/>
                <w:spacing w:val="-3"/>
                <w:sz w:val="14"/>
                <w:szCs w:val="14"/>
              </w:rPr>
              <w:t>Estate Agents Act 1980</w:t>
            </w:r>
            <w:r w:rsidRPr="009A22A7">
              <w:rPr>
                <w:spacing w:val="-3"/>
                <w:sz w:val="14"/>
                <w:szCs w:val="14"/>
              </w:rPr>
              <w:t xml:space="preserve"> to hold monies in accordance with sections 73 and 75 of that Act.</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318,514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46,283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151,852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212,945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422,617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48,572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152,675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318,514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Correctional enterprises working account</w:t>
            </w:r>
            <w:r w:rsidRPr="009A22A7">
              <w:rPr>
                <w:sz w:val="14"/>
                <w:szCs w:val="14"/>
              </w:rPr>
              <w:br/>
              <w:t xml:space="preserve">Established under the </w:t>
            </w:r>
            <w:r w:rsidRPr="009A22A7">
              <w:rPr>
                <w:rStyle w:val="italic"/>
                <w:sz w:val="14"/>
                <w:szCs w:val="14"/>
              </w:rPr>
              <w:t>Financial Management Act 1994</w:t>
            </w:r>
            <w:r w:rsidRPr="009A22A7">
              <w:rPr>
                <w:sz w:val="14"/>
                <w:szCs w:val="14"/>
              </w:rPr>
              <w:t xml:space="preserve"> as a working account for Correctional Enterprises.</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12,992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15,992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16,368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12,616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8,986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17,083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13,077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12,992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Motor car traders’ guarantee fund</w:t>
            </w:r>
            <w:r w:rsidRPr="009A22A7">
              <w:rPr>
                <w:sz w:val="14"/>
                <w:szCs w:val="14"/>
              </w:rPr>
              <w:br/>
              <w:t xml:space="preserve">Established under the </w:t>
            </w:r>
            <w:r w:rsidRPr="009A22A7">
              <w:rPr>
                <w:rStyle w:val="italic"/>
                <w:sz w:val="14"/>
                <w:szCs w:val="14"/>
              </w:rPr>
              <w:t>Motor Car Traders Act 1986</w:t>
            </w:r>
            <w:r w:rsidRPr="009A22A7">
              <w:rPr>
                <w:sz w:val="14"/>
                <w:szCs w:val="14"/>
              </w:rPr>
              <w:t xml:space="preserve"> to hold monies in accordance with section 74 of that Act.</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4,059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3,515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3,039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4,535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2,941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3,637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2,519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4,059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 xml:space="preserve">National gambling </w:t>
            </w:r>
            <w:r w:rsidRPr="009A22A7">
              <w:rPr>
                <w:rStyle w:val="medium"/>
                <w:b/>
                <w:bCs/>
                <w:sz w:val="14"/>
                <w:szCs w:val="14"/>
              </w:rPr>
              <w:br/>
              <w:t>research trust</w:t>
            </w:r>
            <w:r w:rsidRPr="009A22A7">
              <w:rPr>
                <w:sz w:val="14"/>
                <w:szCs w:val="14"/>
              </w:rPr>
              <w:br/>
              <w:t>Established under a memorandum of understanding between the State and Federal Governments to hold funds for a multi-jurisdictional group to perform national gambling research.</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434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434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0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648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216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434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Sex work regulation fund</w:t>
            </w:r>
            <w:r w:rsidRPr="009A22A7">
              <w:rPr>
                <w:sz w:val="14"/>
                <w:szCs w:val="14"/>
              </w:rPr>
              <w:br/>
              <w:t xml:space="preserve">Established under the </w:t>
            </w:r>
            <w:r w:rsidRPr="009A22A7">
              <w:rPr>
                <w:rStyle w:val="italic"/>
                <w:sz w:val="14"/>
                <w:szCs w:val="14"/>
              </w:rPr>
              <w:t>Sex Work Act 1994</w:t>
            </w:r>
            <w:r w:rsidRPr="009A22A7">
              <w:rPr>
                <w:sz w:val="14"/>
                <w:szCs w:val="14"/>
              </w:rPr>
              <w:t xml:space="preserve"> to hold monies in accordance with section 66 of that Act.</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1,335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1,313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1,397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1,251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1,056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1,660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1,381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1,335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Residential tenancies fund</w:t>
            </w:r>
            <w:r w:rsidRPr="009A22A7">
              <w:rPr>
                <w:sz w:val="14"/>
                <w:szCs w:val="14"/>
              </w:rPr>
              <w:br/>
              <w:t xml:space="preserve">Established under the </w:t>
            </w:r>
            <w:r w:rsidRPr="009A22A7">
              <w:rPr>
                <w:rStyle w:val="italic"/>
                <w:sz w:val="14"/>
                <w:szCs w:val="14"/>
              </w:rPr>
              <w:t>Residential Tenancies Act 1997</w:t>
            </w:r>
            <w:r w:rsidRPr="009A22A7">
              <w:rPr>
                <w:sz w:val="14"/>
                <w:szCs w:val="14"/>
              </w:rPr>
              <w:t xml:space="preserve"> to hold monies in accordance with sections 492 and 493 of that Act.</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36,665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37,088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33,150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40,603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37,096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29,082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29,513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36,665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Vehicle lease trust account</w:t>
            </w:r>
            <w:r w:rsidRPr="009A22A7">
              <w:rPr>
                <w:sz w:val="14"/>
                <w:szCs w:val="14"/>
              </w:rPr>
              <w:br/>
              <w:t xml:space="preserve">Established under the </w:t>
            </w:r>
            <w:r w:rsidRPr="009A22A7">
              <w:rPr>
                <w:rStyle w:val="italic"/>
                <w:sz w:val="14"/>
                <w:szCs w:val="14"/>
              </w:rPr>
              <w:t>Financial Management Act 1994</w:t>
            </w:r>
            <w:r w:rsidRPr="009A22A7">
              <w:rPr>
                <w:sz w:val="14"/>
                <w:szCs w:val="14"/>
              </w:rPr>
              <w:t xml:space="preserve"> to process the sales of </w:t>
            </w:r>
            <w:proofErr w:type="spellStart"/>
            <w:r w:rsidRPr="009A22A7">
              <w:rPr>
                <w:sz w:val="14"/>
                <w:szCs w:val="14"/>
              </w:rPr>
              <w:t>VicFleet</w:t>
            </w:r>
            <w:proofErr w:type="spellEnd"/>
            <w:r w:rsidRPr="009A22A7">
              <w:rPr>
                <w:sz w:val="14"/>
                <w:szCs w:val="14"/>
              </w:rPr>
              <w:t xml:space="preserve"> motor vehicles.</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2,167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2,167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0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1,052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1,052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0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 xml:space="preserve">Inter-departmental </w:t>
            </w:r>
            <w:r w:rsidRPr="009A22A7">
              <w:rPr>
                <w:rStyle w:val="medium"/>
                <w:b/>
                <w:bCs/>
                <w:sz w:val="14"/>
                <w:szCs w:val="14"/>
              </w:rPr>
              <w:br/>
              <w:t>transfer fund</w:t>
            </w:r>
            <w:r w:rsidRPr="009A22A7">
              <w:rPr>
                <w:sz w:val="14"/>
                <w:szCs w:val="14"/>
              </w:rPr>
              <w:br/>
              <w:t>Established under the</w:t>
            </w:r>
            <w:r w:rsidRPr="009A22A7">
              <w:rPr>
                <w:rStyle w:val="italic"/>
                <w:sz w:val="14"/>
                <w:szCs w:val="14"/>
              </w:rPr>
              <w:t xml:space="preserve"> Financial Management Act 1994</w:t>
            </w:r>
            <w:r w:rsidRPr="009A22A7">
              <w:rPr>
                <w:sz w:val="14"/>
                <w:szCs w:val="14"/>
              </w:rPr>
              <w:t xml:space="preserve"> to hold monies in relation to inter-departmental transfers.</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3,771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1,299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2,472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0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0 </w:t>
            </w:r>
          </w:p>
        </w:tc>
      </w:tr>
      <w:tr w:rsidRPr="009A22A7" w:rsidR="00F423CA" w:rsidTr="003E0B8E">
        <w:trPr>
          <w:trHeight w:val="113"/>
        </w:trPr>
        <w:tc>
          <w:tcPr>
            <w:tcW w:w="2211"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Treasury trust fund</w:t>
            </w:r>
            <w:r w:rsidRPr="009A22A7">
              <w:rPr>
                <w:sz w:val="14"/>
                <w:szCs w:val="14"/>
              </w:rPr>
              <w:br/>
            </w:r>
            <w:r w:rsidRPr="009A22A7">
              <w:rPr>
                <w:spacing w:val="1"/>
                <w:sz w:val="14"/>
                <w:szCs w:val="14"/>
              </w:rPr>
              <w:t xml:space="preserve">Established under the </w:t>
            </w:r>
            <w:r w:rsidRPr="009A22A7">
              <w:rPr>
                <w:rStyle w:val="italic"/>
                <w:spacing w:val="1"/>
                <w:sz w:val="14"/>
                <w:szCs w:val="14"/>
              </w:rPr>
              <w:t>Financial Management Act 1994</w:t>
            </w:r>
            <w:r w:rsidRPr="009A22A7">
              <w:rPr>
                <w:spacing w:val="1"/>
                <w:sz w:val="14"/>
                <w:szCs w:val="14"/>
              </w:rPr>
              <w:t xml:space="preserve"> for the receipt and disbursement of unclaimed monies and other funds held in trust. </w:t>
            </w:r>
          </w:p>
        </w:tc>
        <w:tc>
          <w:tcPr>
            <w:tcW w:w="1134" w:type="dxa"/>
            <w:tcBorders>
              <w:top w:val="single" w:color="542E8E" w:sz="6" w:space="0"/>
              <w:left w:val="single" w:color="FFFFFF" w:themeColor="background1"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28,037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30,508 </w:t>
            </w:r>
          </w:p>
        </w:tc>
        <w:tc>
          <w:tcPr>
            <w:tcW w:w="851"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19,600 </w:t>
            </w:r>
          </w:p>
        </w:tc>
        <w:tc>
          <w:tcPr>
            <w:tcW w:w="992" w:type="dxa"/>
            <w:tcBorders>
              <w:top w:val="single" w:color="542E8E" w:sz="6" w:space="0"/>
              <w:left w:val="nil"/>
              <w:bottom w:val="single" w:color="542E8E"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38,945 </w:t>
            </w:r>
          </w:p>
        </w:tc>
        <w:tc>
          <w:tcPr>
            <w:tcW w:w="992" w:type="dxa"/>
            <w:tcBorders>
              <w:top w:val="single" w:color="542E8E" w:sz="6" w:space="0"/>
              <w:left w:val="single" w:color="542E8E" w:sz="4" w:space="0"/>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31,146 </w:t>
            </w:r>
          </w:p>
        </w:tc>
        <w:tc>
          <w:tcPr>
            <w:tcW w:w="709"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24,392 </w:t>
            </w:r>
          </w:p>
        </w:tc>
        <w:tc>
          <w:tcPr>
            <w:tcW w:w="850" w:type="dxa"/>
            <w:tcBorders>
              <w:top w:val="single" w:color="542E8E" w:sz="6" w:space="0"/>
              <w:left w:val="nil"/>
              <w:bottom w:val="single" w:color="542E8E"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27,501 </w:t>
            </w:r>
          </w:p>
        </w:tc>
        <w:tc>
          <w:tcPr>
            <w:tcW w:w="993" w:type="dxa"/>
            <w:tcBorders>
              <w:top w:val="single" w:color="542E8E" w:sz="6" w:space="0"/>
              <w:left w:val="nil"/>
              <w:bottom w:val="single" w:color="542E8E"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28,037 </w:t>
            </w:r>
          </w:p>
        </w:tc>
      </w:tr>
      <w:tr w:rsidRPr="009A22A7" w:rsidR="00F423CA" w:rsidTr="003E0B8E">
        <w:trPr>
          <w:trHeight w:val="113"/>
        </w:trPr>
        <w:tc>
          <w:tcPr>
            <w:tcW w:w="2211" w:type="dxa"/>
            <w:tcBorders>
              <w:top w:val="single" w:color="542E8E" w:sz="6" w:space="0"/>
              <w:left w:val="nil"/>
              <w:bottom w:val="single" w:color="000000"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Victorian consumer law fund</w:t>
            </w:r>
            <w:r w:rsidRPr="009A22A7">
              <w:rPr>
                <w:sz w:val="14"/>
                <w:szCs w:val="14"/>
              </w:rPr>
              <w:br/>
              <w:t xml:space="preserve">Established under the </w:t>
            </w:r>
            <w:r w:rsidRPr="009A22A7">
              <w:rPr>
                <w:rStyle w:val="italic"/>
                <w:sz w:val="14"/>
                <w:szCs w:val="14"/>
              </w:rPr>
              <w:t xml:space="preserve">Australian Consumer Law and </w:t>
            </w:r>
            <w:proofErr w:type="gramStart"/>
            <w:r w:rsidRPr="009A22A7">
              <w:rPr>
                <w:rStyle w:val="italic"/>
                <w:sz w:val="14"/>
                <w:szCs w:val="14"/>
              </w:rPr>
              <w:t>Fair Trading</w:t>
            </w:r>
            <w:proofErr w:type="gramEnd"/>
            <w:r w:rsidRPr="009A22A7">
              <w:rPr>
                <w:rStyle w:val="italic"/>
                <w:sz w:val="14"/>
                <w:szCs w:val="14"/>
              </w:rPr>
              <w:t xml:space="preserve"> Act 2012</w:t>
            </w:r>
            <w:r w:rsidRPr="009A22A7">
              <w:rPr>
                <w:sz w:val="14"/>
                <w:szCs w:val="14"/>
              </w:rPr>
              <w:t xml:space="preserve"> to hold monies in accordance with section 134 and Part 6.2 of that Act.</w:t>
            </w:r>
          </w:p>
        </w:tc>
        <w:tc>
          <w:tcPr>
            <w:tcW w:w="1134" w:type="dxa"/>
            <w:tcBorders>
              <w:top w:val="single" w:color="542E8E" w:sz="6" w:space="0"/>
              <w:left w:val="single" w:color="FFFFFF" w:themeColor="background1" w:sz="4" w:space="0"/>
              <w:bottom w:val="single" w:color="000000"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1,695 </w:t>
            </w:r>
          </w:p>
        </w:tc>
        <w:tc>
          <w:tcPr>
            <w:tcW w:w="709" w:type="dxa"/>
            <w:tcBorders>
              <w:top w:val="single" w:color="542E8E" w:sz="6" w:space="0"/>
              <w:left w:val="nil"/>
              <w:bottom w:val="single" w:color="000000"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2,802 </w:t>
            </w:r>
          </w:p>
        </w:tc>
        <w:tc>
          <w:tcPr>
            <w:tcW w:w="851" w:type="dxa"/>
            <w:tcBorders>
              <w:top w:val="single" w:color="542E8E" w:sz="6" w:space="0"/>
              <w:left w:val="nil"/>
              <w:bottom w:val="single" w:color="000000"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204 </w:t>
            </w:r>
          </w:p>
        </w:tc>
        <w:tc>
          <w:tcPr>
            <w:tcW w:w="992" w:type="dxa"/>
            <w:tcBorders>
              <w:top w:val="single" w:color="542E8E" w:sz="6" w:space="0"/>
              <w:left w:val="nil"/>
              <w:bottom w:val="single" w:color="000000" w:sz="6" w:space="0"/>
              <w:right w:val="single" w:color="542E8E" w:sz="4" w:space="0"/>
            </w:tcBorders>
            <w:tcMar>
              <w:top w:w="28" w:type="dxa"/>
              <w:left w:w="57" w:type="dxa"/>
              <w:bottom w:w="28" w:type="dxa"/>
              <w:right w:w="113" w:type="dxa"/>
            </w:tcMa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4,293 </w:t>
            </w:r>
          </w:p>
        </w:tc>
        <w:tc>
          <w:tcPr>
            <w:tcW w:w="992" w:type="dxa"/>
            <w:tcBorders>
              <w:top w:val="single" w:color="542E8E" w:sz="6" w:space="0"/>
              <w:left w:val="single" w:color="542E8E" w:sz="4" w:space="0"/>
              <w:bottom w:val="single" w:color="000000"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1,390 </w:t>
            </w:r>
          </w:p>
        </w:tc>
        <w:tc>
          <w:tcPr>
            <w:tcW w:w="709" w:type="dxa"/>
            <w:tcBorders>
              <w:top w:val="single" w:color="542E8E" w:sz="6" w:space="0"/>
              <w:left w:val="nil"/>
              <w:bottom w:val="single" w:color="000000"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405 </w:t>
            </w:r>
          </w:p>
        </w:tc>
        <w:tc>
          <w:tcPr>
            <w:tcW w:w="850" w:type="dxa"/>
            <w:tcBorders>
              <w:top w:val="single" w:color="542E8E" w:sz="6" w:space="0"/>
              <w:left w:val="nil"/>
              <w:bottom w:val="single" w:color="000000" w:sz="6" w:space="0"/>
              <w:right w:val="nil"/>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sz w:val="14"/>
                <w:szCs w:val="14"/>
              </w:rPr>
              <w:t xml:space="preserve">100 </w:t>
            </w:r>
          </w:p>
        </w:tc>
        <w:tc>
          <w:tcPr>
            <w:tcW w:w="993" w:type="dxa"/>
            <w:tcBorders>
              <w:top w:val="single" w:color="542E8E" w:sz="6" w:space="0"/>
              <w:left w:val="nil"/>
              <w:bottom w:val="single" w:color="000000" w:sz="6" w:space="0"/>
              <w:right w:val="single" w:color="FFFFFF" w:themeColor="background1" w:sz="4" w:space="0"/>
            </w:tcBorders>
            <w:tcMar>
              <w:top w:w="28" w:type="dxa"/>
              <w:left w:w="57" w:type="dxa"/>
              <w:bottom w:w="28" w:type="dxa"/>
              <w:right w:w="57" w:type="dxa"/>
            </w:tcMar>
            <w:vAlign w:val="center"/>
          </w:tcPr>
          <w:p w:rsidRPr="009A22A7" w:rsidR="00F423CA" w:rsidP="003E0B8E" w:rsidRDefault="004E2DCE">
            <w:pPr>
              <w:pStyle w:val="bodytableRtable"/>
              <w:spacing w:after="0" w:line="240" w:lineRule="auto"/>
              <w:rPr>
                <w:sz w:val="14"/>
                <w:szCs w:val="14"/>
              </w:rPr>
            </w:pPr>
            <w:r w:rsidRPr="009A22A7">
              <w:rPr>
                <w:rStyle w:val="medium"/>
                <w:b/>
                <w:bCs/>
                <w:sz w:val="14"/>
                <w:szCs w:val="14"/>
              </w:rPr>
              <w:t xml:space="preserve">1,695 </w:t>
            </w:r>
          </w:p>
        </w:tc>
      </w:tr>
      <w:tr w:rsidRPr="009A22A7" w:rsidR="00F423CA" w:rsidTr="003E0B8E">
        <w:trPr>
          <w:trHeight w:val="113"/>
        </w:trPr>
        <w:tc>
          <w:tcPr>
            <w:tcW w:w="2211" w:type="dxa"/>
            <w:tcBorders>
              <w:top w:val="single" w:color="000000" w:sz="6" w:space="0"/>
              <w:left w:val="nil"/>
              <w:bottom w:val="single" w:color="000000"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Ltable"/>
              <w:spacing w:after="0" w:line="240" w:lineRule="auto"/>
              <w:rPr>
                <w:sz w:val="14"/>
                <w:szCs w:val="14"/>
              </w:rPr>
            </w:pPr>
            <w:r w:rsidRPr="009A22A7">
              <w:rPr>
                <w:rStyle w:val="medium"/>
                <w:b/>
                <w:bCs/>
                <w:sz w:val="14"/>
                <w:szCs w:val="14"/>
              </w:rPr>
              <w:t>Total controlled trusts</w:t>
            </w:r>
          </w:p>
        </w:tc>
        <w:tc>
          <w:tcPr>
            <w:tcW w:w="1134" w:type="dxa"/>
            <w:tcBorders>
              <w:top w:val="single" w:color="000000" w:sz="6" w:space="0"/>
              <w:left w:val="single" w:color="FFFFFF" w:themeColor="background1" w:sz="4" w:space="0"/>
              <w:bottom w:val="single" w:color="000000" w:sz="6" w:space="0"/>
              <w:right w:val="nil"/>
            </w:tcBorders>
            <w:tcMar>
              <w:top w:w="28" w:type="dxa"/>
              <w:left w:w="57" w:type="dxa"/>
              <w:bottom w:w="28" w:type="dxa"/>
              <w:right w:w="57"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425,181 </w:t>
            </w:r>
          </w:p>
        </w:tc>
        <w:tc>
          <w:tcPr>
            <w:tcW w:w="709" w:type="dxa"/>
            <w:tcBorders>
              <w:top w:val="single" w:color="000000" w:sz="6" w:space="0"/>
              <w:left w:val="nil"/>
              <w:bottom w:val="single" w:color="000000" w:sz="6" w:space="0"/>
              <w:right w:val="nil"/>
            </w:tcBorders>
            <w:tcMar>
              <w:top w:w="28" w:type="dxa"/>
              <w:left w:w="57" w:type="dxa"/>
              <w:bottom w:w="28" w:type="dxa"/>
              <w:right w:w="57"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158,102 </w:t>
            </w:r>
          </w:p>
        </w:tc>
        <w:tc>
          <w:tcPr>
            <w:tcW w:w="851" w:type="dxa"/>
            <w:tcBorders>
              <w:top w:val="single" w:color="000000" w:sz="6" w:space="0"/>
              <w:left w:val="nil"/>
              <w:bottom w:val="single" w:color="000000" w:sz="6" w:space="0"/>
              <w:right w:val="nil"/>
            </w:tcBorders>
            <w:tcMar>
              <w:top w:w="28" w:type="dxa"/>
              <w:left w:w="57" w:type="dxa"/>
              <w:bottom w:w="28" w:type="dxa"/>
              <w:right w:w="57"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244,386 </w:t>
            </w:r>
          </w:p>
        </w:tc>
        <w:tc>
          <w:tcPr>
            <w:tcW w:w="992" w:type="dxa"/>
            <w:tcBorders>
              <w:top w:val="single" w:color="000000" w:sz="6" w:space="0"/>
              <w:left w:val="nil"/>
              <w:bottom w:val="single" w:color="000000" w:sz="6" w:space="0"/>
              <w:right w:val="single" w:color="542E8E" w:sz="4" w:space="0"/>
            </w:tcBorders>
            <w:tcMar>
              <w:top w:w="28" w:type="dxa"/>
              <w:left w:w="57" w:type="dxa"/>
              <w:bottom w:w="28" w:type="dxa"/>
              <w:right w:w="113"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338,897 </w:t>
            </w:r>
          </w:p>
        </w:tc>
        <w:tc>
          <w:tcPr>
            <w:tcW w:w="992" w:type="dxa"/>
            <w:tcBorders>
              <w:top w:val="single" w:color="000000" w:sz="6" w:space="0"/>
              <w:left w:val="single" w:color="542E8E" w:sz="4" w:space="0"/>
              <w:bottom w:val="single" w:color="000000" w:sz="6" w:space="0"/>
              <w:right w:val="nil"/>
            </w:tcBorders>
            <w:tcMar>
              <w:top w:w="28" w:type="dxa"/>
              <w:left w:w="57" w:type="dxa"/>
              <w:bottom w:w="28" w:type="dxa"/>
              <w:right w:w="57"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527,681 </w:t>
            </w:r>
          </w:p>
        </w:tc>
        <w:tc>
          <w:tcPr>
            <w:tcW w:w="709" w:type="dxa"/>
            <w:tcBorders>
              <w:top w:val="single" w:color="000000" w:sz="6" w:space="0"/>
              <w:left w:val="nil"/>
              <w:bottom w:val="single" w:color="000000" w:sz="6" w:space="0"/>
              <w:right w:val="nil"/>
            </w:tcBorders>
            <w:tcMar>
              <w:top w:w="28" w:type="dxa"/>
              <w:left w:w="57" w:type="dxa"/>
              <w:bottom w:w="28" w:type="dxa"/>
              <w:right w:w="57"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139,098 </w:t>
            </w:r>
          </w:p>
        </w:tc>
        <w:tc>
          <w:tcPr>
            <w:tcW w:w="850" w:type="dxa"/>
            <w:tcBorders>
              <w:top w:val="single" w:color="000000" w:sz="6" w:space="0"/>
              <w:left w:val="nil"/>
              <w:bottom w:val="single" w:color="000000" w:sz="6" w:space="0"/>
              <w:right w:val="nil"/>
            </w:tcBorders>
            <w:tcMar>
              <w:top w:w="28" w:type="dxa"/>
              <w:left w:w="57" w:type="dxa"/>
              <w:bottom w:w="28" w:type="dxa"/>
              <w:right w:w="57"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241,598 </w:t>
            </w:r>
          </w:p>
        </w:tc>
        <w:tc>
          <w:tcPr>
            <w:tcW w:w="993" w:type="dxa"/>
            <w:tcBorders>
              <w:top w:val="single" w:color="000000" w:sz="6" w:space="0"/>
              <w:left w:val="nil"/>
              <w:bottom w:val="single" w:color="000000" w:sz="6" w:space="0"/>
              <w:right w:val="single" w:color="FFFFFF" w:themeColor="background1" w:sz="4" w:space="0"/>
            </w:tcBorders>
            <w:tcMar>
              <w:top w:w="28" w:type="dxa"/>
              <w:left w:w="57" w:type="dxa"/>
              <w:bottom w:w="28" w:type="dxa"/>
              <w:right w:w="57" w:type="dxa"/>
            </w:tcMar>
          </w:tcPr>
          <w:p w:rsidRPr="009A22A7" w:rsidR="00F423CA" w:rsidP="009A22A7" w:rsidRDefault="004E2DCE">
            <w:pPr>
              <w:pStyle w:val="bodytableRtable"/>
              <w:spacing w:after="0" w:line="240" w:lineRule="auto"/>
              <w:rPr>
                <w:sz w:val="14"/>
                <w:szCs w:val="14"/>
              </w:rPr>
            </w:pPr>
            <w:r w:rsidRPr="009A22A7">
              <w:rPr>
                <w:rStyle w:val="medium"/>
                <w:b/>
                <w:bCs/>
                <w:sz w:val="14"/>
                <w:szCs w:val="14"/>
              </w:rPr>
              <w:t xml:space="preserve">425,181 </w:t>
            </w:r>
          </w:p>
        </w:tc>
      </w:tr>
    </w:tbl>
    <w:p w:rsidR="00F423CA" w:rsidP="003E0B8E" w:rsidRDefault="003E0B8E">
      <w:pPr>
        <w:pStyle w:val="notestable"/>
        <w:spacing w:before="60" w:after="170"/>
        <w:rPr>
          <w:sz w:val="16"/>
          <w:szCs w:val="16"/>
        </w:rPr>
      </w:pPr>
      <w:r>
        <w:rPr>
          <w:rStyle w:val="Superscript"/>
        </w:rPr>
        <w:t xml:space="preserve"> </w:t>
      </w:r>
      <w:r w:rsidR="004E2DCE">
        <w:rPr>
          <w:rStyle w:val="Superscript"/>
        </w:rPr>
        <w:t>(</w:t>
      </w:r>
      <w:proofErr w:type="spellStart"/>
      <w:r w:rsidR="004E2DCE">
        <w:rPr>
          <w:rStyle w:val="Superscript"/>
        </w:rPr>
        <w:t>i</w:t>
      </w:r>
      <w:proofErr w:type="spellEnd"/>
      <w:r w:rsidR="004E2DCE">
        <w:rPr>
          <w:rStyle w:val="Superscript"/>
        </w:rPr>
        <w:t xml:space="preserve">) </w:t>
      </w:r>
      <w:r w:rsidR="004E2DCE">
        <w:t>Trust account balances include cash and deposits (note 7.3) and investments (note 5.4).</w:t>
      </w:r>
    </w:p>
    <w:tbl>
      <w:tblPr>
        <w:tblW w:w="0" w:type="auto"/>
        <w:tblInd w:w="57" w:type="dxa"/>
        <w:tblLayout w:type="fixed"/>
        <w:tblCellMar>
          <w:left w:w="0" w:type="dxa"/>
          <w:right w:w="0" w:type="dxa"/>
        </w:tblCellMar>
        <w:tblLook w:firstRow="0" w:lastRow="0" w:firstColumn="0" w:lastColumn="0" w:noHBand="0" w:noVBand="0" w:val="0000"/>
      </w:tblPr>
      <w:tblGrid>
        <w:gridCol w:w="2353"/>
        <w:gridCol w:w="992"/>
        <w:gridCol w:w="709"/>
        <w:gridCol w:w="851"/>
        <w:gridCol w:w="992"/>
        <w:gridCol w:w="992"/>
        <w:gridCol w:w="709"/>
        <w:gridCol w:w="850"/>
        <w:gridCol w:w="993"/>
      </w:tblGrid>
      <w:tr w:rsidRPr="00E406CB" w:rsidR="00F423CA" w:rsidTr="00FA33CD">
        <w:trPr>
          <w:trHeight w:val="113"/>
          <w:tblHeader/>
        </w:trPr>
        <w:tc>
          <w:tcPr>
            <w:tcW w:w="9441" w:type="dxa"/>
            <w:gridSpan w:val="9"/>
            <w:tcBorders>
              <w:top w:val="single" w:color="FFFFFF" w:themeColor="background1" w:sz="4" w:space="0"/>
              <w:left w:val="nil"/>
              <w:bottom w:val="single" w:color="542E8E" w:sz="6" w:space="0"/>
              <w:right w:val="single" w:color="FFFFFF" w:themeColor="background1" w:sz="4" w:space="0"/>
            </w:tcBorders>
            <w:shd w:val="solid" w:color="FFFFFF" w:fill="auto"/>
            <w:tcMar>
              <w:top w:w="28" w:type="dxa"/>
              <w:left w:w="28" w:type="dxa"/>
              <w:bottom w:w="28" w:type="dxa"/>
              <w:right w:w="57" w:type="dxa"/>
            </w:tcMar>
          </w:tcPr>
          <w:p w:rsidRPr="00E406CB" w:rsidR="00F423CA" w:rsidP="00E406CB" w:rsidRDefault="004E2DCE">
            <w:pPr>
              <w:pStyle w:val="bodytableLtable"/>
              <w:spacing w:after="0" w:line="240" w:lineRule="auto"/>
              <w:jc w:val="right"/>
              <w:rPr>
                <w:sz w:val="14"/>
                <w:szCs w:val="14"/>
              </w:rPr>
            </w:pPr>
            <w:r w:rsidRPr="00E406CB">
              <w:rPr>
                <w:rStyle w:val="medium"/>
                <w:b/>
                <w:bCs/>
                <w:sz w:val="14"/>
                <w:szCs w:val="14"/>
              </w:rPr>
              <w:lastRenderedPageBreak/>
              <w:t>($ thousand)</w:t>
            </w:r>
          </w:p>
        </w:tc>
      </w:tr>
      <w:tr w:rsidRPr="00E406CB" w:rsidR="00E406CB" w:rsidTr="00FA33CD">
        <w:trPr>
          <w:trHeight w:val="113"/>
          <w:tblHeader/>
        </w:trPr>
        <w:tc>
          <w:tcPr>
            <w:tcW w:w="2353" w:type="dxa"/>
            <w:vMerge w:val="restart"/>
            <w:tcBorders>
              <w:top w:val="single" w:color="542E8E" w:sz="6" w:space="0"/>
              <w:left w:val="nil"/>
              <w:right w:val="single" w:color="FFFFFF" w:themeColor="background1" w:sz="4" w:space="0"/>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rPr>
                <w:sz w:val="14"/>
                <w:szCs w:val="14"/>
              </w:rPr>
            </w:pPr>
            <w:r w:rsidRPr="00E406CB">
              <w:rPr>
                <w:rStyle w:val="medium"/>
                <w:b/>
                <w:bCs/>
                <w:color w:val="542E8E"/>
                <w:sz w:val="14"/>
                <w:szCs w:val="14"/>
              </w:rPr>
              <w:t>Cash and deposits, and investments</w:t>
            </w:r>
          </w:p>
        </w:tc>
        <w:tc>
          <w:tcPr>
            <w:tcW w:w="3544" w:type="dxa"/>
            <w:gridSpan w:val="4"/>
            <w:tcBorders>
              <w:top w:val="single" w:color="542E8E" w:sz="6" w:space="0"/>
              <w:left w:val="single" w:color="FFFFFF" w:themeColor="background1" w:sz="4" w:space="0"/>
              <w:bottom w:val="single" w:color="542E8E" w:sz="6" w:space="0"/>
              <w:right w:val="nil"/>
            </w:tcBorders>
            <w:shd w:val="solid" w:color="FFFFFF" w:fill="auto"/>
            <w:tcMar>
              <w:top w:w="28" w:type="dxa"/>
              <w:left w:w="28" w:type="dxa"/>
              <w:bottom w:w="28" w:type="dxa"/>
              <w:right w:w="57" w:type="dxa"/>
            </w:tcMar>
          </w:tcPr>
          <w:p w:rsidRPr="00E406CB" w:rsidR="00E406CB" w:rsidP="00E406CB" w:rsidRDefault="00E406CB">
            <w:pPr>
              <w:pStyle w:val="bodytableLtable"/>
              <w:spacing w:after="0" w:line="240" w:lineRule="auto"/>
              <w:jc w:val="center"/>
              <w:rPr>
                <w:sz w:val="14"/>
                <w:szCs w:val="14"/>
              </w:rPr>
            </w:pPr>
            <w:r w:rsidRPr="00E406CB">
              <w:rPr>
                <w:rStyle w:val="medium"/>
                <w:b/>
                <w:bCs/>
                <w:color w:val="542E8E"/>
                <w:sz w:val="14"/>
                <w:szCs w:val="14"/>
              </w:rPr>
              <w:t>2018</w:t>
            </w:r>
          </w:p>
        </w:tc>
        <w:tc>
          <w:tcPr>
            <w:tcW w:w="3544" w:type="dxa"/>
            <w:gridSpan w:val="4"/>
            <w:tcBorders>
              <w:top w:val="single" w:color="542E8E" w:sz="6" w:space="0"/>
              <w:left w:val="single" w:color="000000" w:sz="6" w:space="0"/>
              <w:bottom w:val="single" w:color="542E8E" w:sz="6" w:space="0"/>
              <w:right w:val="single" w:color="FFFFFF" w:themeColor="background1" w:sz="4" w:space="0"/>
            </w:tcBorders>
            <w:shd w:val="solid" w:color="FFFFFF" w:fill="auto"/>
            <w:tcMar>
              <w:top w:w="28" w:type="dxa"/>
              <w:left w:w="28" w:type="dxa"/>
              <w:bottom w:w="28" w:type="dxa"/>
              <w:right w:w="57" w:type="dxa"/>
            </w:tcMar>
          </w:tcPr>
          <w:p w:rsidRPr="00E406CB" w:rsidR="00E406CB" w:rsidP="00E406CB" w:rsidRDefault="00E406CB">
            <w:pPr>
              <w:pStyle w:val="bodytableLtable"/>
              <w:spacing w:after="0" w:line="240" w:lineRule="auto"/>
              <w:jc w:val="center"/>
              <w:rPr>
                <w:sz w:val="14"/>
                <w:szCs w:val="14"/>
              </w:rPr>
            </w:pPr>
            <w:r w:rsidRPr="00E406CB">
              <w:rPr>
                <w:rStyle w:val="medium"/>
                <w:b/>
                <w:bCs/>
                <w:color w:val="542E8E"/>
                <w:sz w:val="14"/>
                <w:szCs w:val="14"/>
              </w:rPr>
              <w:t>2017</w:t>
            </w:r>
          </w:p>
        </w:tc>
      </w:tr>
      <w:tr w:rsidRPr="00E406CB" w:rsidR="00E406CB" w:rsidTr="00FA33CD">
        <w:trPr>
          <w:trHeight w:val="113"/>
          <w:tblHeader/>
        </w:trPr>
        <w:tc>
          <w:tcPr>
            <w:tcW w:w="2353" w:type="dxa"/>
            <w:vMerge/>
            <w:tcBorders>
              <w:left w:val="nil"/>
              <w:bottom w:val="single" w:color="542E8E" w:sz="6" w:space="0"/>
              <w:right w:val="single" w:color="FFFFFF" w:themeColor="background1" w:sz="4" w:space="0"/>
            </w:tcBorders>
            <w:tcMar>
              <w:top w:w="28" w:type="dxa"/>
              <w:left w:w="28" w:type="dxa"/>
              <w:bottom w:w="28" w:type="dxa"/>
              <w:right w:w="57" w:type="dxa"/>
            </w:tcMar>
          </w:tcPr>
          <w:p w:rsidRPr="00E406CB" w:rsidR="00E406CB" w:rsidP="00E406CB" w:rsidRDefault="00E406CB">
            <w:pPr>
              <w:pStyle w:val="NoParagraphStyle"/>
              <w:spacing w:line="240" w:lineRule="auto"/>
              <w:textAlignment w:val="auto"/>
              <w:rPr>
                <w:rFonts w:ascii="Arial" w:hAnsi="Arial" w:cs="Arial"/>
                <w:color w:val="auto"/>
                <w:sz w:val="14"/>
                <w:szCs w:val="14"/>
              </w:rPr>
            </w:pPr>
          </w:p>
        </w:tc>
        <w:tc>
          <w:tcPr>
            <w:tcW w:w="992" w:type="dxa"/>
            <w:tcBorders>
              <w:top w:val="single" w:color="542E8E" w:sz="6" w:space="0"/>
              <w:left w:val="single" w:color="FFFFFF" w:themeColor="background1" w:sz="4" w:space="0"/>
              <w:bottom w:val="single" w:color="542E8E" w:sz="6" w:space="0"/>
              <w:right w:val="nil"/>
            </w:tcBorders>
            <w:shd w:val="solid" w:color="FFFFFF" w:fill="auto"/>
            <w:tcMar>
              <w:top w:w="28" w:type="dxa"/>
              <w:left w:w="0"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Opening balance as at 1 July 2017</w:t>
            </w:r>
          </w:p>
        </w:tc>
        <w:tc>
          <w:tcPr>
            <w:tcW w:w="709" w:type="dxa"/>
            <w:tcBorders>
              <w:top w:val="single" w:color="542E8E" w:sz="6" w:space="0"/>
              <w:left w:val="nil"/>
              <w:bottom w:val="single" w:color="542E8E" w:sz="6" w:space="0"/>
              <w:right w:val="nil"/>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 xml:space="preserve">Total </w:t>
            </w:r>
            <w:r w:rsidRPr="00E406CB">
              <w:rPr>
                <w:rStyle w:val="medium"/>
                <w:b/>
                <w:bCs/>
                <w:color w:val="542E8E"/>
                <w:sz w:val="14"/>
                <w:szCs w:val="14"/>
              </w:rPr>
              <w:br/>
              <w:t>receipts</w:t>
            </w:r>
          </w:p>
        </w:tc>
        <w:tc>
          <w:tcPr>
            <w:tcW w:w="851" w:type="dxa"/>
            <w:tcBorders>
              <w:top w:val="single" w:color="542E8E" w:sz="6" w:space="0"/>
              <w:left w:val="nil"/>
              <w:bottom w:val="single" w:color="542E8E" w:sz="6" w:space="0"/>
              <w:right w:val="nil"/>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 xml:space="preserve">Total </w:t>
            </w:r>
            <w:r w:rsidRPr="00E406CB">
              <w:rPr>
                <w:rStyle w:val="medium"/>
                <w:b/>
                <w:bCs/>
                <w:color w:val="542E8E"/>
                <w:sz w:val="14"/>
                <w:szCs w:val="14"/>
              </w:rPr>
              <w:br/>
              <w:t>payments</w:t>
            </w:r>
          </w:p>
        </w:tc>
        <w:tc>
          <w:tcPr>
            <w:tcW w:w="992" w:type="dxa"/>
            <w:tcBorders>
              <w:top w:val="single" w:color="542E8E" w:sz="6" w:space="0"/>
              <w:left w:val="nil"/>
              <w:bottom w:val="single" w:color="542E8E" w:sz="6" w:space="0"/>
              <w:right w:val="single" w:color="000000" w:sz="6" w:space="0"/>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 xml:space="preserve">Closing </w:t>
            </w:r>
            <w:r w:rsidRPr="00E406CB">
              <w:rPr>
                <w:rStyle w:val="medium"/>
                <w:b/>
                <w:bCs/>
                <w:color w:val="542E8E"/>
                <w:spacing w:val="-3"/>
                <w:sz w:val="14"/>
                <w:szCs w:val="14"/>
              </w:rPr>
              <w:t xml:space="preserve">balance as at </w:t>
            </w:r>
            <w:r w:rsidRPr="00E406CB">
              <w:rPr>
                <w:rStyle w:val="medium"/>
                <w:b/>
                <w:bCs/>
                <w:color w:val="542E8E"/>
                <w:sz w:val="14"/>
                <w:szCs w:val="14"/>
              </w:rPr>
              <w:t>30 June 2018</w:t>
            </w:r>
          </w:p>
        </w:tc>
        <w:tc>
          <w:tcPr>
            <w:tcW w:w="992" w:type="dxa"/>
            <w:tcBorders>
              <w:top w:val="single" w:color="542E8E" w:sz="6" w:space="0"/>
              <w:left w:val="single" w:color="000000" w:sz="6" w:space="0"/>
              <w:bottom w:val="single" w:color="542E8E" w:sz="6" w:space="0"/>
              <w:right w:val="nil"/>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 xml:space="preserve">Opening </w:t>
            </w:r>
            <w:r w:rsidRPr="00E406CB">
              <w:rPr>
                <w:rStyle w:val="medium"/>
                <w:b/>
                <w:bCs/>
                <w:color w:val="542E8E"/>
                <w:spacing w:val="-3"/>
                <w:sz w:val="14"/>
                <w:szCs w:val="14"/>
              </w:rPr>
              <w:t xml:space="preserve">balance as at </w:t>
            </w:r>
            <w:r w:rsidRPr="00E406CB">
              <w:rPr>
                <w:rStyle w:val="medium"/>
                <w:b/>
                <w:bCs/>
                <w:color w:val="542E8E"/>
                <w:sz w:val="14"/>
                <w:szCs w:val="14"/>
              </w:rPr>
              <w:t>1 July 2016</w:t>
            </w:r>
          </w:p>
        </w:tc>
        <w:tc>
          <w:tcPr>
            <w:tcW w:w="709" w:type="dxa"/>
            <w:tcBorders>
              <w:top w:val="single" w:color="542E8E" w:sz="6" w:space="0"/>
              <w:left w:val="nil"/>
              <w:bottom w:val="single" w:color="542E8E" w:sz="6" w:space="0"/>
              <w:right w:val="nil"/>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 xml:space="preserve">Total </w:t>
            </w:r>
            <w:r w:rsidRPr="00E406CB">
              <w:rPr>
                <w:rStyle w:val="medium"/>
                <w:b/>
                <w:bCs/>
                <w:color w:val="542E8E"/>
                <w:sz w:val="14"/>
                <w:szCs w:val="14"/>
              </w:rPr>
              <w:br/>
              <w:t>receipts</w:t>
            </w:r>
          </w:p>
        </w:tc>
        <w:tc>
          <w:tcPr>
            <w:tcW w:w="850" w:type="dxa"/>
            <w:tcBorders>
              <w:top w:val="single" w:color="542E8E" w:sz="6" w:space="0"/>
              <w:left w:val="nil"/>
              <w:bottom w:val="single" w:color="542E8E" w:sz="6" w:space="0"/>
              <w:right w:val="nil"/>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 xml:space="preserve">Total </w:t>
            </w:r>
            <w:r w:rsidRPr="00E406CB">
              <w:rPr>
                <w:rStyle w:val="medium"/>
                <w:b/>
                <w:bCs/>
                <w:color w:val="542E8E"/>
                <w:sz w:val="14"/>
                <w:szCs w:val="14"/>
              </w:rPr>
              <w:br/>
              <w:t>payments</w:t>
            </w:r>
          </w:p>
        </w:tc>
        <w:tc>
          <w:tcPr>
            <w:tcW w:w="993" w:type="dxa"/>
            <w:tcBorders>
              <w:top w:val="single" w:color="542E8E" w:sz="6" w:space="0"/>
              <w:left w:val="nil"/>
              <w:bottom w:val="single" w:color="542E8E" w:sz="6" w:space="0"/>
              <w:right w:val="single" w:color="FFFFFF" w:themeColor="background1" w:sz="4" w:space="0"/>
            </w:tcBorders>
            <w:shd w:val="solid" w:color="FFFFFF" w:fill="auto"/>
            <w:tcMar>
              <w:top w:w="28" w:type="dxa"/>
              <w:left w:w="28" w:type="dxa"/>
              <w:bottom w:w="28" w:type="dxa"/>
              <w:right w:w="57" w:type="dxa"/>
            </w:tcMar>
            <w:vAlign w:val="bottom"/>
          </w:tcPr>
          <w:p w:rsidRPr="00E406CB" w:rsidR="00E406CB" w:rsidP="00E406CB" w:rsidRDefault="00E406CB">
            <w:pPr>
              <w:pStyle w:val="bodytableLtable"/>
              <w:spacing w:after="0" w:line="240" w:lineRule="auto"/>
              <w:jc w:val="right"/>
              <w:rPr>
                <w:sz w:val="14"/>
                <w:szCs w:val="14"/>
              </w:rPr>
            </w:pPr>
            <w:r w:rsidRPr="00E406CB">
              <w:rPr>
                <w:rStyle w:val="medium"/>
                <w:b/>
                <w:bCs/>
                <w:color w:val="542E8E"/>
                <w:sz w:val="14"/>
                <w:szCs w:val="14"/>
              </w:rPr>
              <w:t xml:space="preserve">Closing </w:t>
            </w:r>
            <w:r w:rsidRPr="00E406CB">
              <w:rPr>
                <w:rStyle w:val="medium"/>
                <w:b/>
                <w:bCs/>
                <w:color w:val="542E8E"/>
                <w:spacing w:val="-3"/>
                <w:sz w:val="14"/>
                <w:szCs w:val="14"/>
              </w:rPr>
              <w:t xml:space="preserve">balance as at </w:t>
            </w:r>
            <w:r w:rsidRPr="00E406CB">
              <w:rPr>
                <w:rStyle w:val="medium"/>
                <w:b/>
                <w:bCs/>
                <w:color w:val="542E8E"/>
                <w:sz w:val="14"/>
                <w:szCs w:val="14"/>
              </w:rPr>
              <w:t>30 June 2017</w:t>
            </w:r>
          </w:p>
        </w:tc>
      </w:tr>
      <w:tr w:rsidRPr="00E406CB" w:rsidR="00F423CA" w:rsidTr="00FA33CD">
        <w:trPr>
          <w:trHeight w:val="113"/>
        </w:trPr>
        <w:tc>
          <w:tcPr>
            <w:tcW w:w="2353" w:type="dxa"/>
            <w:tcBorders>
              <w:top w:val="single" w:color="000000" w:sz="8" w:space="0"/>
              <w:left w:val="nil"/>
              <w:bottom w:val="nil"/>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color w:val="542E8E"/>
                <w:sz w:val="14"/>
                <w:szCs w:val="14"/>
              </w:rPr>
              <w:t>Administered trusts</w:t>
            </w:r>
          </w:p>
        </w:tc>
        <w:tc>
          <w:tcPr>
            <w:tcW w:w="992" w:type="dxa"/>
            <w:tcBorders>
              <w:top w:val="single" w:color="000000" w:sz="8" w:space="0"/>
              <w:left w:val="single" w:color="FFFFFF" w:themeColor="background1" w:sz="4" w:space="0"/>
              <w:bottom w:val="nil"/>
              <w:right w:val="nil"/>
            </w:tcBorders>
            <w:tcMar>
              <w:top w:w="28" w:type="dxa"/>
              <w:left w:w="0"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c>
          <w:tcPr>
            <w:tcW w:w="709" w:type="dxa"/>
            <w:tcBorders>
              <w:top w:val="single" w:color="000000" w:sz="8" w:space="0"/>
              <w:left w:val="nil"/>
              <w:bottom w:val="nil"/>
              <w:right w:val="nil"/>
            </w:tcBorders>
            <w:tcMar>
              <w:top w:w="28" w:type="dxa"/>
              <w:left w:w="28"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c>
          <w:tcPr>
            <w:tcW w:w="851" w:type="dxa"/>
            <w:tcBorders>
              <w:top w:val="single" w:color="000000" w:sz="8" w:space="0"/>
              <w:left w:val="nil"/>
              <w:bottom w:val="nil"/>
              <w:right w:val="nil"/>
            </w:tcBorders>
            <w:tcMar>
              <w:top w:w="28" w:type="dxa"/>
              <w:left w:w="28"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c>
          <w:tcPr>
            <w:tcW w:w="992" w:type="dxa"/>
            <w:tcBorders>
              <w:top w:val="single" w:color="000000" w:sz="8" w:space="0"/>
              <w:left w:val="nil"/>
              <w:bottom w:val="nil"/>
              <w:right w:val="single" w:color="542E8E" w:sz="4" w:space="0"/>
            </w:tcBorders>
            <w:tcMar>
              <w:top w:w="28" w:type="dxa"/>
              <w:left w:w="28"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c>
          <w:tcPr>
            <w:tcW w:w="992" w:type="dxa"/>
            <w:tcBorders>
              <w:top w:val="single" w:color="000000" w:sz="8" w:space="0"/>
              <w:left w:val="single" w:color="542E8E" w:sz="4" w:space="0"/>
              <w:bottom w:val="nil"/>
              <w:right w:val="nil"/>
            </w:tcBorders>
            <w:tcMar>
              <w:top w:w="28" w:type="dxa"/>
              <w:left w:w="28"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c>
          <w:tcPr>
            <w:tcW w:w="709" w:type="dxa"/>
            <w:tcBorders>
              <w:top w:val="single" w:color="000000" w:sz="8" w:space="0"/>
              <w:left w:val="nil"/>
              <w:bottom w:val="nil"/>
              <w:right w:val="nil"/>
            </w:tcBorders>
            <w:tcMar>
              <w:top w:w="28" w:type="dxa"/>
              <w:left w:w="28"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c>
          <w:tcPr>
            <w:tcW w:w="850" w:type="dxa"/>
            <w:tcBorders>
              <w:top w:val="single" w:color="000000" w:sz="8" w:space="0"/>
              <w:left w:val="nil"/>
              <w:bottom w:val="nil"/>
              <w:right w:val="nil"/>
            </w:tcBorders>
            <w:tcMar>
              <w:top w:w="28" w:type="dxa"/>
              <w:left w:w="28"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c>
          <w:tcPr>
            <w:tcW w:w="993" w:type="dxa"/>
            <w:tcBorders>
              <w:top w:val="single" w:color="000000" w:sz="8" w:space="0"/>
              <w:left w:val="nil"/>
              <w:bottom w:val="nil"/>
              <w:right w:val="single" w:color="FFFFFF" w:themeColor="background1" w:sz="4" w:space="0"/>
            </w:tcBorders>
            <w:tcMar>
              <w:top w:w="28" w:type="dxa"/>
              <w:left w:w="28" w:type="dxa"/>
              <w:bottom w:w="28" w:type="dxa"/>
              <w:right w:w="57" w:type="dxa"/>
            </w:tcMar>
          </w:tcPr>
          <w:p w:rsidRPr="00E406CB" w:rsidR="00F423CA" w:rsidP="00E406CB" w:rsidRDefault="00F423CA">
            <w:pPr>
              <w:pStyle w:val="NoParagraphStyle"/>
              <w:spacing w:line="240" w:lineRule="auto"/>
              <w:textAlignment w:val="auto"/>
              <w:rPr>
                <w:rFonts w:ascii="Arial" w:hAnsi="Arial" w:cs="Arial"/>
                <w:color w:val="auto"/>
                <w:sz w:val="14"/>
                <w:szCs w:val="14"/>
              </w:rPr>
            </w:pPr>
          </w:p>
        </w:tc>
      </w:tr>
      <w:tr w:rsidRPr="00E406CB" w:rsidR="00F423CA" w:rsidTr="00FA33CD">
        <w:trPr>
          <w:trHeight w:val="113"/>
        </w:trPr>
        <w:tc>
          <w:tcPr>
            <w:tcW w:w="2353" w:type="dxa"/>
            <w:tcBorders>
              <w:top w:val="nil"/>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Asset confiscation office retained monies trust</w:t>
            </w:r>
            <w:r w:rsidRPr="00E406CB">
              <w:rPr>
                <w:sz w:val="14"/>
                <w:szCs w:val="14"/>
              </w:rPr>
              <w:br/>
              <w:t xml:space="preserve">Established under the </w:t>
            </w:r>
            <w:r w:rsidRPr="00E406CB">
              <w:rPr>
                <w:rStyle w:val="italic"/>
                <w:sz w:val="14"/>
                <w:szCs w:val="14"/>
              </w:rPr>
              <w:t>Financial Management Act 1994</w:t>
            </w:r>
            <w:r w:rsidRPr="00E406CB">
              <w:rPr>
                <w:sz w:val="14"/>
                <w:szCs w:val="14"/>
              </w:rPr>
              <w:t xml:space="preserve"> for the Asset Confiscation Office.</w:t>
            </w:r>
          </w:p>
        </w:tc>
        <w:tc>
          <w:tcPr>
            <w:tcW w:w="992" w:type="dxa"/>
            <w:tcBorders>
              <w:top w:val="nil"/>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10,904 </w:t>
            </w:r>
          </w:p>
        </w:tc>
        <w:tc>
          <w:tcPr>
            <w:tcW w:w="709" w:type="dxa"/>
            <w:tcBorders>
              <w:top w:val="nil"/>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6,031 </w:t>
            </w:r>
          </w:p>
        </w:tc>
        <w:tc>
          <w:tcPr>
            <w:tcW w:w="851" w:type="dxa"/>
            <w:tcBorders>
              <w:top w:val="nil"/>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5,979 </w:t>
            </w:r>
          </w:p>
        </w:tc>
        <w:tc>
          <w:tcPr>
            <w:tcW w:w="992" w:type="dxa"/>
            <w:tcBorders>
              <w:top w:val="nil"/>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10,956 </w:t>
            </w:r>
          </w:p>
        </w:tc>
        <w:tc>
          <w:tcPr>
            <w:tcW w:w="992" w:type="dxa"/>
            <w:tcBorders>
              <w:top w:val="nil"/>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14,185 </w:t>
            </w:r>
          </w:p>
        </w:tc>
        <w:tc>
          <w:tcPr>
            <w:tcW w:w="709" w:type="dxa"/>
            <w:tcBorders>
              <w:top w:val="nil"/>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6,504 </w:t>
            </w:r>
          </w:p>
        </w:tc>
        <w:tc>
          <w:tcPr>
            <w:tcW w:w="850" w:type="dxa"/>
            <w:tcBorders>
              <w:top w:val="nil"/>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9,785 </w:t>
            </w:r>
          </w:p>
        </w:tc>
        <w:tc>
          <w:tcPr>
            <w:tcW w:w="993" w:type="dxa"/>
            <w:tcBorders>
              <w:top w:val="nil"/>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10,904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 xml:space="preserve">Domestic Building Dispute </w:t>
            </w:r>
            <w:r w:rsidRPr="00E406CB">
              <w:rPr>
                <w:rStyle w:val="medium"/>
                <w:b/>
                <w:bCs/>
                <w:spacing w:val="-4"/>
                <w:sz w:val="14"/>
                <w:szCs w:val="14"/>
              </w:rPr>
              <w:t>Resolution Victoria Trust Fund</w:t>
            </w:r>
            <w:r w:rsidRPr="00E406CB">
              <w:rPr>
                <w:spacing w:val="-4"/>
                <w:sz w:val="14"/>
                <w:szCs w:val="14"/>
              </w:rPr>
              <w:br/>
              <w:t xml:space="preserve">Established under the </w:t>
            </w:r>
            <w:r w:rsidRPr="00E406CB">
              <w:rPr>
                <w:rStyle w:val="italic"/>
                <w:spacing w:val="-4"/>
                <w:sz w:val="14"/>
                <w:szCs w:val="14"/>
              </w:rPr>
              <w:t xml:space="preserve">Building </w:t>
            </w:r>
            <w:r w:rsidRPr="00E406CB">
              <w:rPr>
                <w:rStyle w:val="italic"/>
                <w:sz w:val="14"/>
                <w:szCs w:val="14"/>
              </w:rPr>
              <w:t>Legislation Amendment (Consumer Protection) Act 2016</w:t>
            </w:r>
            <w:r w:rsidRPr="00E406CB">
              <w:rPr>
                <w:sz w:val="14"/>
                <w:szCs w:val="14"/>
              </w:rPr>
              <w:t xml:space="preserve"> to hold monies in accordance with that Act.</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26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26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0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Victorian government solicitor’s trust</w:t>
            </w:r>
            <w:r w:rsidRPr="00E406CB">
              <w:rPr>
                <w:sz w:val="14"/>
                <w:szCs w:val="14"/>
              </w:rPr>
              <w:br/>
              <w:t xml:space="preserve">Established under the </w:t>
            </w:r>
            <w:r w:rsidRPr="00E406CB">
              <w:rPr>
                <w:rStyle w:val="italic"/>
                <w:sz w:val="14"/>
                <w:szCs w:val="14"/>
              </w:rPr>
              <w:t>Financial Management Act 1994</w:t>
            </w:r>
            <w:r w:rsidRPr="00E406CB">
              <w:rPr>
                <w:sz w:val="14"/>
                <w:szCs w:val="14"/>
              </w:rPr>
              <w:t xml:space="preserve"> for the Victorian Government Solicitors Office.</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8,244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129,507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132,162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5,589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37,957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65,915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95,628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8,244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Departmental suspense</w:t>
            </w:r>
            <w:r w:rsidRPr="00E406CB">
              <w:rPr>
                <w:sz w:val="14"/>
                <w:szCs w:val="14"/>
              </w:rPr>
              <w:br/>
              <w:t xml:space="preserve">Established under the </w:t>
            </w:r>
            <w:r w:rsidRPr="00E406CB">
              <w:rPr>
                <w:rStyle w:val="italic"/>
                <w:sz w:val="14"/>
                <w:szCs w:val="14"/>
              </w:rPr>
              <w:t>Financial Management Act 1994</w:t>
            </w:r>
            <w:r w:rsidRPr="00E406CB">
              <w:rPr>
                <w:sz w:val="14"/>
                <w:szCs w:val="14"/>
              </w:rPr>
              <w:t xml:space="preserve"> as a working account for the department.</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3,167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531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816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2,882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3,913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145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891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3,167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Revenue suspense</w:t>
            </w:r>
            <w:r w:rsidRPr="00E406CB">
              <w:rPr>
                <w:sz w:val="14"/>
                <w:szCs w:val="14"/>
              </w:rPr>
              <w:br/>
              <w:t xml:space="preserve">Established under the </w:t>
            </w:r>
            <w:r w:rsidRPr="00E406CB">
              <w:rPr>
                <w:rStyle w:val="italic"/>
                <w:sz w:val="14"/>
                <w:szCs w:val="14"/>
              </w:rPr>
              <w:t>Financial Management Act 1994</w:t>
            </w:r>
            <w:r w:rsidRPr="00E406CB">
              <w:rPr>
                <w:sz w:val="14"/>
                <w:szCs w:val="14"/>
              </w:rPr>
              <w:t xml:space="preserve"> to temporarily hold monies pending correct identification of receipts.</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12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5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17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11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12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Treasury trust fund</w:t>
            </w:r>
            <w:r w:rsidRPr="00E406CB">
              <w:rPr>
                <w:sz w:val="14"/>
                <w:szCs w:val="14"/>
              </w:rPr>
              <w:br/>
            </w:r>
            <w:r w:rsidRPr="00E406CB">
              <w:rPr>
                <w:spacing w:val="-6"/>
                <w:sz w:val="14"/>
                <w:szCs w:val="14"/>
              </w:rPr>
              <w:t xml:space="preserve">Established under the </w:t>
            </w:r>
            <w:r w:rsidRPr="00E406CB">
              <w:rPr>
                <w:rStyle w:val="italic"/>
                <w:spacing w:val="-6"/>
                <w:sz w:val="14"/>
                <w:szCs w:val="14"/>
              </w:rPr>
              <w:t xml:space="preserve">Financial </w:t>
            </w:r>
            <w:r w:rsidRPr="00E406CB">
              <w:rPr>
                <w:rStyle w:val="italic"/>
                <w:spacing w:val="-1"/>
                <w:sz w:val="14"/>
                <w:szCs w:val="14"/>
              </w:rPr>
              <w:t>Management Act 1994</w:t>
            </w:r>
            <w:r w:rsidRPr="00E406CB">
              <w:rPr>
                <w:spacing w:val="-1"/>
                <w:sz w:val="14"/>
                <w:szCs w:val="14"/>
              </w:rPr>
              <w:t xml:space="preserve"> for the receipt and disbursement of unclaimed monies and other funds held in trust.</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7,622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786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825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7,583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7,598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698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674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7,622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pacing w:val="-1"/>
                <w:sz w:val="14"/>
                <w:szCs w:val="14"/>
              </w:rPr>
              <w:t>Public service commuter club</w:t>
            </w:r>
            <w:r w:rsidRPr="00E406CB">
              <w:rPr>
                <w:spacing w:val="-1"/>
                <w:sz w:val="14"/>
                <w:szCs w:val="14"/>
              </w:rPr>
              <w:br/>
            </w:r>
            <w:r w:rsidRPr="00E406CB">
              <w:rPr>
                <w:sz w:val="14"/>
                <w:szCs w:val="14"/>
              </w:rPr>
              <w:t xml:space="preserve">Established under the </w:t>
            </w:r>
            <w:r w:rsidRPr="00E406CB">
              <w:rPr>
                <w:rStyle w:val="italic"/>
                <w:sz w:val="14"/>
                <w:szCs w:val="14"/>
              </w:rPr>
              <w:t>Financial Management Act 1994</w:t>
            </w:r>
            <w:r w:rsidRPr="00E406CB">
              <w:rPr>
                <w:sz w:val="14"/>
                <w:szCs w:val="14"/>
              </w:rPr>
              <w:t xml:space="preserve"> for the Public Service Commuter Club.</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(408)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2,251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2,426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(583)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(240)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1,956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2,124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(408)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Sundry deposits</w:t>
            </w:r>
            <w:r w:rsidRPr="00E406CB">
              <w:rPr>
                <w:sz w:val="14"/>
                <w:szCs w:val="14"/>
              </w:rPr>
              <w:br/>
              <w:t xml:space="preserve">Established under the </w:t>
            </w:r>
            <w:r w:rsidRPr="00E406CB">
              <w:rPr>
                <w:rStyle w:val="italic"/>
                <w:sz w:val="14"/>
                <w:szCs w:val="14"/>
              </w:rPr>
              <w:t>Financial Management Act 1994</w:t>
            </w:r>
            <w:r w:rsidRPr="00E406CB">
              <w:rPr>
                <w:sz w:val="14"/>
                <w:szCs w:val="14"/>
              </w:rPr>
              <w:t xml:space="preserve"> to hold term deposits </w:t>
            </w:r>
            <w:r w:rsidRPr="00E406CB">
              <w:rPr>
                <w:spacing w:val="-3"/>
                <w:sz w:val="14"/>
                <w:szCs w:val="14"/>
              </w:rPr>
              <w:t>for the Victorian Government Solicitors Office.</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30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30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0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29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1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sz w:val="14"/>
                <w:szCs w:val="14"/>
              </w:rPr>
              <w:t xml:space="preserve">0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30 </w:t>
            </w:r>
          </w:p>
        </w:tc>
      </w:tr>
      <w:tr w:rsidRPr="00E406CB" w:rsidR="00F423CA" w:rsidTr="00FA33CD">
        <w:trPr>
          <w:trHeight w:val="113"/>
        </w:trPr>
        <w:tc>
          <w:tcPr>
            <w:tcW w:w="235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Ltable"/>
              <w:spacing w:after="0" w:line="240" w:lineRule="auto"/>
              <w:rPr>
                <w:sz w:val="14"/>
                <w:szCs w:val="14"/>
              </w:rPr>
            </w:pPr>
            <w:r w:rsidRPr="00E406CB">
              <w:rPr>
                <w:rStyle w:val="medium"/>
                <w:b/>
                <w:bCs/>
                <w:sz w:val="14"/>
                <w:szCs w:val="14"/>
              </w:rPr>
              <w:t>Total administered trusts</w:t>
            </w:r>
          </w:p>
        </w:tc>
        <w:tc>
          <w:tcPr>
            <w:tcW w:w="992" w:type="dxa"/>
            <w:tcBorders>
              <w:top w:val="single" w:color="000000" w:sz="6" w:space="0"/>
              <w:left w:val="single" w:color="FFFFFF" w:themeColor="background1" w:sz="4" w:space="0"/>
              <w:bottom w:val="single" w:color="000000" w:sz="6" w:space="0"/>
              <w:right w:val="nil"/>
            </w:tcBorders>
            <w:tcMar>
              <w:top w:w="28" w:type="dxa"/>
              <w:left w:w="0"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29,571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139,137 </w:t>
            </w:r>
          </w:p>
        </w:tc>
        <w:tc>
          <w:tcPr>
            <w:tcW w:w="851"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142,238 </w:t>
            </w:r>
          </w:p>
        </w:tc>
        <w:tc>
          <w:tcPr>
            <w:tcW w:w="992" w:type="dxa"/>
            <w:tcBorders>
              <w:top w:val="single" w:color="000000" w:sz="6" w:space="0"/>
              <w:left w:val="nil"/>
              <w:bottom w:val="single" w:color="000000" w:sz="6" w:space="0"/>
              <w:right w:val="single" w:color="542E8E"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26,470 </w:t>
            </w:r>
          </w:p>
        </w:tc>
        <w:tc>
          <w:tcPr>
            <w:tcW w:w="992" w:type="dxa"/>
            <w:tcBorders>
              <w:top w:val="single" w:color="000000" w:sz="6" w:space="0"/>
              <w:left w:val="single" w:color="542E8E" w:sz="4" w:space="0"/>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63,453 </w:t>
            </w:r>
          </w:p>
        </w:tc>
        <w:tc>
          <w:tcPr>
            <w:tcW w:w="709"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75,220 </w:t>
            </w:r>
          </w:p>
        </w:tc>
        <w:tc>
          <w:tcPr>
            <w:tcW w:w="850" w:type="dxa"/>
            <w:tcBorders>
              <w:top w:val="single" w:color="000000" w:sz="6" w:space="0"/>
              <w:left w:val="nil"/>
              <w:bottom w:val="single" w:color="000000" w:sz="6" w:space="0"/>
              <w:right w:val="nil"/>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109,102 </w:t>
            </w:r>
          </w:p>
        </w:tc>
        <w:tc>
          <w:tcPr>
            <w:tcW w:w="993" w:type="dxa"/>
            <w:tcBorders>
              <w:top w:val="single" w:color="000000" w:sz="6" w:space="0"/>
              <w:left w:val="nil"/>
              <w:bottom w:val="single" w:color="000000" w:sz="6" w:space="0"/>
              <w:right w:val="single" w:color="FFFFFF" w:themeColor="background1" w:sz="4" w:space="0"/>
            </w:tcBorders>
            <w:tcMar>
              <w:top w:w="28" w:type="dxa"/>
              <w:left w:w="28" w:type="dxa"/>
              <w:bottom w:w="28" w:type="dxa"/>
              <w:right w:w="57" w:type="dxa"/>
            </w:tcMar>
          </w:tcPr>
          <w:p w:rsidRPr="00E406CB" w:rsidR="00F423CA" w:rsidP="00E406CB" w:rsidRDefault="004E2DCE">
            <w:pPr>
              <w:pStyle w:val="bodytableRtable"/>
              <w:spacing w:after="0" w:line="240" w:lineRule="auto"/>
              <w:rPr>
                <w:sz w:val="14"/>
                <w:szCs w:val="14"/>
              </w:rPr>
            </w:pPr>
            <w:r w:rsidRPr="00E406CB">
              <w:rPr>
                <w:rStyle w:val="medium"/>
                <w:b/>
                <w:bCs/>
                <w:sz w:val="14"/>
                <w:szCs w:val="14"/>
              </w:rPr>
              <w:t xml:space="preserve">29,571 </w:t>
            </w:r>
          </w:p>
        </w:tc>
      </w:tr>
    </w:tbl>
    <w:p w:rsidRPr="007708AA" w:rsidR="00F423CA" w:rsidP="007708AA" w:rsidRDefault="00F423CA">
      <w:pPr>
        <w:pStyle w:val="Bodycopy"/>
      </w:pPr>
    </w:p>
    <w:p w:rsidR="00F423CA" w:rsidRDefault="004E2DCE">
      <w:pPr>
        <w:pStyle w:val="H4A"/>
      </w:pPr>
      <w:r>
        <w:t>Third party funds under management</w:t>
      </w:r>
    </w:p>
    <w:p w:rsidR="00F423CA" w:rsidRDefault="004E2DCE">
      <w:pPr>
        <w:pStyle w:val="Bodycopy"/>
      </w:pPr>
      <w:r>
        <w:t>Third party funds under management are funds held in trust for certain clients.  They are not used for government purposes and therefore are not included in the department’s financial statements. Any earnings on the funds held pending distribution are also applied to the trust funds under management as appropriate.</w:t>
      </w:r>
    </w:p>
    <w:tbl>
      <w:tblPr>
        <w:tblW w:w="0" w:type="auto"/>
        <w:tblInd w:w="57" w:type="dxa"/>
        <w:tblLayout w:type="fixed"/>
        <w:tblCellMar>
          <w:left w:w="0" w:type="dxa"/>
          <w:right w:w="0" w:type="dxa"/>
        </w:tblCellMar>
        <w:tblLook w:firstRow="0" w:lastRow="0" w:firstColumn="0" w:lastColumn="0" w:noHBand="0" w:noVBand="0" w:val="0000"/>
      </w:tblPr>
      <w:tblGrid>
        <w:gridCol w:w="5669"/>
        <w:gridCol w:w="1531"/>
        <w:gridCol w:w="1871"/>
      </w:tblGrid>
      <w:tr w:rsidRPr="007708AA" w:rsidR="00F423CA" w:rsidTr="007708AA">
        <w:trPr>
          <w:trHeight w:val="60"/>
          <w:tblHeader/>
        </w:trPr>
        <w:tc>
          <w:tcPr>
            <w:tcW w:w="9071" w:type="dxa"/>
            <w:gridSpan w:val="3"/>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Ltable"/>
              <w:spacing w:after="0" w:line="240" w:lineRule="auto"/>
              <w:jc w:val="right"/>
            </w:pPr>
            <w:r w:rsidRPr="007708AA">
              <w:rPr>
                <w:rStyle w:val="medium"/>
                <w:b/>
                <w:bCs/>
                <w:color w:val="542E8E"/>
              </w:rPr>
              <w:t>($ thousand)</w:t>
            </w:r>
          </w:p>
        </w:tc>
      </w:tr>
      <w:tr w:rsidRPr="007708AA" w:rsidR="00F423CA" w:rsidTr="007708AA">
        <w:trPr>
          <w:trHeight w:val="60"/>
          <w:tblHeader/>
        </w:trPr>
        <w:tc>
          <w:tcPr>
            <w:tcW w:w="5669"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53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Ltable"/>
              <w:spacing w:after="0" w:line="240" w:lineRule="auto"/>
              <w:jc w:val="right"/>
            </w:pPr>
            <w:r w:rsidRPr="007708AA">
              <w:rPr>
                <w:rStyle w:val="medium"/>
                <w:b/>
                <w:bCs/>
                <w:color w:val="542E8E"/>
              </w:rPr>
              <w:t>2018</w:t>
            </w:r>
          </w:p>
        </w:tc>
        <w:tc>
          <w:tcPr>
            <w:tcW w:w="187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Ltable"/>
              <w:spacing w:after="0" w:line="240" w:lineRule="auto"/>
              <w:jc w:val="right"/>
            </w:pPr>
            <w:r w:rsidRPr="007708AA">
              <w:rPr>
                <w:rStyle w:val="medium"/>
                <w:b/>
                <w:bCs/>
                <w:color w:val="542E8E"/>
              </w:rPr>
              <w:t>2017</w:t>
            </w:r>
          </w:p>
        </w:tc>
      </w:tr>
      <w:tr w:rsidRPr="007708AA" w:rsidR="00F423CA" w:rsidTr="007708AA">
        <w:trPr>
          <w:trHeight w:val="60"/>
        </w:trPr>
        <w:tc>
          <w:tcPr>
            <w:tcW w:w="5669"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rPr>
                <w:rStyle w:val="medium"/>
                <w:b/>
                <w:bCs/>
              </w:rPr>
              <w:t>Prisoner private monies</w:t>
            </w:r>
          </w:p>
        </w:tc>
        <w:tc>
          <w:tcPr>
            <w:tcW w:w="1531"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871"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r>
      <w:tr w:rsidRPr="007708AA" w:rsidR="00F423CA" w:rsidTr="007708AA">
        <w:trPr>
          <w:trHeight w:val="60"/>
        </w:trPr>
        <w:tc>
          <w:tcPr>
            <w:tcW w:w="5669"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Cash</w:t>
            </w:r>
          </w:p>
        </w:tc>
        <w:tc>
          <w:tcPr>
            <w:tcW w:w="1531"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5,610 </w:t>
            </w:r>
          </w:p>
        </w:tc>
        <w:tc>
          <w:tcPr>
            <w:tcW w:w="1871"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5,800 </w:t>
            </w:r>
          </w:p>
        </w:tc>
      </w:tr>
      <w:tr w:rsidRPr="007708AA" w:rsidR="00F423CA" w:rsidTr="007708AA">
        <w:trPr>
          <w:trHeight w:val="60"/>
        </w:trPr>
        <w:tc>
          <w:tcPr>
            <w:tcW w:w="5669"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t>Amounts owing to prisoners</w:t>
            </w:r>
          </w:p>
        </w:tc>
        <w:tc>
          <w:tcPr>
            <w:tcW w:w="1531"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(5,610) </w:t>
            </w:r>
          </w:p>
        </w:tc>
        <w:tc>
          <w:tcPr>
            <w:tcW w:w="1871"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(5,800) </w:t>
            </w:r>
          </w:p>
        </w:tc>
      </w:tr>
      <w:tr w:rsidRPr="007708AA" w:rsidR="00F423CA" w:rsidTr="007708AA">
        <w:trPr>
          <w:trHeight w:val="60"/>
        </w:trPr>
        <w:tc>
          <w:tcPr>
            <w:tcW w:w="5669"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53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87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0 </w:t>
            </w:r>
          </w:p>
        </w:tc>
      </w:tr>
      <w:tr w:rsidRPr="007708AA" w:rsidR="00F423CA" w:rsidTr="007708AA">
        <w:trPr>
          <w:trHeight w:val="60"/>
        </w:trPr>
        <w:tc>
          <w:tcPr>
            <w:tcW w:w="5669"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rPr>
                <w:rStyle w:val="medium"/>
                <w:b/>
                <w:bCs/>
              </w:rPr>
              <w:t>Prisoner compensation quarantine</w:t>
            </w:r>
          </w:p>
        </w:tc>
        <w:tc>
          <w:tcPr>
            <w:tcW w:w="1531"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871"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r>
      <w:tr w:rsidRPr="007708AA" w:rsidR="00F423CA" w:rsidTr="007708AA">
        <w:trPr>
          <w:trHeight w:val="60"/>
        </w:trPr>
        <w:tc>
          <w:tcPr>
            <w:tcW w:w="5669"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Cash</w:t>
            </w:r>
          </w:p>
        </w:tc>
        <w:tc>
          <w:tcPr>
            <w:tcW w:w="1531"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325 </w:t>
            </w:r>
          </w:p>
        </w:tc>
        <w:tc>
          <w:tcPr>
            <w:tcW w:w="1871"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252 </w:t>
            </w:r>
          </w:p>
        </w:tc>
      </w:tr>
      <w:tr w:rsidRPr="007708AA" w:rsidR="00F423CA" w:rsidTr="007708AA">
        <w:trPr>
          <w:trHeight w:val="60"/>
        </w:trPr>
        <w:tc>
          <w:tcPr>
            <w:tcW w:w="5669"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t>Amounts owing to prisoners</w:t>
            </w:r>
          </w:p>
        </w:tc>
        <w:tc>
          <w:tcPr>
            <w:tcW w:w="1531"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(325) </w:t>
            </w:r>
          </w:p>
        </w:tc>
        <w:tc>
          <w:tcPr>
            <w:tcW w:w="1871"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(252) </w:t>
            </w:r>
          </w:p>
        </w:tc>
      </w:tr>
      <w:tr w:rsidRPr="007708AA" w:rsidR="00F423CA" w:rsidTr="007708AA">
        <w:trPr>
          <w:trHeight w:val="60"/>
        </w:trPr>
        <w:tc>
          <w:tcPr>
            <w:tcW w:w="5669"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53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87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0 </w:t>
            </w:r>
          </w:p>
        </w:tc>
      </w:tr>
    </w:tbl>
    <w:p w:rsidR="00F423CA" w:rsidRDefault="00F423CA">
      <w:pPr>
        <w:pStyle w:val="Bodycopy"/>
      </w:pPr>
    </w:p>
    <w:p w:rsidR="00F423CA" w:rsidRDefault="004E2DCE">
      <w:pPr>
        <w:pStyle w:val="H3"/>
      </w:pPr>
      <w:r>
        <w:t>7.5 Commitments for expenditure</w:t>
      </w:r>
    </w:p>
    <w:p w:rsidR="00F423CA" w:rsidRDefault="004E2DCE">
      <w:pPr>
        <w:pStyle w:val="Bodycopy"/>
      </w:pPr>
      <w:r>
        <w:t>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rsidR="007708AA" w:rsidRDefault="007708AA">
      <w:pPr>
        <w:rPr>
          <w:rFonts w:ascii="Arial" w:hAnsi="Arial" w:cs="Arial"/>
          <w:color w:val="542E8E"/>
          <w:sz w:val="20"/>
          <w:szCs w:val="21"/>
          <w:lang w:val="en-GB"/>
        </w:rPr>
      </w:pPr>
      <w:r>
        <w:br w:type="page"/>
      </w:r>
    </w:p>
    <w:p w:rsidR="00F423CA" w:rsidRDefault="004E2DCE">
      <w:pPr>
        <w:pStyle w:val="H4"/>
      </w:pPr>
      <w:r>
        <w:lastRenderedPageBreak/>
        <w:t>7.5.1 Total commitments payable</w:t>
      </w:r>
    </w:p>
    <w:tbl>
      <w:tblPr>
        <w:tblW w:w="0" w:type="auto"/>
        <w:tblInd w:w="57" w:type="dxa"/>
        <w:tblLayout w:type="fixed"/>
        <w:tblCellMar>
          <w:left w:w="0" w:type="dxa"/>
          <w:right w:w="0" w:type="dxa"/>
        </w:tblCellMar>
        <w:tblLook w:firstRow="0" w:lastRow="0" w:firstColumn="0" w:lastColumn="0" w:noHBand="0" w:noVBand="0" w:val="0000"/>
      </w:tblPr>
      <w:tblGrid>
        <w:gridCol w:w="4082"/>
        <w:gridCol w:w="1247"/>
        <w:gridCol w:w="1247"/>
        <w:gridCol w:w="1248"/>
        <w:gridCol w:w="1247"/>
      </w:tblGrid>
      <w:tr w:rsidRPr="007708AA" w:rsidR="00F423CA" w:rsidTr="007708AA">
        <w:trPr>
          <w:trHeight w:val="113"/>
          <w:tblHeader/>
        </w:trPr>
        <w:tc>
          <w:tcPr>
            <w:tcW w:w="4082"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color w:val="542E8E"/>
              </w:rPr>
              <w:t>($ thousand)</w:t>
            </w:r>
          </w:p>
        </w:tc>
      </w:tr>
      <w:tr w:rsidRPr="007708AA" w:rsidR="00F423CA" w:rsidTr="007708AA">
        <w:trPr>
          <w:trHeight w:val="113"/>
          <w:tblHeader/>
        </w:trPr>
        <w:tc>
          <w:tcPr>
            <w:tcW w:w="4082"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rPr>
                <w:rStyle w:val="medium"/>
                <w:b/>
                <w:bCs/>
                <w:color w:val="542E8E"/>
              </w:rPr>
              <w:t>Nominal values</w:t>
            </w:r>
          </w:p>
        </w:tc>
        <w:tc>
          <w:tcPr>
            <w:tcW w:w="124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color w:val="542E8E"/>
              </w:rPr>
              <w:t xml:space="preserve">Less than </w:t>
            </w:r>
            <w:r w:rsidRPr="007708AA">
              <w:rPr>
                <w:rStyle w:val="medium"/>
                <w:b/>
                <w:bCs/>
                <w:color w:val="542E8E"/>
              </w:rPr>
              <w:br/>
              <w:t>1 year</w:t>
            </w:r>
          </w:p>
        </w:tc>
        <w:tc>
          <w:tcPr>
            <w:tcW w:w="124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color w:val="542E8E"/>
              </w:rPr>
              <w:t>1 to 5 years</w:t>
            </w:r>
          </w:p>
        </w:tc>
        <w:tc>
          <w:tcPr>
            <w:tcW w:w="124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color w:val="542E8E"/>
              </w:rPr>
              <w:t xml:space="preserve">More than </w:t>
            </w:r>
            <w:r w:rsidRPr="007708AA">
              <w:rPr>
                <w:rStyle w:val="medium"/>
                <w:b/>
                <w:bCs/>
                <w:color w:val="542E8E"/>
              </w:rPr>
              <w:br/>
              <w:t>5 years</w:t>
            </w:r>
          </w:p>
        </w:tc>
        <w:tc>
          <w:tcPr>
            <w:tcW w:w="124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color w:val="542E8E"/>
              </w:rPr>
              <w:t>Total</w:t>
            </w:r>
          </w:p>
        </w:tc>
      </w:tr>
      <w:tr w:rsidRPr="007708AA" w:rsidR="00F423CA" w:rsidTr="007708AA">
        <w:trPr>
          <w:trHeight w:val="113"/>
        </w:trPr>
        <w:tc>
          <w:tcPr>
            <w:tcW w:w="4082"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rPr>
                <w:rStyle w:val="medium"/>
                <w:b/>
                <w:bCs/>
              </w:rPr>
              <w:t>2018</w:t>
            </w:r>
          </w:p>
        </w:tc>
        <w:tc>
          <w:tcPr>
            <w:tcW w:w="1247"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7"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8"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7" w:type="dxa"/>
            <w:tcBorders>
              <w:top w:val="single" w:color="000000" w:sz="8"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PPP commitments (note 7.5.2)</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377,485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1,657,404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9,322,187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11,357,076 </w:t>
            </w: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Capital expenditure commitments</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214,899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37,874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252,773 </w:t>
            </w: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Intangible assets commitments</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6,067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6,067 </w:t>
            </w: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Operating lease commitments</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50,153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152,468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65,859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268,480 </w:t>
            </w:r>
          </w:p>
        </w:tc>
      </w:tr>
      <w:tr w:rsidRPr="007708AA" w:rsidR="00F423CA" w:rsidTr="007708AA">
        <w:trPr>
          <w:trHeight w:val="113"/>
        </w:trPr>
        <w:tc>
          <w:tcPr>
            <w:tcW w:w="4082"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t>Other commitments</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415,380 </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531,365 </w:t>
            </w:r>
          </w:p>
        </w:tc>
        <w:tc>
          <w:tcPr>
            <w:tcW w:w="1248"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42,742 </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989,487 </w:t>
            </w:r>
          </w:p>
        </w:tc>
      </w:tr>
      <w:tr w:rsidRPr="007708AA" w:rsidR="00F423CA" w:rsidTr="007708AA">
        <w:trPr>
          <w:trHeight w:val="113"/>
        </w:trPr>
        <w:tc>
          <w:tcPr>
            <w:tcW w:w="408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rPr>
                <w:rStyle w:val="medium"/>
                <w:b/>
                <w:bCs/>
              </w:rPr>
              <w:t>Total commitments (inclusive of GST)</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1,063,984 </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2,379,111 </w:t>
            </w:r>
          </w:p>
        </w:tc>
        <w:tc>
          <w:tcPr>
            <w:tcW w:w="124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9,430,788 </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12,873,883 </w:t>
            </w:r>
          </w:p>
        </w:tc>
      </w:tr>
      <w:tr w:rsidRPr="007708AA" w:rsidR="00F423CA" w:rsidTr="007708AA">
        <w:trPr>
          <w:trHeight w:val="113"/>
        </w:trPr>
        <w:tc>
          <w:tcPr>
            <w:tcW w:w="4082"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rPr>
                <w:rStyle w:val="medium"/>
                <w:b/>
                <w:bCs/>
              </w:rPr>
              <w:t>2017</w:t>
            </w:r>
          </w:p>
        </w:tc>
        <w:tc>
          <w:tcPr>
            <w:tcW w:w="1247"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7"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8"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c>
          <w:tcPr>
            <w:tcW w:w="1247" w:type="dxa"/>
            <w:tcBorders>
              <w:top w:val="single" w:color="000000" w:sz="6" w:space="0"/>
              <w:left w:val="nil"/>
              <w:bottom w:val="nil"/>
              <w:right w:val="nil"/>
            </w:tcBorders>
            <w:tcMar>
              <w:top w:w="57" w:type="dxa"/>
              <w:left w:w="57" w:type="dxa"/>
              <w:bottom w:w="57" w:type="dxa"/>
              <w:right w:w="57" w:type="dxa"/>
            </w:tcMar>
            <w:vAlign w:val="bottom"/>
          </w:tcPr>
          <w:p w:rsidRPr="007708AA" w:rsidR="00F423CA" w:rsidP="007708AA" w:rsidRDefault="00F423CA">
            <w:pPr>
              <w:pStyle w:val="NoParagraphStyle"/>
              <w:spacing w:line="240" w:lineRule="auto"/>
              <w:textAlignment w:val="auto"/>
              <w:rPr>
                <w:rFonts w:ascii="Arial" w:hAnsi="Arial" w:cs="Arial"/>
                <w:color w:val="auto"/>
                <w:sz w:val="16"/>
                <w:szCs w:val="16"/>
              </w:rPr>
            </w:pP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 xml:space="preserve">PPP commitments (note 7.5.2) </w:t>
            </w:r>
            <w:r w:rsidRPr="007708AA">
              <w:rPr>
                <w:rStyle w:val="Superscript"/>
              </w:rPr>
              <w:t>(</w:t>
            </w:r>
            <w:proofErr w:type="spellStart"/>
            <w:r w:rsidRPr="007708AA">
              <w:rPr>
                <w:rStyle w:val="Superscript"/>
              </w:rPr>
              <w:t>i</w:t>
            </w:r>
            <w:proofErr w:type="spellEnd"/>
            <w:r w:rsidRPr="007708AA">
              <w:rPr>
                <w:rStyle w:val="Superscript"/>
              </w:rPr>
              <w:t>)</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686,285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1,752,866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10,620,949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13,060,100 </w:t>
            </w: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Capital expenditure commitments</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65,154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13,906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79,060 </w:t>
            </w: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Intangible assets commitments</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21,486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0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21,486 </w:t>
            </w:r>
          </w:p>
        </w:tc>
      </w:tr>
      <w:tr w:rsidRPr="007708AA" w:rsidR="00F423CA" w:rsidTr="007708AA">
        <w:trPr>
          <w:trHeight w:val="113"/>
        </w:trPr>
        <w:tc>
          <w:tcPr>
            <w:tcW w:w="4082"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Ltable"/>
              <w:spacing w:after="0" w:line="240" w:lineRule="auto"/>
            </w:pPr>
            <w:r w:rsidRPr="007708AA">
              <w:t>Operating lease commitments</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40,654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145,014 </w:t>
            </w:r>
          </w:p>
        </w:tc>
        <w:tc>
          <w:tcPr>
            <w:tcW w:w="1248"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30,900 </w:t>
            </w:r>
          </w:p>
        </w:tc>
        <w:tc>
          <w:tcPr>
            <w:tcW w:w="1247" w:type="dxa"/>
            <w:tcBorders>
              <w:top w:val="nil"/>
              <w:left w:val="nil"/>
              <w:bottom w:val="nil"/>
              <w:right w:val="nil"/>
            </w:tcBorders>
            <w:tcMar>
              <w:top w:w="28" w:type="dxa"/>
              <w:left w:w="57" w:type="dxa"/>
              <w:bottom w:w="28" w:type="dxa"/>
              <w:right w:w="57" w:type="dxa"/>
            </w:tcMar>
            <w:vAlign w:val="bottom"/>
          </w:tcPr>
          <w:p w:rsidRPr="007708AA" w:rsidR="00F423CA" w:rsidP="007708AA" w:rsidRDefault="004E2DCE">
            <w:pPr>
              <w:pStyle w:val="bodytableRtable"/>
              <w:spacing w:after="0" w:line="240" w:lineRule="auto"/>
            </w:pPr>
            <w:r w:rsidRPr="007708AA">
              <w:t xml:space="preserve">216,568 </w:t>
            </w:r>
          </w:p>
        </w:tc>
      </w:tr>
      <w:tr w:rsidRPr="007708AA" w:rsidR="00F423CA" w:rsidTr="007708AA">
        <w:trPr>
          <w:trHeight w:val="113"/>
        </w:trPr>
        <w:tc>
          <w:tcPr>
            <w:tcW w:w="4082"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t>Other commitments</w:t>
            </w:r>
            <w:r w:rsidRPr="007708AA">
              <w:rPr>
                <w:rStyle w:val="Superscript"/>
              </w:rPr>
              <w:t xml:space="preserve"> (</w:t>
            </w:r>
            <w:proofErr w:type="spellStart"/>
            <w:r w:rsidRPr="007708AA">
              <w:rPr>
                <w:rStyle w:val="Superscript"/>
              </w:rPr>
              <w:t>i</w:t>
            </w:r>
            <w:proofErr w:type="spellEnd"/>
            <w:r w:rsidRPr="007708AA">
              <w:rPr>
                <w:rStyle w:val="Superscript"/>
              </w:rPr>
              <w:t>)</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351,088 </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297,408 </w:t>
            </w:r>
          </w:p>
        </w:tc>
        <w:tc>
          <w:tcPr>
            <w:tcW w:w="1248"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38,503 </w:t>
            </w:r>
          </w:p>
        </w:tc>
        <w:tc>
          <w:tcPr>
            <w:tcW w:w="1247" w:type="dxa"/>
            <w:tcBorders>
              <w:top w:val="nil"/>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t xml:space="preserve">686,999 </w:t>
            </w:r>
          </w:p>
        </w:tc>
      </w:tr>
      <w:tr w:rsidRPr="007708AA" w:rsidR="00F423CA" w:rsidTr="007708AA">
        <w:trPr>
          <w:trHeight w:val="113"/>
        </w:trPr>
        <w:tc>
          <w:tcPr>
            <w:tcW w:w="4082"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Ltable"/>
              <w:spacing w:after="0" w:line="240" w:lineRule="auto"/>
            </w:pPr>
            <w:r w:rsidRPr="007708AA">
              <w:rPr>
                <w:rStyle w:val="medium"/>
                <w:b/>
                <w:bCs/>
              </w:rPr>
              <w:t>Total commitments (inclusive of GST)</w:t>
            </w:r>
            <w:r w:rsidRPr="007708AA">
              <w:rPr>
                <w:rStyle w:val="Superscript"/>
              </w:rPr>
              <w:t xml:space="preserve"> (</w:t>
            </w:r>
            <w:proofErr w:type="spellStart"/>
            <w:r w:rsidRPr="007708AA">
              <w:rPr>
                <w:rStyle w:val="Superscript"/>
              </w:rPr>
              <w:t>i</w:t>
            </w:r>
            <w:proofErr w:type="spellEnd"/>
            <w:r w:rsidRPr="007708AA">
              <w:rPr>
                <w:rStyle w:val="Superscript"/>
              </w:rPr>
              <w:t>)</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1,164,667 </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2,209,194 </w:t>
            </w:r>
          </w:p>
        </w:tc>
        <w:tc>
          <w:tcPr>
            <w:tcW w:w="124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10,690,352 </w:t>
            </w:r>
          </w:p>
        </w:tc>
        <w:tc>
          <w:tcPr>
            <w:tcW w:w="124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7708AA" w:rsidR="00F423CA" w:rsidP="007708AA" w:rsidRDefault="004E2DCE">
            <w:pPr>
              <w:pStyle w:val="bodytableRtable"/>
              <w:spacing w:after="0" w:line="240" w:lineRule="auto"/>
            </w:pPr>
            <w:r w:rsidRPr="007708AA">
              <w:rPr>
                <w:rStyle w:val="medium"/>
                <w:b/>
                <w:bCs/>
              </w:rPr>
              <w:t xml:space="preserve">14,064,213 </w:t>
            </w:r>
          </w:p>
        </w:tc>
      </w:tr>
    </w:tbl>
    <w:p w:rsidR="00F423CA" w:rsidP="007708AA" w:rsidRDefault="007708AA">
      <w:pPr>
        <w:pStyle w:val="notestable"/>
        <w:spacing w:before="60" w:after="240"/>
        <w:ind w:left="227" w:hanging="227"/>
      </w:pPr>
      <w:r>
        <w:t xml:space="preserve"> </w:t>
      </w:r>
      <w:r w:rsidR="004E2DCE">
        <w:t>(</w:t>
      </w:r>
      <w:proofErr w:type="spellStart"/>
      <w:r w:rsidR="004E2DCE">
        <w:t>i</w:t>
      </w:r>
      <w:proofErr w:type="spellEnd"/>
      <w:r w:rsidR="004E2DCE">
        <w:t>)</w:t>
      </w:r>
      <w:r w:rsidR="004E2DCE">
        <w:tab/>
        <w:t>The 2016-17 comparative has been adjusted due to the reclassification of Port Phillip Prison and Hopkins Correctional Centre as PPPs to align with Partnership Victoria’s definition of a PPP.</w:t>
      </w:r>
    </w:p>
    <w:p w:rsidR="00F423CA" w:rsidRDefault="004E2DCE">
      <w:pPr>
        <w:pStyle w:val="H4"/>
      </w:pPr>
      <w:r>
        <w:t>7.5.2 PPP commitments</w:t>
      </w:r>
    </w:p>
    <w:p w:rsidR="00F423CA" w:rsidRDefault="004E2DCE">
      <w:pPr>
        <w:pStyle w:val="Bodycopy"/>
      </w:pPr>
      <w:r>
        <w:t>The department sometimes enters into arrangements with private sector participants to design and construct or upgrade assets used to provide public services.  These arrangements usually include the provision of operational and maintenance services for a specified period of time.  These arrangements are often referred to as PPPs.</w:t>
      </w:r>
    </w:p>
    <w:p w:rsidR="00F423CA" w:rsidRDefault="004E2DCE">
      <w:pPr>
        <w:pStyle w:val="Bodycopy"/>
        <w:rPr>
          <w:spacing w:val="-2"/>
        </w:rPr>
      </w:pPr>
      <w:r>
        <w:rPr>
          <w:spacing w:val="-2"/>
        </w:rPr>
        <w:t>Under these arrangements, the department pays the operator over the arrangement period,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leases accounting policy.  The remaining components are accounted for as commitments for operating costs, which are expensed in the comprehensive operating statement as they are incurred.</w:t>
      </w:r>
    </w:p>
    <w:p w:rsidR="00F423CA" w:rsidRDefault="004E2DCE">
      <w:pPr>
        <w:pStyle w:val="H4A"/>
      </w:pPr>
      <w:r>
        <w:t>PPP commitments</w:t>
      </w:r>
    </w:p>
    <w:tbl>
      <w:tblPr>
        <w:tblW w:w="0" w:type="auto"/>
        <w:tblInd w:w="57" w:type="dxa"/>
        <w:tblLayout w:type="fixed"/>
        <w:tblCellMar>
          <w:left w:w="0" w:type="dxa"/>
          <w:right w:w="0" w:type="dxa"/>
        </w:tblCellMar>
        <w:tblLook w:firstRow="0" w:lastRow="0" w:firstColumn="0" w:lastColumn="0" w:noHBand="0" w:noVBand="0" w:val="0000"/>
      </w:tblPr>
      <w:tblGrid>
        <w:gridCol w:w="2495"/>
        <w:gridCol w:w="1276"/>
        <w:gridCol w:w="1134"/>
        <w:gridCol w:w="1134"/>
        <w:gridCol w:w="1275"/>
        <w:gridCol w:w="1134"/>
        <w:gridCol w:w="1134"/>
      </w:tblGrid>
      <w:tr w:rsidRPr="003D47AE" w:rsidR="00F423CA" w:rsidTr="003D47AE">
        <w:trPr>
          <w:trHeight w:val="113"/>
          <w:tblHeader/>
        </w:trPr>
        <w:tc>
          <w:tcPr>
            <w:tcW w:w="9582"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 thousand)</w:t>
            </w:r>
          </w:p>
        </w:tc>
      </w:tr>
      <w:tr w:rsidRPr="003D47AE" w:rsidR="00F423CA" w:rsidTr="003D47AE">
        <w:trPr>
          <w:trHeight w:val="113"/>
          <w:tblHeader/>
        </w:trPr>
        <w:tc>
          <w:tcPr>
            <w:tcW w:w="249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3544" w:type="dxa"/>
            <w:gridSpan w:val="3"/>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center"/>
            </w:pPr>
            <w:r w:rsidRPr="003D47AE">
              <w:rPr>
                <w:rStyle w:val="medium"/>
                <w:b/>
                <w:bCs/>
                <w:color w:val="542E8E"/>
              </w:rPr>
              <w:t>2018</w:t>
            </w:r>
          </w:p>
        </w:tc>
        <w:tc>
          <w:tcPr>
            <w:tcW w:w="3543" w:type="dxa"/>
            <w:gridSpan w:val="3"/>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center"/>
            </w:pPr>
            <w:r w:rsidRPr="003D47AE">
              <w:rPr>
                <w:rStyle w:val="medium"/>
                <w:b/>
                <w:bCs/>
                <w:color w:val="542E8E"/>
              </w:rPr>
              <w:t>2017</w:t>
            </w:r>
          </w:p>
        </w:tc>
      </w:tr>
      <w:tr w:rsidRPr="003D47AE" w:rsidR="00F423CA" w:rsidTr="003D47AE">
        <w:trPr>
          <w:trHeight w:val="113"/>
          <w:tblHeader/>
        </w:trPr>
        <w:tc>
          <w:tcPr>
            <w:tcW w:w="249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27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Minimum lease payments</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 xml:space="preserve">Other </w:t>
            </w:r>
            <w:r w:rsidRPr="003D47AE">
              <w:rPr>
                <w:rStyle w:val="medium"/>
                <w:b/>
                <w:bCs/>
                <w:color w:val="542E8E"/>
                <w:spacing w:val="-3"/>
              </w:rPr>
              <w:t>commitments</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 xml:space="preserve">Total </w:t>
            </w:r>
            <w:r w:rsidRPr="003D47AE">
              <w:rPr>
                <w:rStyle w:val="medium"/>
                <w:b/>
                <w:bCs/>
                <w:color w:val="542E8E"/>
                <w:spacing w:val="-3"/>
              </w:rPr>
              <w:t>commitments</w:t>
            </w:r>
          </w:p>
        </w:tc>
        <w:tc>
          <w:tcPr>
            <w:tcW w:w="127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Minimum lease payments</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 xml:space="preserve">Other </w:t>
            </w:r>
            <w:r w:rsidRPr="003D47AE">
              <w:rPr>
                <w:rStyle w:val="medium"/>
                <w:b/>
                <w:bCs/>
                <w:color w:val="542E8E"/>
                <w:spacing w:val="-3"/>
              </w:rPr>
              <w:t>commitments</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 xml:space="preserve">Total </w:t>
            </w:r>
            <w:r w:rsidRPr="003D47AE">
              <w:rPr>
                <w:rStyle w:val="medium"/>
                <w:b/>
                <w:bCs/>
                <w:color w:val="542E8E"/>
                <w:spacing w:val="-3"/>
              </w:rPr>
              <w:t>commitments</w:t>
            </w:r>
          </w:p>
        </w:tc>
      </w:tr>
      <w:tr w:rsidRPr="003D47AE" w:rsidR="00F423CA" w:rsidTr="003D47AE">
        <w:trPr>
          <w:trHeight w:val="113"/>
          <w:tblHeader/>
        </w:trPr>
        <w:tc>
          <w:tcPr>
            <w:tcW w:w="249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27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Discounted value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Present</w:t>
            </w:r>
            <w:r w:rsidRPr="003D47AE">
              <w:rPr>
                <w:rStyle w:val="medium"/>
                <w:b/>
                <w:bCs/>
                <w:color w:val="542E8E"/>
              </w:rPr>
              <w:br/>
              <w:t xml:space="preserve"> value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Nominal</w:t>
            </w:r>
            <w:r w:rsidRPr="003D47AE">
              <w:rPr>
                <w:rStyle w:val="medium"/>
                <w:b/>
                <w:bCs/>
                <w:color w:val="542E8E"/>
              </w:rPr>
              <w:br/>
              <w:t>value</w:t>
            </w:r>
          </w:p>
        </w:tc>
        <w:tc>
          <w:tcPr>
            <w:tcW w:w="1275"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Discounted value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Present</w:t>
            </w:r>
            <w:r w:rsidRPr="003D47AE">
              <w:rPr>
                <w:rStyle w:val="medium"/>
                <w:b/>
                <w:bCs/>
                <w:color w:val="542E8E"/>
              </w:rPr>
              <w:br/>
              <w:t xml:space="preserve"> value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3D47AE" w:rsidR="00F423CA" w:rsidP="003D47AE" w:rsidRDefault="004E2DCE">
            <w:pPr>
              <w:pStyle w:val="bodytableLtable"/>
              <w:spacing w:after="0" w:line="240" w:lineRule="auto"/>
              <w:jc w:val="right"/>
            </w:pPr>
            <w:r w:rsidRPr="003D47AE">
              <w:rPr>
                <w:rStyle w:val="medium"/>
                <w:b/>
                <w:bCs/>
                <w:color w:val="542E8E"/>
              </w:rPr>
              <w:t>Nominal</w:t>
            </w:r>
            <w:r w:rsidRPr="003D47AE">
              <w:rPr>
                <w:rStyle w:val="medium"/>
                <w:b/>
                <w:bCs/>
                <w:color w:val="542E8E"/>
              </w:rPr>
              <w:br/>
              <w:t>value</w:t>
            </w:r>
          </w:p>
        </w:tc>
      </w:tr>
      <w:tr w:rsidRPr="003D47AE" w:rsidR="00F423CA" w:rsidTr="003D47AE">
        <w:trPr>
          <w:trHeight w:val="113"/>
        </w:trPr>
        <w:tc>
          <w:tcPr>
            <w:tcW w:w="2495" w:type="dxa"/>
            <w:tcBorders>
              <w:top w:val="single" w:color="000000" w:sz="8" w:space="0"/>
              <w:left w:val="nil"/>
              <w:bottom w:val="nil"/>
              <w:right w:val="nil"/>
            </w:tcBorders>
            <w:tcMar>
              <w:top w:w="57" w:type="dxa"/>
              <w:left w:w="57" w:type="dxa"/>
              <w:bottom w:w="57" w:type="dxa"/>
              <w:right w:w="57" w:type="dxa"/>
            </w:tcMar>
            <w:vAlign w:val="bottom"/>
          </w:tcPr>
          <w:p w:rsidRPr="003D47AE" w:rsidR="00F423CA" w:rsidP="003D47AE" w:rsidRDefault="004E2DCE">
            <w:pPr>
              <w:pStyle w:val="bodytableLtable"/>
              <w:spacing w:after="0" w:line="240" w:lineRule="auto"/>
            </w:pPr>
            <w:r w:rsidRPr="003D47AE">
              <w:rPr>
                <w:rStyle w:val="medium"/>
                <w:b/>
                <w:bCs/>
                <w:spacing w:val="-2"/>
              </w:rPr>
              <w:t>Commissioned PPPs</w:t>
            </w:r>
            <w:r w:rsidRPr="003D47AE">
              <w:rPr>
                <w:rStyle w:val="medium"/>
                <w:b/>
                <w:bCs/>
              </w:rPr>
              <w:t xml:space="preserve"> </w:t>
            </w:r>
            <w:r w:rsidRPr="003D47AE">
              <w:rPr>
                <w:rStyle w:val="Superscript"/>
              </w:rPr>
              <w:t>(</w:t>
            </w:r>
            <w:proofErr w:type="spellStart"/>
            <w:r w:rsidRPr="003D47AE">
              <w:rPr>
                <w:rStyle w:val="Superscript"/>
              </w:rPr>
              <w:t>i</w:t>
            </w:r>
            <w:proofErr w:type="spellEnd"/>
            <w:r w:rsidRPr="003D47AE">
              <w:rPr>
                <w:rStyle w:val="Superscript"/>
              </w:rPr>
              <w:t>)(ii)(iii)</w:t>
            </w:r>
          </w:p>
        </w:tc>
        <w:tc>
          <w:tcPr>
            <w:tcW w:w="1276" w:type="dxa"/>
            <w:tcBorders>
              <w:top w:val="single" w:color="000000" w:sz="8"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8"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8"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275" w:type="dxa"/>
            <w:tcBorders>
              <w:top w:val="single" w:color="000000" w:sz="8"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8"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8"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r>
      <w:tr w:rsidRPr="003D47AE" w:rsidR="00F423CA" w:rsidTr="003D47AE">
        <w:trPr>
          <w:trHeight w:val="113"/>
        </w:trPr>
        <w:tc>
          <w:tcPr>
            <w:tcW w:w="2495"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Ltable"/>
              <w:spacing w:after="0" w:line="240" w:lineRule="auto"/>
            </w:pPr>
            <w:r w:rsidRPr="003D47AE">
              <w:t>Private prisons</w:t>
            </w:r>
          </w:p>
        </w:tc>
        <w:tc>
          <w:tcPr>
            <w:tcW w:w="1276"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6,537,386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11,357,076 </w:t>
            </w:r>
          </w:p>
        </w:tc>
        <w:tc>
          <w:tcPr>
            <w:tcW w:w="1275"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3,426,047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5,600,280 </w:t>
            </w:r>
          </w:p>
        </w:tc>
      </w:tr>
      <w:tr w:rsidRPr="003D47AE" w:rsidR="00F423CA" w:rsidTr="003D47AE">
        <w:trPr>
          <w:trHeight w:val="113"/>
        </w:trPr>
        <w:tc>
          <w:tcPr>
            <w:tcW w:w="2495"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27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6,537,386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11,357,076 </w:t>
            </w:r>
          </w:p>
        </w:tc>
        <w:tc>
          <w:tcPr>
            <w:tcW w:w="1275"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3,426,047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5,600,280 </w:t>
            </w:r>
          </w:p>
        </w:tc>
      </w:tr>
      <w:tr w:rsidRPr="003D47AE" w:rsidR="00F423CA" w:rsidTr="003D47AE">
        <w:trPr>
          <w:trHeight w:val="113"/>
        </w:trPr>
        <w:tc>
          <w:tcPr>
            <w:tcW w:w="2495" w:type="dxa"/>
            <w:tcBorders>
              <w:top w:val="single" w:color="000000" w:sz="6" w:space="0"/>
              <w:left w:val="nil"/>
              <w:bottom w:val="nil"/>
              <w:right w:val="nil"/>
            </w:tcBorders>
            <w:tcMar>
              <w:top w:w="57" w:type="dxa"/>
              <w:left w:w="57" w:type="dxa"/>
              <w:bottom w:w="57" w:type="dxa"/>
              <w:right w:w="57" w:type="dxa"/>
            </w:tcMar>
            <w:vAlign w:val="bottom"/>
          </w:tcPr>
          <w:p w:rsidRPr="003D47AE" w:rsidR="00F423CA" w:rsidP="003D47AE" w:rsidRDefault="004E2DCE">
            <w:pPr>
              <w:pStyle w:val="bodytableLtable"/>
              <w:spacing w:after="0" w:line="240" w:lineRule="auto"/>
            </w:pPr>
            <w:proofErr w:type="spellStart"/>
            <w:r w:rsidRPr="003D47AE">
              <w:rPr>
                <w:rStyle w:val="medium"/>
                <w:b/>
                <w:bCs/>
                <w:spacing w:val="-2"/>
              </w:rPr>
              <w:t>Uncommissioned</w:t>
            </w:r>
            <w:proofErr w:type="spellEnd"/>
            <w:r w:rsidRPr="003D47AE">
              <w:rPr>
                <w:rStyle w:val="medium"/>
                <w:b/>
                <w:bCs/>
                <w:spacing w:val="-2"/>
              </w:rPr>
              <w:t xml:space="preserve"> PPPs</w:t>
            </w:r>
            <w:r w:rsidRPr="003D47AE">
              <w:rPr>
                <w:rStyle w:val="medium"/>
                <w:b/>
                <w:bCs/>
              </w:rPr>
              <w:t xml:space="preserve"> </w:t>
            </w:r>
            <w:r w:rsidRPr="003D47AE">
              <w:rPr>
                <w:rStyle w:val="Superscript"/>
              </w:rPr>
              <w:t>(iv)(v)</w:t>
            </w:r>
          </w:p>
        </w:tc>
        <w:tc>
          <w:tcPr>
            <w:tcW w:w="1276" w:type="dxa"/>
            <w:tcBorders>
              <w:top w:val="single" w:color="000000" w:sz="6"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275" w:type="dxa"/>
            <w:tcBorders>
              <w:top w:val="single" w:color="000000" w:sz="6"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r>
      <w:tr w:rsidRPr="003D47AE" w:rsidR="00F423CA" w:rsidTr="003D47AE">
        <w:trPr>
          <w:trHeight w:val="113"/>
        </w:trPr>
        <w:tc>
          <w:tcPr>
            <w:tcW w:w="2495"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Ltable"/>
              <w:spacing w:after="0" w:line="240" w:lineRule="auto"/>
            </w:pPr>
            <w:r w:rsidRPr="003D47AE">
              <w:t>Private prisons</w:t>
            </w:r>
          </w:p>
        </w:tc>
        <w:tc>
          <w:tcPr>
            <w:tcW w:w="1276"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275"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791,623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2,954,781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7,459,820 </w:t>
            </w:r>
          </w:p>
        </w:tc>
      </w:tr>
      <w:tr w:rsidRPr="003D47AE" w:rsidR="00F423CA" w:rsidTr="003D47AE">
        <w:trPr>
          <w:trHeight w:val="113"/>
        </w:trPr>
        <w:tc>
          <w:tcPr>
            <w:tcW w:w="2495"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27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0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0 </w:t>
            </w:r>
          </w:p>
        </w:tc>
        <w:tc>
          <w:tcPr>
            <w:tcW w:w="1275"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2,954,781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t xml:space="preserve">7,459,820 </w:t>
            </w:r>
          </w:p>
        </w:tc>
      </w:tr>
      <w:tr w:rsidRPr="003D47AE" w:rsidR="00F423CA" w:rsidTr="003D47AE">
        <w:trPr>
          <w:trHeight w:val="113"/>
        </w:trPr>
        <w:tc>
          <w:tcPr>
            <w:tcW w:w="2495"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Ltable"/>
              <w:spacing w:after="0" w:line="240" w:lineRule="auto"/>
            </w:pPr>
            <w:r w:rsidRPr="003D47AE">
              <w:rPr>
                <w:rStyle w:val="medium"/>
                <w:b/>
                <w:bCs/>
                <w:spacing w:val="-2"/>
              </w:rPr>
              <w:t>Total PPP commitments</w:t>
            </w:r>
            <w:r w:rsidRPr="003D47AE">
              <w:rPr>
                <w:rStyle w:val="medium"/>
                <w:b/>
                <w:bCs/>
              </w:rPr>
              <w:t xml:space="preserve"> </w:t>
            </w:r>
            <w:r w:rsidRPr="003D47AE">
              <w:rPr>
                <w:rStyle w:val="Superscript"/>
              </w:rPr>
              <w:t>(</w:t>
            </w:r>
            <w:proofErr w:type="spellStart"/>
            <w:r w:rsidRPr="003D47AE">
              <w:rPr>
                <w:rStyle w:val="Superscript"/>
              </w:rPr>
              <w:t>i</w:t>
            </w:r>
            <w:proofErr w:type="spellEnd"/>
            <w:r w:rsidRPr="003D47AE">
              <w:rPr>
                <w:rStyle w:val="Superscript"/>
              </w:rPr>
              <w:t>)</w:t>
            </w:r>
          </w:p>
        </w:tc>
        <w:tc>
          <w:tcPr>
            <w:tcW w:w="127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rPr>
                <w:rStyle w:val="medium"/>
                <w:b/>
                <w:bCs/>
              </w:rPr>
              <w:t xml:space="preserve">6,537,386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rPr>
                <w:rStyle w:val="medium"/>
                <w:b/>
                <w:bCs/>
              </w:rPr>
              <w:t xml:space="preserve">11,357,076 </w:t>
            </w:r>
          </w:p>
        </w:tc>
        <w:tc>
          <w:tcPr>
            <w:tcW w:w="1275"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rPr>
                <w:rStyle w:val="medium"/>
                <w:b/>
                <w:bCs/>
              </w:rPr>
              <w:t xml:space="preserve">6,380,828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3D47AE" w:rsidR="00F423CA" w:rsidP="003D47AE" w:rsidRDefault="004E2DCE">
            <w:pPr>
              <w:pStyle w:val="bodytableRtable"/>
              <w:spacing w:after="0" w:line="240" w:lineRule="auto"/>
            </w:pPr>
            <w:r w:rsidRPr="003D47AE">
              <w:rPr>
                <w:rStyle w:val="medium"/>
                <w:b/>
                <w:bCs/>
              </w:rPr>
              <w:t xml:space="preserve">13,060,100 </w:t>
            </w:r>
          </w:p>
        </w:tc>
      </w:tr>
    </w:tbl>
    <w:p w:rsidR="00F423CA" w:rsidP="003D47AE" w:rsidRDefault="003D47AE">
      <w:pPr>
        <w:pStyle w:val="notestable"/>
        <w:spacing w:before="60"/>
        <w:ind w:left="284" w:hanging="284"/>
      </w:pPr>
      <w:r>
        <w:t xml:space="preserve"> </w:t>
      </w:r>
      <w:r w:rsidR="004E2DCE">
        <w:t>(</w:t>
      </w:r>
      <w:proofErr w:type="spellStart"/>
      <w:r w:rsidR="004E2DCE">
        <w:t>i</w:t>
      </w:r>
      <w:proofErr w:type="spellEnd"/>
      <w:r w:rsidR="004E2DCE">
        <w:t>)</w:t>
      </w:r>
      <w:r w:rsidR="004E2DCE">
        <w:tab/>
        <w:t>The 2016-17 comparative has been adjusted due to the reclassification of Port Phillip Prison and Hopkins Correctional Centre as PPPs to align with Partnership Victoria’s definition of a PPP.</w:t>
      </w:r>
    </w:p>
    <w:p w:rsidR="00F423CA" w:rsidRDefault="004E2DCE">
      <w:pPr>
        <w:pStyle w:val="notestable"/>
        <w:ind w:left="283" w:hanging="283"/>
      </w:pPr>
      <w:r>
        <w:t>(ii)</w:t>
      </w:r>
      <w:r>
        <w:tab/>
        <w:t>The present values of the minimum lease payments for commissioned PPPs are recognised on the balance sheet and are not disclosed as commitments.</w:t>
      </w:r>
    </w:p>
    <w:p w:rsidR="00F423CA" w:rsidRDefault="004E2DCE">
      <w:pPr>
        <w:pStyle w:val="notestable"/>
        <w:ind w:left="283" w:hanging="283"/>
      </w:pPr>
      <w:r>
        <w:t>(iii)</w:t>
      </w:r>
      <w:r>
        <w:tab/>
        <w:t>Refer to note 7.2 for further details on the commissioned PPPs.</w:t>
      </w:r>
    </w:p>
    <w:p w:rsidR="00F423CA" w:rsidRDefault="004E2DCE">
      <w:pPr>
        <w:pStyle w:val="notestable"/>
        <w:ind w:left="283" w:hanging="283"/>
        <w:rPr>
          <w:spacing w:val="-1"/>
        </w:rPr>
      </w:pPr>
      <w:r>
        <w:t>(iv)</w:t>
      </w:r>
      <w:r>
        <w:tab/>
      </w:r>
      <w:r>
        <w:rPr>
          <w:spacing w:val="-1"/>
        </w:rPr>
        <w:t xml:space="preserve">The discounted values of the minimum lease payments for </w:t>
      </w:r>
      <w:proofErr w:type="spellStart"/>
      <w:r>
        <w:rPr>
          <w:spacing w:val="-1"/>
        </w:rPr>
        <w:t>uncommissioned</w:t>
      </w:r>
      <w:proofErr w:type="spellEnd"/>
      <w:r>
        <w:rPr>
          <w:spacing w:val="-1"/>
        </w:rPr>
        <w:t xml:space="preserve"> PPPs have been discounted to the expected dates of commissioning and the present values of other commitments have been discounted to 30 June of the respective financial years.</w:t>
      </w:r>
    </w:p>
    <w:p w:rsidR="00F423CA" w:rsidRDefault="004E2DCE">
      <w:pPr>
        <w:pStyle w:val="notestable"/>
        <w:ind w:left="283" w:hanging="283"/>
      </w:pPr>
      <w:r>
        <w:t>(v)</w:t>
      </w:r>
      <w:r>
        <w:tab/>
        <w:t>Ravenhall Correctional Centre became a commissioned PPP in November 2017.</w:t>
      </w:r>
    </w:p>
    <w:p w:rsidR="00F423CA" w:rsidRDefault="00F423CA">
      <w:pPr>
        <w:pStyle w:val="notestable"/>
        <w:ind w:left="283" w:hanging="283"/>
      </w:pPr>
    </w:p>
    <w:p w:rsidRPr="00B52859" w:rsidR="003D47AE" w:rsidP="00B52859" w:rsidRDefault="003D47AE">
      <w:pPr>
        <w:pStyle w:val="Bodycopy"/>
      </w:pPr>
      <w:r>
        <w:br w:type="page"/>
      </w:r>
    </w:p>
    <w:p w:rsidR="00F423CA" w:rsidRDefault="004E2DCE">
      <w:pPr>
        <w:pStyle w:val="H2"/>
      </w:pPr>
      <w:bookmarkStart w:id="17" w:name="_Toc525290075"/>
      <w:r>
        <w:lastRenderedPageBreak/>
        <w:t>8. Risks, contingencies and valuation judgements</w:t>
      </w:r>
      <w:bookmarkEnd w:id="17"/>
    </w:p>
    <w:p w:rsidR="00F423CA" w:rsidRDefault="004E2DCE">
      <w:pPr>
        <w:pStyle w:val="H3"/>
      </w:pPr>
      <w:r>
        <w:t>8.1 Introduction</w:t>
      </w:r>
    </w:p>
    <w:p w:rsidR="00F423CA" w:rsidRDefault="004E2DCE">
      <w:pPr>
        <w:pStyle w:val="Bodycopy"/>
      </w:pPr>
      <w:r>
        <w:t>This note sets out financial instrument specific information (including exposures to financial risks) as well as those items that are contingent in nature or require a higher level of judgement to be applied, which for the department related mainly to fair value determination.</w:t>
      </w:r>
    </w:p>
    <w:p w:rsidR="00F423CA" w:rsidRDefault="004E2DCE">
      <w:pPr>
        <w:pStyle w:val="H3"/>
      </w:pPr>
      <w:r>
        <w:t>8.2 Financial instruments specific disclosures</w:t>
      </w:r>
    </w:p>
    <w:p w:rsidR="00F423CA" w:rsidRDefault="004E2DCE">
      <w:pPr>
        <w:pStyle w:val="Bodycopy"/>
      </w:pPr>
      <w:r>
        <w:t xml:space="preserve">Financial instruments arise out of contractual agreements that give rise to a financial asset of one entity and a financial liability or equity instrument of another entity.  Due to the nature of the department’s activities, certain financial assets and financial liabilities arise under statute rather than a contract (for example taxes, fines and penalties).  Such assets and liabilities do not meet the definition of financial instruments in AASB 132 </w:t>
      </w:r>
      <w:r>
        <w:rPr>
          <w:rStyle w:val="italic"/>
        </w:rPr>
        <w:t>Financial Instruments: Presentation</w:t>
      </w:r>
      <w:r>
        <w:t>.</w:t>
      </w:r>
    </w:p>
    <w:p w:rsidR="00F423CA" w:rsidRDefault="004E2DCE">
      <w:pPr>
        <w:pStyle w:val="H4"/>
      </w:pPr>
      <w:r>
        <w:t>8.2.1 Categories of financial instruments held by the department</w:t>
      </w:r>
    </w:p>
    <w:p w:rsidR="00F423CA" w:rsidRDefault="004E2DCE">
      <w:pPr>
        <w:pStyle w:val="Bodycopy"/>
      </w:pPr>
      <w:r>
        <w:rPr>
          <w:rStyle w:val="medium"/>
          <w:b/>
          <w:bCs/>
        </w:rPr>
        <w:t>Loans and receivables and cash</w:t>
      </w:r>
      <w:r>
        <w:t xml:space="preserve"> are financial instrument assets with fixed and determinable payments that are not quoted on an active market.  These assets and liabilities are initially recognised at fair value plus any directly attributable transaction costs.  Subsequent to initial measurement, loans and receivables are measured at amortised cost using the effective interest method (and for assets, less any impairment).  The department recognises the following assets in this category:</w:t>
      </w:r>
    </w:p>
    <w:p w:rsidR="00F423CA" w:rsidRDefault="004E2DCE">
      <w:pPr>
        <w:pStyle w:val="BodycopyBullet"/>
      </w:pPr>
      <w:r>
        <w:t>cash</w:t>
      </w:r>
    </w:p>
    <w:p w:rsidR="00F423CA" w:rsidRDefault="004E2DCE">
      <w:pPr>
        <w:pStyle w:val="BodycopyBullet"/>
      </w:pPr>
      <w:r>
        <w:t>term deposits</w:t>
      </w:r>
    </w:p>
    <w:p w:rsidR="00F423CA" w:rsidRDefault="004E2DCE">
      <w:pPr>
        <w:pStyle w:val="BodycopyBulletspaceunder"/>
      </w:pPr>
      <w:r>
        <w:t>receivables (excluding statutory receivables)</w:t>
      </w:r>
    </w:p>
    <w:p w:rsidR="00F423CA" w:rsidRDefault="004E2DCE">
      <w:pPr>
        <w:pStyle w:val="Bodycopy"/>
      </w:pPr>
      <w:r>
        <w:rPr>
          <w:rStyle w:val="medium"/>
          <w:b/>
          <w:bCs/>
        </w:rPr>
        <w:t>Financial assets at fair value through profit or loss</w:t>
      </w:r>
      <w:r>
        <w:t xml:space="preserve"> are designated as such upon initial recognition.  Financial instrument assets are designated at fair value through profit or loss on the basis that the financial assets form part of a group of financial assets that are managed based on their fair values and have their performance evaluated in accordance with documented risk management and investment strategies.  Financial instruments at fair value through profit or loss are initially measured at fair value.  Attributable transaction costs are expensed as incurred.  Subsequently, any changes in fair value are recognised in the net result as other economic flows.  The department categorised its managed investment schemes in this category.</w:t>
      </w:r>
    </w:p>
    <w:p w:rsidR="00F423CA" w:rsidRDefault="004E2DCE">
      <w:pPr>
        <w:pStyle w:val="Bodycopy"/>
      </w:pPr>
      <w:r>
        <w:rPr>
          <w:rStyle w:val="medium"/>
          <w:b/>
          <w:bCs/>
        </w:rPr>
        <w:t>Financial liabilities at amortised cost</w:t>
      </w:r>
      <w:r>
        <w:t xml:space="preserve">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w:t>
      </w:r>
      <w:proofErr w:type="gramStart"/>
      <w:r>
        <w:t>interest bearing</w:t>
      </w:r>
      <w:proofErr w:type="gramEnd"/>
      <w:r>
        <w:t xml:space="preserve"> liability, using the effective interest rate method.  The department recognises the following liabilities in this category:</w:t>
      </w:r>
    </w:p>
    <w:p w:rsidR="00F423CA" w:rsidRDefault="004E2DCE">
      <w:pPr>
        <w:pStyle w:val="BodycopyBullet"/>
      </w:pPr>
      <w:r>
        <w:t>payables (excluding statutory payables)</w:t>
      </w:r>
    </w:p>
    <w:p w:rsidR="00F423CA" w:rsidRDefault="004E2DCE">
      <w:pPr>
        <w:pStyle w:val="BodycopyBulletspaceunder"/>
      </w:pPr>
      <w:r>
        <w:t>borrowings</w:t>
      </w:r>
    </w:p>
    <w:p w:rsidR="00F423CA" w:rsidRDefault="004E2DCE">
      <w:pPr>
        <w:pStyle w:val="Bodycopy"/>
      </w:pPr>
      <w:r>
        <w:rPr>
          <w:rStyle w:val="medium"/>
          <w:b/>
          <w:bCs/>
        </w:rPr>
        <w:t>Derecognition of financial assets</w:t>
      </w:r>
      <w:r>
        <w:t>: A financial asset (or, where applicable, a part of a financial asset or part of a group of similar financial assets) is derecognised when:</w:t>
      </w:r>
    </w:p>
    <w:p w:rsidR="00F423CA" w:rsidRDefault="004E2DCE">
      <w:pPr>
        <w:pStyle w:val="BodycopyBullet"/>
      </w:pPr>
      <w:r>
        <w:t>the rights to receive cash flows from the asset have expired; or</w:t>
      </w:r>
    </w:p>
    <w:p w:rsidR="00F423CA" w:rsidRDefault="004E2DCE">
      <w:pPr>
        <w:pStyle w:val="BodycopyBullet"/>
      </w:pPr>
      <w:r>
        <w:t>the department retains the right to receive cash flows from the asset, but has assumed an obligation to pay them in full without material delay to a third party under a ‘pass through’ arrangement; or</w:t>
      </w:r>
    </w:p>
    <w:p w:rsidR="00F423CA" w:rsidRDefault="004E2DCE">
      <w:pPr>
        <w:pStyle w:val="BodycopyBulletspaceunder"/>
      </w:pPr>
      <w:r>
        <w:t xml:space="preserve">the department has transferred its rights to receive cash flows from the asset and either: has transferred substantially all the risks and rewards of the asset; or has neither transferred nor retained substantially all the risks and rewards of the </w:t>
      </w:r>
      <w:proofErr w:type="gramStart"/>
      <w:r>
        <w:t>asset, but</w:t>
      </w:r>
      <w:proofErr w:type="gramEnd"/>
      <w:r>
        <w:t xml:space="preserve"> has transferred control of the asset.</w:t>
      </w:r>
    </w:p>
    <w:p w:rsidR="00F423CA" w:rsidRDefault="004E2DCE">
      <w:pPr>
        <w:pStyle w:val="Bodycopy"/>
      </w:pPr>
      <w:r>
        <w:t>Where the department has neither transferred nor retained substantially all the risks and rewards nor transferred control, the asset is recognised to the extent of the department’s continuing involvement in the asset.</w:t>
      </w:r>
    </w:p>
    <w:p w:rsidR="00F423CA" w:rsidRDefault="004E2DCE">
      <w:pPr>
        <w:pStyle w:val="Bodycopy"/>
      </w:pPr>
      <w:r>
        <w:rPr>
          <w:rStyle w:val="medium"/>
          <w:b/>
          <w:bCs/>
        </w:rPr>
        <w:t>Impairment of financial assets</w:t>
      </w:r>
      <w:r>
        <w:t>: At the end of each reporting period, the department assesses whether there is objective evidence that a financial asset or group of financial assets is impaired.  All financial instrument assets, except those measured at fair value through profit or loss, are subject to annual review for impairment.</w:t>
      </w:r>
    </w:p>
    <w:p w:rsidR="00F423CA" w:rsidRDefault="004E2DCE">
      <w:pPr>
        <w:pStyle w:val="Bodycopy"/>
      </w:pPr>
      <w:r>
        <w:t xml:space="preserve">The allowance is the difference between the financial asset’s carrying amount and the present value of estimated future cash flows, discounted at the effective interest rate.  In assessing impairment of statutory (non-contractual) financial assets, which are not financial instruments, professional judgement is applied in assessing materiality using estimates, averages and other computational methods in accordance with AASB 136 </w:t>
      </w:r>
      <w:r>
        <w:rPr>
          <w:rStyle w:val="italic"/>
        </w:rPr>
        <w:t>Impairment of Assets</w:t>
      </w:r>
      <w:r>
        <w:t>.</w:t>
      </w:r>
    </w:p>
    <w:p w:rsidR="00F423CA" w:rsidRDefault="004E2DCE">
      <w:pPr>
        <w:pStyle w:val="Bodycopy"/>
      </w:pPr>
      <w:r>
        <w:rPr>
          <w:rStyle w:val="medium"/>
          <w:b/>
          <w:bCs/>
        </w:rPr>
        <w:t>Derecognition of financial liabilities</w:t>
      </w:r>
      <w:r>
        <w:t>: A financial liability is derecognised when the obligation under the liability is discharged, cancelled or expires.</w:t>
      </w:r>
    </w:p>
    <w:p w:rsidR="00F423CA" w:rsidRDefault="004E2DCE">
      <w:pPr>
        <w:pStyle w:val="Bodycopy"/>
      </w:pPr>
      <w:r>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p>
    <w:p w:rsidR="00B52859" w:rsidP="00B52859" w:rsidRDefault="00B52859">
      <w:pPr>
        <w:pStyle w:val="Bodycopy"/>
      </w:pPr>
      <w:r>
        <w:br w:type="page"/>
      </w:r>
    </w:p>
    <w:p w:rsidR="00F423CA" w:rsidRDefault="004E2DCE">
      <w:pPr>
        <w:pStyle w:val="H4"/>
        <w:rPr>
          <w:rStyle w:val="Superscript"/>
        </w:rPr>
      </w:pPr>
      <w:r>
        <w:lastRenderedPageBreak/>
        <w:t xml:space="preserve">8.2.2 Net holding gain/(loss) on financial instruments by category </w:t>
      </w:r>
      <w:r>
        <w:rPr>
          <w:rStyle w:val="Superscript"/>
        </w:rPr>
        <w:t>(</w:t>
      </w:r>
      <w:proofErr w:type="spellStart"/>
      <w:r>
        <w:rPr>
          <w:rStyle w:val="Superscript"/>
        </w:rPr>
        <w:t>i</w:t>
      </w:r>
      <w:proofErr w:type="spellEnd"/>
      <w:r>
        <w:rPr>
          <w:rStyle w:val="Superscript"/>
        </w:rPr>
        <w:t>)</w:t>
      </w:r>
    </w:p>
    <w:tbl>
      <w:tblPr>
        <w:tblW w:w="0" w:type="auto"/>
        <w:tblInd w:w="57" w:type="dxa"/>
        <w:tblLayout w:type="fixed"/>
        <w:tblCellMar>
          <w:left w:w="0" w:type="dxa"/>
          <w:right w:w="0" w:type="dxa"/>
        </w:tblCellMar>
        <w:tblLook w:firstRow="0" w:lastRow="0" w:firstColumn="0" w:lastColumn="0" w:noHBand="0" w:noVBand="0" w:val="0000"/>
      </w:tblPr>
      <w:tblGrid>
        <w:gridCol w:w="3969"/>
        <w:gridCol w:w="1700"/>
        <w:gridCol w:w="1701"/>
        <w:gridCol w:w="1701"/>
      </w:tblGrid>
      <w:tr w:rsidRPr="00B52859" w:rsidR="00F423CA" w:rsidTr="00B52859">
        <w:trPr>
          <w:trHeight w:val="60"/>
          <w:tblHeader/>
        </w:trPr>
        <w:tc>
          <w:tcPr>
            <w:tcW w:w="3969"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0"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 thousand)</w:t>
            </w:r>
          </w:p>
        </w:tc>
      </w:tr>
      <w:tr w:rsidRPr="00B52859" w:rsidR="00F423CA" w:rsidTr="00B52859">
        <w:trPr>
          <w:trHeight w:val="60"/>
          <w:tblHeader/>
        </w:trPr>
        <w:tc>
          <w:tcPr>
            <w:tcW w:w="3969"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color w:val="542E8E"/>
              </w:rPr>
              <w:t>2018</w:t>
            </w:r>
          </w:p>
        </w:tc>
        <w:tc>
          <w:tcPr>
            <w:tcW w:w="170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Net holding</w:t>
            </w:r>
            <w:r w:rsidRPr="00B52859">
              <w:rPr>
                <w:rStyle w:val="medium"/>
                <w:b/>
                <w:bCs/>
                <w:color w:val="542E8E"/>
              </w:rPr>
              <w:br/>
              <w:t>gain/(loss)</w:t>
            </w:r>
          </w:p>
        </w:tc>
        <w:tc>
          <w:tcPr>
            <w:tcW w:w="170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Total interest</w:t>
            </w:r>
            <w:r w:rsidRPr="00B52859">
              <w:rPr>
                <w:rStyle w:val="medium"/>
                <w:b/>
                <w:bCs/>
                <w:color w:val="542E8E"/>
              </w:rPr>
              <w:br/>
              <w:t>income / (expense)</w:t>
            </w:r>
          </w:p>
        </w:tc>
        <w:tc>
          <w:tcPr>
            <w:tcW w:w="170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Total</w:t>
            </w:r>
          </w:p>
        </w:tc>
      </w:tr>
      <w:tr w:rsidRPr="00B52859" w:rsidR="00F423CA" w:rsidTr="00B52859">
        <w:trPr>
          <w:trHeight w:val="60"/>
        </w:trPr>
        <w:tc>
          <w:tcPr>
            <w:tcW w:w="3969"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Contractual financial assets</w:t>
            </w:r>
          </w:p>
        </w:tc>
        <w:tc>
          <w:tcPr>
            <w:tcW w:w="1700"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r>
      <w:tr w:rsidRPr="00B52859" w:rsidR="00F423CA" w:rsidTr="00B52859">
        <w:trPr>
          <w:trHeight w:val="60"/>
        </w:trPr>
        <w:tc>
          <w:tcPr>
            <w:tcW w:w="3969"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Ltable"/>
              <w:spacing w:after="0" w:line="240" w:lineRule="auto"/>
            </w:pPr>
            <w:r w:rsidRPr="00B52859">
              <w:t>Designated at fair value through profit or loss</w:t>
            </w:r>
          </w:p>
        </w:tc>
        <w:tc>
          <w:tcPr>
            <w:tcW w:w="1700"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Rtable"/>
              <w:spacing w:after="0" w:line="240" w:lineRule="auto"/>
            </w:pPr>
            <w:r w:rsidRPr="00B52859">
              <w:t xml:space="preserve">5,508 </w:t>
            </w:r>
          </w:p>
        </w:tc>
        <w:tc>
          <w:tcPr>
            <w:tcW w:w="1701"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701"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Rtable"/>
              <w:spacing w:after="0" w:line="240" w:lineRule="auto"/>
            </w:pPr>
            <w:r w:rsidRPr="00B52859">
              <w:t xml:space="preserve">5,508 </w:t>
            </w:r>
          </w:p>
        </w:tc>
      </w:tr>
      <w:tr w:rsidRPr="00B52859" w:rsidR="00F423CA" w:rsidTr="00B52859">
        <w:trPr>
          <w:trHeight w:val="60"/>
        </w:trPr>
        <w:tc>
          <w:tcPr>
            <w:tcW w:w="3969"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t>Loans and receivables</w:t>
            </w:r>
          </w:p>
        </w:tc>
        <w:tc>
          <w:tcPr>
            <w:tcW w:w="1700"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498 </w:t>
            </w:r>
          </w:p>
        </w:tc>
        <w:tc>
          <w:tcPr>
            <w:tcW w:w="1701"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1,814 </w:t>
            </w:r>
          </w:p>
        </w:tc>
        <w:tc>
          <w:tcPr>
            <w:tcW w:w="1701"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2,312 </w:t>
            </w:r>
          </w:p>
        </w:tc>
      </w:tr>
      <w:tr w:rsidRPr="00B52859" w:rsidR="00F423CA" w:rsidTr="00B52859">
        <w:trPr>
          <w:trHeight w:val="60"/>
        </w:trPr>
        <w:tc>
          <w:tcPr>
            <w:tcW w:w="3969"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Total contractual financial assets</w:t>
            </w:r>
          </w:p>
        </w:tc>
        <w:tc>
          <w:tcPr>
            <w:tcW w:w="170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6,006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1,814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7,820 </w:t>
            </w:r>
          </w:p>
        </w:tc>
      </w:tr>
      <w:tr w:rsidRPr="00B52859" w:rsidR="00F423CA" w:rsidTr="00B52859">
        <w:trPr>
          <w:trHeight w:val="60"/>
        </w:trPr>
        <w:tc>
          <w:tcPr>
            <w:tcW w:w="3969"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Contractual financial liabilities</w:t>
            </w:r>
          </w:p>
        </w:tc>
        <w:tc>
          <w:tcPr>
            <w:tcW w:w="1700"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r>
      <w:tr w:rsidRPr="00B52859" w:rsidR="00F423CA" w:rsidTr="00B52859">
        <w:trPr>
          <w:trHeight w:val="60"/>
        </w:trPr>
        <w:tc>
          <w:tcPr>
            <w:tcW w:w="3969"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Ltable"/>
              <w:spacing w:after="0" w:line="240" w:lineRule="auto"/>
            </w:pPr>
            <w:r w:rsidRPr="00B52859">
              <w:t>At amortised cost</w:t>
            </w:r>
          </w:p>
        </w:tc>
        <w:tc>
          <w:tcPr>
            <w:tcW w:w="1700"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701"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50,676 </w:t>
            </w:r>
          </w:p>
        </w:tc>
        <w:tc>
          <w:tcPr>
            <w:tcW w:w="1701"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50,676 </w:t>
            </w:r>
          </w:p>
        </w:tc>
      </w:tr>
      <w:tr w:rsidRPr="00B52859" w:rsidR="00F423CA" w:rsidTr="00B52859">
        <w:trPr>
          <w:trHeight w:val="60"/>
        </w:trPr>
        <w:tc>
          <w:tcPr>
            <w:tcW w:w="3969"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Total contractual financial liabilities</w:t>
            </w:r>
          </w:p>
        </w:tc>
        <w:tc>
          <w:tcPr>
            <w:tcW w:w="170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0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50,676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50,676 </w:t>
            </w:r>
          </w:p>
        </w:tc>
      </w:tr>
    </w:tbl>
    <w:p w:rsidR="00F423CA" w:rsidRDefault="00F423CA">
      <w:pPr>
        <w:pStyle w:val="Bodycopy"/>
        <w:rPr>
          <w:rStyle w:val="Superscript"/>
          <w:sz w:val="21"/>
          <w:szCs w:val="21"/>
        </w:rPr>
      </w:pPr>
    </w:p>
    <w:tbl>
      <w:tblPr>
        <w:tblW w:w="0" w:type="auto"/>
        <w:tblInd w:w="57" w:type="dxa"/>
        <w:tblLayout w:type="fixed"/>
        <w:tblCellMar>
          <w:left w:w="0" w:type="dxa"/>
          <w:right w:w="0" w:type="dxa"/>
        </w:tblCellMar>
        <w:tblLook w:firstRow="0" w:lastRow="0" w:firstColumn="0" w:lastColumn="0" w:noHBand="0" w:noVBand="0" w:val="0000"/>
      </w:tblPr>
      <w:tblGrid>
        <w:gridCol w:w="3969"/>
        <w:gridCol w:w="1700"/>
        <w:gridCol w:w="1701"/>
        <w:gridCol w:w="1701"/>
      </w:tblGrid>
      <w:tr w:rsidRPr="00B52859" w:rsidR="00F423CA" w:rsidTr="00B52859">
        <w:trPr>
          <w:trHeight w:val="60"/>
          <w:tblHeader/>
        </w:trPr>
        <w:tc>
          <w:tcPr>
            <w:tcW w:w="3969"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0"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 thousand)</w:t>
            </w:r>
          </w:p>
        </w:tc>
      </w:tr>
      <w:tr w:rsidRPr="00B52859" w:rsidR="00F423CA" w:rsidTr="00B52859">
        <w:trPr>
          <w:trHeight w:val="60"/>
          <w:tblHeader/>
        </w:trPr>
        <w:tc>
          <w:tcPr>
            <w:tcW w:w="3969"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color w:val="542E8E"/>
              </w:rPr>
              <w:t>2017</w:t>
            </w:r>
          </w:p>
        </w:tc>
        <w:tc>
          <w:tcPr>
            <w:tcW w:w="170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 xml:space="preserve">Net holding </w:t>
            </w:r>
            <w:r w:rsidRPr="00B52859">
              <w:rPr>
                <w:rStyle w:val="medium"/>
                <w:b/>
                <w:bCs/>
                <w:color w:val="542E8E"/>
              </w:rPr>
              <w:br/>
              <w:t>gain/(loss)</w:t>
            </w:r>
          </w:p>
        </w:tc>
        <w:tc>
          <w:tcPr>
            <w:tcW w:w="170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Total interest income / (expense)</w:t>
            </w:r>
          </w:p>
        </w:tc>
        <w:tc>
          <w:tcPr>
            <w:tcW w:w="170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Total</w:t>
            </w:r>
          </w:p>
        </w:tc>
      </w:tr>
      <w:tr w:rsidRPr="00B52859" w:rsidR="00F423CA" w:rsidTr="00B52859">
        <w:trPr>
          <w:trHeight w:val="60"/>
        </w:trPr>
        <w:tc>
          <w:tcPr>
            <w:tcW w:w="3969"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Contractual financial assets</w:t>
            </w:r>
          </w:p>
        </w:tc>
        <w:tc>
          <w:tcPr>
            <w:tcW w:w="1700"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r>
      <w:tr w:rsidRPr="00B52859" w:rsidR="00F423CA" w:rsidTr="00B52859">
        <w:trPr>
          <w:trHeight w:val="60"/>
        </w:trPr>
        <w:tc>
          <w:tcPr>
            <w:tcW w:w="3969"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Ltable"/>
              <w:spacing w:after="0" w:line="240" w:lineRule="auto"/>
            </w:pPr>
            <w:r w:rsidRPr="00B52859">
              <w:t>Designated at fair value through profit or loss</w:t>
            </w:r>
          </w:p>
        </w:tc>
        <w:tc>
          <w:tcPr>
            <w:tcW w:w="1700"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Rtable"/>
              <w:spacing w:after="0" w:line="240" w:lineRule="auto"/>
            </w:pPr>
            <w:r w:rsidRPr="00B52859">
              <w:t xml:space="preserve">(6,332) </w:t>
            </w:r>
          </w:p>
        </w:tc>
        <w:tc>
          <w:tcPr>
            <w:tcW w:w="1701"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701" w:type="dxa"/>
            <w:tcBorders>
              <w:top w:val="nil"/>
              <w:left w:val="nil"/>
              <w:bottom w:val="nil"/>
              <w:right w:val="nil"/>
            </w:tcBorders>
            <w:tcMar>
              <w:top w:w="28" w:type="dxa"/>
              <w:left w:w="57" w:type="dxa"/>
              <w:bottom w:w="28" w:type="dxa"/>
              <w:right w:w="57" w:type="dxa"/>
            </w:tcMar>
            <w:vAlign w:val="bottom"/>
          </w:tcPr>
          <w:p w:rsidRPr="00B52859" w:rsidR="00F423CA" w:rsidP="00B52859" w:rsidRDefault="004E2DCE">
            <w:pPr>
              <w:pStyle w:val="bodytableRtable"/>
              <w:spacing w:after="0" w:line="240" w:lineRule="auto"/>
            </w:pPr>
            <w:r w:rsidRPr="00B52859">
              <w:t xml:space="preserve">(6,332) </w:t>
            </w:r>
          </w:p>
        </w:tc>
      </w:tr>
      <w:tr w:rsidRPr="00B52859" w:rsidR="00F423CA" w:rsidTr="00B52859">
        <w:trPr>
          <w:trHeight w:val="60"/>
        </w:trPr>
        <w:tc>
          <w:tcPr>
            <w:tcW w:w="3969"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t>Loans and receivables</w:t>
            </w:r>
          </w:p>
        </w:tc>
        <w:tc>
          <w:tcPr>
            <w:tcW w:w="1700"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(9) </w:t>
            </w:r>
          </w:p>
        </w:tc>
        <w:tc>
          <w:tcPr>
            <w:tcW w:w="1701"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5,445 </w:t>
            </w:r>
          </w:p>
        </w:tc>
        <w:tc>
          <w:tcPr>
            <w:tcW w:w="1701"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5,436 </w:t>
            </w:r>
          </w:p>
        </w:tc>
      </w:tr>
      <w:tr w:rsidRPr="00B52859" w:rsidR="00F423CA" w:rsidTr="00B52859">
        <w:trPr>
          <w:trHeight w:val="60"/>
        </w:trPr>
        <w:tc>
          <w:tcPr>
            <w:tcW w:w="3969"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Total contractual financial assets</w:t>
            </w:r>
          </w:p>
        </w:tc>
        <w:tc>
          <w:tcPr>
            <w:tcW w:w="170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(6,341)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5,445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(896) </w:t>
            </w:r>
          </w:p>
        </w:tc>
      </w:tr>
      <w:tr w:rsidRPr="00B52859" w:rsidR="00F423CA" w:rsidTr="00B52859">
        <w:trPr>
          <w:trHeight w:val="60"/>
        </w:trPr>
        <w:tc>
          <w:tcPr>
            <w:tcW w:w="3969"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Contractual financial liabilities</w:t>
            </w:r>
          </w:p>
        </w:tc>
        <w:tc>
          <w:tcPr>
            <w:tcW w:w="1700"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r>
      <w:tr w:rsidRPr="00B52859" w:rsidR="00F423CA" w:rsidTr="00B52859">
        <w:trPr>
          <w:trHeight w:val="60"/>
        </w:trPr>
        <w:tc>
          <w:tcPr>
            <w:tcW w:w="3969"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Ltable"/>
              <w:spacing w:after="0" w:line="240" w:lineRule="auto"/>
            </w:pPr>
            <w:r w:rsidRPr="00B52859">
              <w:t>At amortised cost</w:t>
            </w:r>
          </w:p>
        </w:tc>
        <w:tc>
          <w:tcPr>
            <w:tcW w:w="1700"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701"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20,229 </w:t>
            </w:r>
          </w:p>
        </w:tc>
        <w:tc>
          <w:tcPr>
            <w:tcW w:w="1701" w:type="dxa"/>
            <w:tcBorders>
              <w:top w:val="nil"/>
              <w:left w:val="nil"/>
              <w:bottom w:val="single" w:color="000000" w:sz="6" w:space="0"/>
              <w:right w:val="nil"/>
            </w:tcBorders>
            <w:tcMar>
              <w:top w:w="28"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20,229 </w:t>
            </w:r>
          </w:p>
        </w:tc>
      </w:tr>
      <w:tr w:rsidRPr="00B52859" w:rsidR="00F423CA" w:rsidTr="00B52859">
        <w:trPr>
          <w:trHeight w:val="60"/>
        </w:trPr>
        <w:tc>
          <w:tcPr>
            <w:tcW w:w="3969"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Total contractual financial liabilities</w:t>
            </w:r>
          </w:p>
        </w:tc>
        <w:tc>
          <w:tcPr>
            <w:tcW w:w="170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0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20,229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20,229 </w:t>
            </w:r>
          </w:p>
        </w:tc>
      </w:tr>
    </w:tbl>
    <w:p w:rsidR="00F423CA" w:rsidP="00B52859" w:rsidRDefault="00B52859">
      <w:pPr>
        <w:pStyle w:val="notestable"/>
        <w:spacing w:before="60"/>
        <w:ind w:left="227" w:hanging="227"/>
      </w:pPr>
      <w:r>
        <w:t xml:space="preserve"> </w:t>
      </w:r>
      <w:r w:rsidR="004E2DCE">
        <w:t>(</w:t>
      </w:r>
      <w:proofErr w:type="spellStart"/>
      <w:r w:rsidR="004E2DCE">
        <w:t>i</w:t>
      </w:r>
      <w:proofErr w:type="spellEnd"/>
      <w:r w:rsidR="004E2DCE">
        <w:t>)</w:t>
      </w:r>
      <w:r w:rsidR="004E2DCE">
        <w:tab/>
        <w:t>Amounts disclosed in this table exclude holding gains and losses related to statutory financial assets and liabilities.</w:t>
      </w:r>
    </w:p>
    <w:p w:rsidR="00F423CA" w:rsidRDefault="004E2DCE">
      <w:pPr>
        <w:pStyle w:val="notestable"/>
        <w:ind w:left="227" w:hanging="227"/>
      </w:pPr>
      <w:r>
        <w:tab/>
        <w:t>The net holding gains or losses disclosed above are determined as follows:</w:t>
      </w:r>
    </w:p>
    <w:p w:rsidR="00F423CA" w:rsidRDefault="004E2DCE">
      <w:pPr>
        <w:pStyle w:val="notestable"/>
        <w:ind w:left="397" w:hanging="170"/>
      </w:pPr>
      <w:r>
        <w:tab/>
        <w:t>for financial asset designated at fair value through profit or loss, the net gain or loss is calculated by taking the movement in the fair value of the financial asset;</w:t>
      </w:r>
    </w:p>
    <w:p w:rsidR="00F423CA" w:rsidRDefault="004E2DCE">
      <w:pPr>
        <w:pStyle w:val="notestable"/>
        <w:ind w:left="397" w:hanging="170"/>
      </w:pPr>
      <w:r>
        <w:tab/>
        <w:t>for loans and receivables, and cash, the net gain or loss is calculated by taking the movement in the fair value of the asset, the interest income, plus or minus foreign exchange gains or losses arising from revaluation of the financial assets, and minus any impairment recognised in the net result; and</w:t>
      </w:r>
    </w:p>
    <w:p w:rsidR="00F423CA" w:rsidP="00B52859" w:rsidRDefault="004E2DCE">
      <w:pPr>
        <w:pStyle w:val="notestable"/>
        <w:spacing w:after="240"/>
        <w:ind w:left="397" w:hanging="170"/>
      </w:pPr>
      <w:r>
        <w:tab/>
        <w:t>for financial liabilities measured at amortised cost, the net gain or loss is calculated by taking the interest expense, plus or minus foreign exchange gains or losses arising from the revaluation of financial liabilities measured at amortised cost.</w:t>
      </w:r>
    </w:p>
    <w:p w:rsidR="00F423CA" w:rsidRDefault="004E2DCE">
      <w:pPr>
        <w:pStyle w:val="H4"/>
      </w:pPr>
      <w:r>
        <w:t>8.2.3 Financial risk management objective and policies</w:t>
      </w:r>
    </w:p>
    <w:p w:rsidR="00F423CA" w:rsidRDefault="004E2DCE">
      <w:pPr>
        <w:pStyle w:val="Bodycopy"/>
      </w:pPr>
      <w:r>
        <w:t>The department’s main financial risks include credit risk, liquidity risk and market risk such as interest rate risk, equity price risk and foreign currency risk.  The department manages these financial risks in accordance with its financial risk management policy.</w:t>
      </w:r>
    </w:p>
    <w:p w:rsidR="00F423CA" w:rsidRDefault="004E2DCE">
      <w:pPr>
        <w:pStyle w:val="H4A"/>
      </w:pPr>
      <w:r>
        <w:t>Financial instruments: credit risk</w:t>
      </w:r>
    </w:p>
    <w:p w:rsidR="00F423CA" w:rsidRDefault="004E2DCE">
      <w:pPr>
        <w:pStyle w:val="Bodycopy"/>
      </w:pPr>
      <w:r>
        <w:t xml:space="preserve">Credit risks arise from the contractual financial assets of the department, which comprises cash and deposits, contractual receivables and investments and other contractual financial assets.  The department’s exposure to credit risk arises from the potential default of a counterparty on their contractual obligations resulting in financial loss to the department.  Credit risk is measured at fair value and is monitored on a regular basis.  </w:t>
      </w:r>
    </w:p>
    <w:p w:rsidR="00F423CA" w:rsidRDefault="004E2DCE">
      <w:pPr>
        <w:pStyle w:val="Bodycopy"/>
      </w:pPr>
      <w:r>
        <w:t>Credit risk associated with the department’s contractual financial assets is minimal because its cash and deposits and the majority of its contractual receivables are with financial institutions and government agencies.  Credit risk in relation to receivables is also monitored by management by reviewing the ageing of receivables on a monthly basis.  Credit risk in relation to the department’s investments and other contractual financial assets is managed by Treasury Corporation Victoria and the Victorian Funds Management Corporation.</w:t>
      </w:r>
    </w:p>
    <w:p w:rsidR="00F423CA" w:rsidRDefault="004E2DCE">
      <w:pPr>
        <w:pStyle w:val="Bodycopy"/>
      </w:pPr>
      <w:r>
        <w:t>The department does not engage in hedging for its contractual financial assets.</w:t>
      </w:r>
    </w:p>
    <w:p w:rsidR="00F423CA" w:rsidRDefault="004E2DCE">
      <w:pPr>
        <w:pStyle w:val="Bodycopy"/>
      </w:pPr>
      <w:r>
        <w:t>Provision of impairment for contractual financial assets is recognised when there is objective evidence that the department will not be able to collect on a receivable.  Objective evidence includes financial difficulties of the debtor, default payments, debts which are more than 60 days overdue, and changes in debtor credit ratings.</w:t>
      </w:r>
    </w:p>
    <w:p w:rsidR="00F423CA" w:rsidRDefault="004E2DCE">
      <w:pPr>
        <w:pStyle w:val="Bodycopy"/>
      </w:pPr>
      <w:r>
        <w:t>The carrying amount of contractual financial assets recorded in the financial statements, net of any allowances for losses, represents the department’s maximum exposure to credit risk without taking account of the value of any collateral obtained.</w:t>
      </w:r>
    </w:p>
    <w:p w:rsidR="00F423CA" w:rsidRDefault="004E2DCE">
      <w:pPr>
        <w:pStyle w:val="Bodycopy"/>
      </w:pPr>
      <w:r>
        <w:t>There has been no material change to the department’s credit risk profile in 2017-18.</w:t>
      </w:r>
    </w:p>
    <w:p w:rsidR="00F423CA" w:rsidRDefault="004E2DCE">
      <w:pPr>
        <w:pStyle w:val="H4A"/>
      </w:pPr>
      <w:r>
        <w:t>Financial instruments: liquidity risk</w:t>
      </w:r>
    </w:p>
    <w:p w:rsidR="00F423CA" w:rsidRDefault="004E2DCE">
      <w:pPr>
        <w:pStyle w:val="Bodycopy"/>
      </w:pPr>
      <w:r>
        <w:t xml:space="preserve">Liquidity risk arises when the department is unable to meet its financial obligations as they fall due. The </w:t>
      </w:r>
      <w:r>
        <w:rPr>
          <w:spacing w:val="-2"/>
        </w:rPr>
        <w:t xml:space="preserve">department operates under the government’s fair payments policy of settling financial obligations within </w:t>
      </w:r>
      <w:r>
        <w:t>30 days and in the event of a dispute, making payments within 30 days from the date of resolution.</w:t>
      </w:r>
    </w:p>
    <w:p w:rsidR="00F423CA" w:rsidRDefault="004E2DCE">
      <w:pPr>
        <w:pStyle w:val="Bodycopy"/>
      </w:pPr>
      <w:r>
        <w:t>The department’s maximum exposure to liquidity risk is the carrying amounts of financial liabilities as d</w:t>
      </w:r>
      <w:r w:rsidR="00B52859">
        <w:t xml:space="preserve">isclosed in the balance sheet. </w:t>
      </w:r>
      <w:r>
        <w:t>The exposure to liquidity risk is deemed insignificant based on prior periods’ data and current assessment of risk.</w:t>
      </w:r>
    </w:p>
    <w:p w:rsidR="00F423CA" w:rsidRDefault="004E2DCE">
      <w:pPr>
        <w:pStyle w:val="H4A"/>
      </w:pPr>
      <w:r>
        <w:lastRenderedPageBreak/>
        <w:t>Financial instruments: market risk</w:t>
      </w:r>
    </w:p>
    <w:p w:rsidR="00F423CA" w:rsidRDefault="004E2DCE">
      <w:pPr>
        <w:pStyle w:val="Bodycopy"/>
      </w:pPr>
      <w:r>
        <w:rPr>
          <w:spacing w:val="-3"/>
        </w:rPr>
        <w:t xml:space="preserve">Market risk is the risk that the fair value of future cash flows of a financial instrument will fluctuate because </w:t>
      </w:r>
      <w:r w:rsidR="00EE1882">
        <w:t xml:space="preserve">of changes in market prices. </w:t>
      </w:r>
      <w:r>
        <w:t>The department’s exposures to market risk are insignificant and primarily through interest rate risk and equity price risk, with only minimal exposure to foreign currency risk.</w:t>
      </w:r>
    </w:p>
    <w:p w:rsidR="00F423CA" w:rsidRDefault="004E2DCE">
      <w:pPr>
        <w:pStyle w:val="H4A"/>
      </w:pPr>
      <w:r>
        <w:t>Interest rate risk</w:t>
      </w:r>
    </w:p>
    <w:p w:rsidR="00F423CA" w:rsidRDefault="004E2DCE">
      <w:pPr>
        <w:pStyle w:val="Bodycopy"/>
        <w:rPr>
          <w:spacing w:val="-2"/>
        </w:rPr>
      </w:pPr>
      <w:r>
        <w:t xml:space="preserve">Fair value interest rate risk is the risk that the fair value of a financial instrument will fluctuate because of changes in market interest rates.  The department does not hold any interest bearing financial </w:t>
      </w:r>
      <w:r>
        <w:rPr>
          <w:spacing w:val="-2"/>
        </w:rPr>
        <w:t>instruments that are measured at fair value, and therefore has no exposure to fair value interest rate risk.</w:t>
      </w:r>
    </w:p>
    <w:p w:rsidRPr="00666023" w:rsidR="00F423CA" w:rsidRDefault="004E2DCE">
      <w:pPr>
        <w:pStyle w:val="Bodycopy"/>
        <w:rPr>
          <w:spacing w:val="-4"/>
        </w:rPr>
      </w:pPr>
      <w:r w:rsidRPr="00666023">
        <w:rPr>
          <w:spacing w:val="-4"/>
        </w:rPr>
        <w:t>Cash flow interest rate risk is the risk that future cash flows of a financial instrument will fluctuate because of cha</w:t>
      </w:r>
      <w:r w:rsidRPr="00666023" w:rsidR="00EE1882">
        <w:rPr>
          <w:spacing w:val="-4"/>
        </w:rPr>
        <w:t xml:space="preserve">nges in market interest rates. </w:t>
      </w:r>
      <w:r w:rsidRPr="00666023">
        <w:rPr>
          <w:spacing w:val="-4"/>
        </w:rPr>
        <w:t>The department has minimal exposure to cash flow interest rate risks through its cash and deposits that are at floating rate.</w:t>
      </w:r>
    </w:p>
    <w:p w:rsidR="00F423CA" w:rsidRDefault="004E2DCE">
      <w:pPr>
        <w:pStyle w:val="Bodycopy"/>
      </w:pPr>
      <w:r>
        <w:t>Interest rate exposures are insignificant and arise predominantly from assets bearing variable interest rates.</w:t>
      </w:r>
    </w:p>
    <w:p w:rsidRPr="00EE1882" w:rsidR="00F423CA" w:rsidRDefault="004E2DCE">
      <w:pPr>
        <w:pStyle w:val="Bodycopy"/>
        <w:rPr>
          <w:spacing w:val="-2"/>
        </w:rPr>
      </w:pPr>
      <w:r w:rsidRPr="00EE1882">
        <w:rPr>
          <w:spacing w:val="-2"/>
        </w:rPr>
        <w:t>The carrying amounts of financial assets and financial liabilities that are exposed to interest rates are set out in the following table.</w:t>
      </w:r>
    </w:p>
    <w:p w:rsidR="00F423CA" w:rsidRDefault="004E2DCE">
      <w:pPr>
        <w:pStyle w:val="H4A"/>
      </w:pPr>
      <w:r>
        <w:t>Interest rate exposure of financial instruments</w:t>
      </w:r>
      <w:r>
        <w:rPr>
          <w:rStyle w:val="Superscript"/>
          <w:i w:val="false"/>
          <w:iCs w:val="false"/>
        </w:rPr>
        <w:t xml:space="preserve"> (</w:t>
      </w:r>
      <w:proofErr w:type="spellStart"/>
      <w:r>
        <w:rPr>
          <w:rStyle w:val="Superscript"/>
          <w:i w:val="false"/>
          <w:iCs w:val="false"/>
        </w:rPr>
        <w:t>i</w:t>
      </w:r>
      <w:proofErr w:type="spellEnd"/>
      <w:r>
        <w:rPr>
          <w:rStyle w:val="Superscript"/>
          <w:i w:val="false"/>
          <w:iCs w:val="false"/>
        </w:rPr>
        <w:t>)</w:t>
      </w:r>
    </w:p>
    <w:tbl>
      <w:tblPr>
        <w:tblW w:w="0" w:type="auto"/>
        <w:tblInd w:w="57" w:type="dxa"/>
        <w:tblLayout w:type="fixed"/>
        <w:tblCellMar>
          <w:left w:w="0" w:type="dxa"/>
          <w:right w:w="0" w:type="dxa"/>
        </w:tblCellMar>
        <w:tblLook w:firstRow="0" w:lastRow="0" w:firstColumn="0" w:lastColumn="0" w:noHBand="0" w:noVBand="0" w:val="0000"/>
      </w:tblPr>
      <w:tblGrid>
        <w:gridCol w:w="1984"/>
        <w:gridCol w:w="1985"/>
        <w:gridCol w:w="850"/>
        <w:gridCol w:w="850"/>
        <w:gridCol w:w="1134"/>
        <w:gridCol w:w="1134"/>
        <w:gridCol w:w="1134"/>
      </w:tblGrid>
      <w:tr w:rsidRPr="00B52859" w:rsidR="00F423CA" w:rsidTr="00B52859">
        <w:trPr>
          <w:trHeight w:val="113"/>
          <w:tblHeader/>
        </w:trPr>
        <w:tc>
          <w:tcPr>
            <w:tcW w:w="9071"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 thousand)</w:t>
            </w:r>
          </w:p>
        </w:tc>
      </w:tr>
      <w:tr w:rsidRPr="00B52859" w:rsidR="00F423CA" w:rsidTr="00B52859">
        <w:trPr>
          <w:trHeight w:val="113"/>
          <w:tblHeader/>
        </w:trPr>
        <w:tc>
          <w:tcPr>
            <w:tcW w:w="198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color w:val="542E8E"/>
              </w:rPr>
              <w:t>2018</w:t>
            </w:r>
          </w:p>
        </w:tc>
        <w:tc>
          <w:tcPr>
            <w:tcW w:w="2835"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Weighted average</w:t>
            </w:r>
            <w:r w:rsidRPr="00B52859">
              <w:rPr>
                <w:rStyle w:val="medium"/>
                <w:b/>
                <w:bCs/>
                <w:color w:val="542E8E"/>
              </w:rPr>
              <w:br/>
              <w:t>interest rate %</w:t>
            </w:r>
          </w:p>
        </w:tc>
        <w:tc>
          <w:tcPr>
            <w:tcW w:w="85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Carrying amount</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Fixed</w:t>
            </w:r>
            <w:r w:rsidRPr="00B52859">
              <w:rPr>
                <w:rStyle w:val="medium"/>
                <w:b/>
                <w:bCs/>
                <w:color w:val="542E8E"/>
              </w:rPr>
              <w:br/>
              <w:t>interest rate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Variable interest rate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B52859" w:rsidR="00F423CA" w:rsidP="00B52859" w:rsidRDefault="004E2DCE">
            <w:pPr>
              <w:pStyle w:val="bodytableLtable"/>
              <w:spacing w:after="0" w:line="240" w:lineRule="auto"/>
              <w:jc w:val="right"/>
            </w:pPr>
            <w:r w:rsidRPr="00B52859">
              <w:rPr>
                <w:rStyle w:val="medium"/>
                <w:b/>
                <w:bCs/>
                <w:color w:val="542E8E"/>
              </w:rPr>
              <w:t>Non-interest bearing</w:t>
            </w:r>
          </w:p>
        </w:tc>
      </w:tr>
      <w:tr w:rsidRPr="00B52859" w:rsidR="00F423CA" w:rsidTr="00B52859">
        <w:trPr>
          <w:trHeight w:val="113"/>
        </w:trPr>
        <w:tc>
          <w:tcPr>
            <w:tcW w:w="9071" w:type="dxa"/>
            <w:gridSpan w:val="7"/>
            <w:tcBorders>
              <w:top w:val="single" w:color="000000" w:sz="8" w:space="0"/>
              <w:left w:val="nil"/>
              <w:bottom w:val="nil"/>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Financial assets</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pPr>
            <w:r w:rsidRPr="00B52859">
              <w:t>Cash and deposits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1.95%</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90,767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19,560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2,531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68,676 </w:t>
            </w:r>
          </w:p>
        </w:tc>
      </w:tr>
      <w:tr w:rsidRPr="00B52859" w:rsidR="00F423CA" w:rsidTr="00666023">
        <w:trPr>
          <w:trHeight w:val="113"/>
        </w:trPr>
        <w:tc>
          <w:tcPr>
            <w:tcW w:w="9071" w:type="dxa"/>
            <w:gridSpan w:val="7"/>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pPr>
            <w:r w:rsidRPr="00B52859">
              <w:t>Receivables</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ind w:left="227" w:hanging="227"/>
            </w:pPr>
            <w:r w:rsidRPr="00B52859">
              <w:t>Advance to Metropolitan Fire and Emergency Services Board</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1,189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1,189 </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ind w:left="227" w:hanging="227"/>
            </w:pPr>
            <w:r w:rsidRPr="00B52859">
              <w:t>Accrued interest income</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0.99%</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2,214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2,214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ind w:left="227" w:hanging="227"/>
            </w:pPr>
            <w:r w:rsidRPr="00B52859">
              <w:t>Other receivables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13,568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13,568 </w:t>
            </w:r>
          </w:p>
        </w:tc>
      </w:tr>
      <w:tr w:rsidRPr="00B52859" w:rsidR="00F423CA" w:rsidTr="00666023">
        <w:trPr>
          <w:trHeight w:val="113"/>
        </w:trPr>
        <w:tc>
          <w:tcPr>
            <w:tcW w:w="9071" w:type="dxa"/>
            <w:gridSpan w:val="7"/>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pPr>
            <w:r w:rsidRPr="00B52859">
              <w:t>Investments and other contractual financial assets</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ind w:left="227" w:hanging="227"/>
            </w:pPr>
            <w:r w:rsidRPr="00B52859">
              <w:t>Term deposits &gt; 3 months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2.04%</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24,654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24,654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r>
      <w:tr w:rsidRPr="00B52859" w:rsidR="00F423CA" w:rsidTr="00B52859">
        <w:trPr>
          <w:trHeight w:val="113"/>
        </w:trPr>
        <w:tc>
          <w:tcPr>
            <w:tcW w:w="3969" w:type="dxa"/>
            <w:gridSpan w:val="2"/>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ind w:left="227" w:hanging="227"/>
            </w:pPr>
            <w:r w:rsidRPr="00B52859">
              <w:t>Managed investment schemes</w:t>
            </w: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222,049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222,049 </w:t>
            </w:r>
          </w:p>
        </w:tc>
      </w:tr>
      <w:tr w:rsidRPr="00B52859" w:rsidR="00F423CA" w:rsidTr="00B52859">
        <w:trPr>
          <w:trHeight w:val="113"/>
        </w:trPr>
        <w:tc>
          <w:tcPr>
            <w:tcW w:w="39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Total financial assets</w:t>
            </w: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354,441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46,428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2,531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305,482 </w:t>
            </w:r>
          </w:p>
        </w:tc>
      </w:tr>
      <w:tr w:rsidRPr="00B52859" w:rsidR="00F423CA" w:rsidTr="00B52859">
        <w:trPr>
          <w:trHeight w:val="113"/>
        </w:trPr>
        <w:tc>
          <w:tcPr>
            <w:tcW w:w="3969" w:type="dxa"/>
            <w:gridSpan w:val="2"/>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Financial liabilities</w:t>
            </w:r>
          </w:p>
        </w:tc>
        <w:tc>
          <w:tcPr>
            <w:tcW w:w="850"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pPr>
            <w:r w:rsidRPr="00B52859">
              <w:t>Payables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ind w:left="227" w:hanging="227"/>
            </w:pPr>
            <w:r w:rsidRPr="00B52859">
              <w:t>Trade creditors and other payables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259,601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259,601 </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ind w:left="227" w:hanging="227"/>
            </w:pPr>
            <w:r w:rsidRPr="00B52859">
              <w:t>Accrued capital works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56,991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56,991 </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ind w:left="227" w:hanging="227"/>
            </w:pPr>
            <w:r w:rsidRPr="00B52859">
              <w:t>Salaries and wages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19,279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Rtable"/>
              <w:spacing w:after="0" w:line="240" w:lineRule="auto"/>
            </w:pPr>
            <w:r w:rsidRPr="00B52859">
              <w:t xml:space="preserve">19,279 </w:t>
            </w:r>
          </w:p>
        </w:tc>
      </w:tr>
      <w:tr w:rsidRPr="00B52859"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B52859" w:rsidR="00F423CA" w:rsidP="00B52859" w:rsidRDefault="004E2DCE">
            <w:pPr>
              <w:pStyle w:val="bodytableLtable"/>
              <w:spacing w:after="0" w:line="240" w:lineRule="auto"/>
            </w:pPr>
            <w:r w:rsidRPr="00B52859">
              <w:t>Borrowings</w:t>
            </w: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r>
      <w:tr w:rsidRPr="00B52859" w:rsidR="00F423CA" w:rsidTr="00B52859">
        <w:trPr>
          <w:trHeight w:val="113"/>
        </w:trPr>
        <w:tc>
          <w:tcPr>
            <w:tcW w:w="3969" w:type="dxa"/>
            <w:gridSpan w:val="2"/>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ind w:left="227" w:hanging="227"/>
            </w:pPr>
            <w:r w:rsidRPr="00B52859">
              <w:t>Finance lease liabilities</w:t>
            </w: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9.30%</w:t>
            </w: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651,888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651,888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0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t xml:space="preserve">0 </w:t>
            </w:r>
          </w:p>
        </w:tc>
      </w:tr>
      <w:tr w:rsidRPr="00B52859" w:rsidR="00F423CA" w:rsidTr="00B52859">
        <w:trPr>
          <w:trHeight w:val="113"/>
        </w:trPr>
        <w:tc>
          <w:tcPr>
            <w:tcW w:w="39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Ltable"/>
              <w:spacing w:after="0" w:line="240" w:lineRule="auto"/>
            </w:pPr>
            <w:r w:rsidRPr="00B52859">
              <w:rPr>
                <w:rStyle w:val="medium"/>
                <w:b/>
                <w:bCs/>
              </w:rPr>
              <w:t>Total financial liabilities</w:t>
            </w: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F423CA">
            <w:pPr>
              <w:pStyle w:val="NoParagraphStyle"/>
              <w:spacing w:line="240" w:lineRule="auto"/>
              <w:textAlignment w:val="auto"/>
              <w:rPr>
                <w:rFonts w:ascii="Arial" w:hAnsi="Arial" w:cs="Arial"/>
                <w:color w:val="auto"/>
                <w:sz w:val="16"/>
                <w:szCs w:val="16"/>
              </w:rPr>
            </w:pP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987,759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651,888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0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B52859" w:rsidR="00F423CA" w:rsidP="00B52859" w:rsidRDefault="004E2DCE">
            <w:pPr>
              <w:pStyle w:val="bodytableRtable"/>
              <w:spacing w:after="0" w:line="240" w:lineRule="auto"/>
            </w:pPr>
            <w:r w:rsidRPr="00B52859">
              <w:rPr>
                <w:rStyle w:val="medium"/>
                <w:b/>
                <w:bCs/>
              </w:rPr>
              <w:t xml:space="preserve">335,871 </w:t>
            </w:r>
          </w:p>
        </w:tc>
      </w:tr>
    </w:tbl>
    <w:p w:rsidRPr="00EE1882" w:rsidR="00F423CA" w:rsidP="00666023" w:rsidRDefault="00F423CA">
      <w:pPr>
        <w:pStyle w:val="notestable"/>
      </w:pPr>
    </w:p>
    <w:tbl>
      <w:tblPr>
        <w:tblW w:w="0" w:type="auto"/>
        <w:tblInd w:w="57" w:type="dxa"/>
        <w:tblLayout w:type="fixed"/>
        <w:tblCellMar>
          <w:left w:w="0" w:type="dxa"/>
          <w:right w:w="0" w:type="dxa"/>
        </w:tblCellMar>
        <w:tblLook w:firstRow="0" w:lastRow="0" w:firstColumn="0" w:lastColumn="0" w:noHBand="0" w:noVBand="0" w:val="0000"/>
      </w:tblPr>
      <w:tblGrid>
        <w:gridCol w:w="1984"/>
        <w:gridCol w:w="1985"/>
        <w:gridCol w:w="850"/>
        <w:gridCol w:w="850"/>
        <w:gridCol w:w="1134"/>
        <w:gridCol w:w="1134"/>
        <w:gridCol w:w="1134"/>
      </w:tblGrid>
      <w:tr w:rsidRPr="00EE1882" w:rsidR="00F423CA" w:rsidTr="00EE1882">
        <w:trPr>
          <w:trHeight w:val="113"/>
          <w:tblHeader/>
        </w:trPr>
        <w:tc>
          <w:tcPr>
            <w:tcW w:w="9071" w:type="dxa"/>
            <w:gridSpan w:val="7"/>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color w:val="542E8E"/>
              </w:rPr>
              <w:t>($ thousand)</w:t>
            </w:r>
          </w:p>
        </w:tc>
      </w:tr>
      <w:tr w:rsidRPr="00EE1882" w:rsidR="00F423CA" w:rsidTr="00EE1882">
        <w:trPr>
          <w:trHeight w:val="113"/>
          <w:tblHeader/>
        </w:trPr>
        <w:tc>
          <w:tcPr>
            <w:tcW w:w="198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EE1882" w:rsidR="00F423CA" w:rsidP="00EE1882" w:rsidRDefault="004E2DCE">
            <w:pPr>
              <w:pStyle w:val="bodytableLtable"/>
              <w:spacing w:after="0" w:line="240" w:lineRule="auto"/>
            </w:pPr>
            <w:r w:rsidRPr="00EE1882">
              <w:rPr>
                <w:rStyle w:val="medium"/>
                <w:b/>
                <w:bCs/>
                <w:color w:val="542E8E"/>
              </w:rPr>
              <w:t>2017</w:t>
            </w:r>
          </w:p>
        </w:tc>
        <w:tc>
          <w:tcPr>
            <w:tcW w:w="2835"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color w:val="542E8E"/>
              </w:rPr>
              <w:t>Weighted average</w:t>
            </w:r>
            <w:r w:rsidRPr="00EE1882">
              <w:rPr>
                <w:rStyle w:val="medium"/>
                <w:b/>
                <w:bCs/>
                <w:color w:val="542E8E"/>
              </w:rPr>
              <w:br/>
              <w:t xml:space="preserve"> interest rate %</w:t>
            </w:r>
          </w:p>
        </w:tc>
        <w:tc>
          <w:tcPr>
            <w:tcW w:w="850"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color w:val="542E8E"/>
              </w:rPr>
              <w:t>Carrying amount</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color w:val="542E8E"/>
              </w:rPr>
              <w:t>Fixed</w:t>
            </w:r>
            <w:r w:rsidRPr="00EE1882">
              <w:rPr>
                <w:rStyle w:val="medium"/>
                <w:b/>
                <w:bCs/>
                <w:color w:val="542E8E"/>
              </w:rPr>
              <w:br/>
              <w:t>interest rate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color w:val="542E8E"/>
              </w:rPr>
              <w:t>Variable interest rate</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color w:val="542E8E"/>
              </w:rPr>
              <w:t>Non-interest bearing</w:t>
            </w:r>
          </w:p>
        </w:tc>
      </w:tr>
      <w:tr w:rsidRPr="00EE1882" w:rsidR="00F423CA" w:rsidTr="00EE1882">
        <w:trPr>
          <w:trHeight w:val="113"/>
        </w:trPr>
        <w:tc>
          <w:tcPr>
            <w:tcW w:w="9071" w:type="dxa"/>
            <w:gridSpan w:val="7"/>
            <w:tcBorders>
              <w:top w:val="single" w:color="000000" w:sz="8" w:space="0"/>
              <w:left w:val="nil"/>
              <w:bottom w:val="nil"/>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pPr>
            <w:r w:rsidRPr="00EE1882">
              <w:rPr>
                <w:rStyle w:val="medium"/>
                <w:b/>
                <w:bCs/>
              </w:rPr>
              <w:t>Financial assets</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pPr>
            <w:r w:rsidRPr="00EE1882">
              <w:t>Cash and deposits</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1.61%</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90,036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30,754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1,025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58,257 </w:t>
            </w:r>
          </w:p>
        </w:tc>
      </w:tr>
      <w:tr w:rsidRPr="00EE1882" w:rsidR="00F423CA" w:rsidTr="00666023">
        <w:trPr>
          <w:trHeight w:val="113"/>
        </w:trPr>
        <w:tc>
          <w:tcPr>
            <w:tcW w:w="9071" w:type="dxa"/>
            <w:gridSpan w:val="7"/>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pPr>
            <w:r w:rsidRPr="00EE1882">
              <w:t>Receivables</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ind w:left="227" w:hanging="227"/>
            </w:pPr>
            <w:r w:rsidRPr="00EE1882">
              <w:t>Advance to Metropolitan Fire and Emergency Services Board</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1,427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1,427 </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ind w:left="227" w:hanging="227"/>
            </w:pPr>
            <w:r w:rsidRPr="00EE1882">
              <w:t xml:space="preserve">Accrued interest income </w:t>
            </w:r>
            <w:r w:rsidRPr="00EE1882">
              <w:rPr>
                <w:rStyle w:val="Superscript"/>
              </w:rPr>
              <w:t>(ii)</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1.62%</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3,157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3,157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ind w:left="227" w:hanging="227"/>
            </w:pPr>
            <w:r w:rsidRPr="00EE1882">
              <w:t xml:space="preserve">Other receivables </w:t>
            </w:r>
            <w:r w:rsidRPr="00EE1882">
              <w:rPr>
                <w:rStyle w:val="Superscript"/>
              </w:rPr>
              <w:t>(ii)</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5,514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5,514 </w:t>
            </w:r>
          </w:p>
        </w:tc>
      </w:tr>
      <w:tr w:rsidRPr="00EE1882" w:rsidR="00F423CA" w:rsidTr="00666023">
        <w:trPr>
          <w:trHeight w:val="113"/>
        </w:trPr>
        <w:tc>
          <w:tcPr>
            <w:tcW w:w="9071" w:type="dxa"/>
            <w:gridSpan w:val="7"/>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pPr>
            <w:r w:rsidRPr="00EE1882">
              <w:t>Investments and other contractual financial assets</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ind w:left="227" w:hanging="227"/>
            </w:pPr>
            <w:r w:rsidRPr="00EE1882">
              <w:t>Term deposits &gt; 3 months</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2.01%</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100,000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100,000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r>
      <w:tr w:rsidRPr="00EE1882" w:rsidR="00F423CA" w:rsidTr="00EE1882">
        <w:trPr>
          <w:trHeight w:val="113"/>
        </w:trPr>
        <w:tc>
          <w:tcPr>
            <w:tcW w:w="3969" w:type="dxa"/>
            <w:gridSpan w:val="2"/>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ind w:left="227" w:hanging="227"/>
            </w:pPr>
            <w:r w:rsidRPr="00EE1882">
              <w:t>Managed investment schemes</w:t>
            </w: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234,124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234,124 </w:t>
            </w:r>
          </w:p>
        </w:tc>
      </w:tr>
      <w:tr w:rsidRPr="00EE1882" w:rsidR="00F423CA" w:rsidTr="00EE1882">
        <w:trPr>
          <w:trHeight w:val="113"/>
        </w:trPr>
        <w:tc>
          <w:tcPr>
            <w:tcW w:w="39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pPr>
            <w:r w:rsidRPr="00EE1882">
              <w:rPr>
                <w:rStyle w:val="medium"/>
                <w:b/>
                <w:bCs/>
              </w:rPr>
              <w:t>Total financial assets</w:t>
            </w: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434,258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133,911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1,025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299,322 </w:t>
            </w:r>
          </w:p>
        </w:tc>
      </w:tr>
      <w:tr w:rsidRPr="00EE1882" w:rsidR="00F423CA" w:rsidTr="00EE1882">
        <w:trPr>
          <w:trHeight w:val="113"/>
        </w:trPr>
        <w:tc>
          <w:tcPr>
            <w:tcW w:w="9071" w:type="dxa"/>
            <w:gridSpan w:val="7"/>
            <w:tcBorders>
              <w:top w:val="single" w:color="000000" w:sz="6" w:space="0"/>
              <w:left w:val="nil"/>
              <w:bottom w:val="nil"/>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pPr>
            <w:r w:rsidRPr="00EE1882">
              <w:rPr>
                <w:rStyle w:val="medium"/>
                <w:b/>
                <w:bCs/>
              </w:rPr>
              <w:t>Financial liabilities</w:t>
            </w:r>
          </w:p>
        </w:tc>
      </w:tr>
      <w:tr w:rsidRPr="00EE1882" w:rsidR="00F423CA" w:rsidTr="00666023">
        <w:trPr>
          <w:trHeight w:val="113"/>
        </w:trPr>
        <w:tc>
          <w:tcPr>
            <w:tcW w:w="9071" w:type="dxa"/>
            <w:gridSpan w:val="7"/>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pPr>
            <w:r w:rsidRPr="00EE1882">
              <w:t>Payables</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ind w:left="227" w:hanging="227"/>
            </w:pPr>
            <w:r w:rsidRPr="00EE1882">
              <w:t>Trade creditors and other payables</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196,857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196,857 </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ind w:left="227" w:hanging="227"/>
            </w:pPr>
            <w:r w:rsidRPr="00EE1882">
              <w:t>Accrued capital works</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21,151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21,151 </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ind w:left="227" w:hanging="227"/>
            </w:pPr>
            <w:r w:rsidRPr="00EE1882">
              <w:t>Salaries and wages</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14,908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jc w:val="right"/>
            </w:pPr>
            <w:r w:rsidRPr="00EE1882">
              <w:t xml:space="preserve">14,908 </w:t>
            </w:r>
          </w:p>
        </w:tc>
      </w:tr>
      <w:tr w:rsidRPr="00EE1882" w:rsidR="00F423CA" w:rsidTr="00666023">
        <w:trPr>
          <w:trHeight w:val="113"/>
        </w:trPr>
        <w:tc>
          <w:tcPr>
            <w:tcW w:w="3969" w:type="dxa"/>
            <w:gridSpan w:val="2"/>
            <w:tcBorders>
              <w:top w:val="nil"/>
              <w:left w:val="nil"/>
              <w:bottom w:val="nil"/>
              <w:right w:val="nil"/>
            </w:tcBorders>
            <w:tcMar>
              <w:top w:w="28" w:type="dxa"/>
              <w:left w:w="57" w:type="dxa"/>
              <w:bottom w:w="0" w:type="dxa"/>
              <w:right w:w="57" w:type="dxa"/>
            </w:tcMar>
            <w:vAlign w:val="bottom"/>
          </w:tcPr>
          <w:p w:rsidRPr="00EE1882" w:rsidR="00F423CA" w:rsidP="00EE1882" w:rsidRDefault="004E2DCE">
            <w:pPr>
              <w:pStyle w:val="bodytableLtable"/>
              <w:spacing w:after="0" w:line="240" w:lineRule="auto"/>
            </w:pPr>
            <w:r w:rsidRPr="00EE1882">
              <w:t>Borrowings</w:t>
            </w: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1134" w:type="dxa"/>
            <w:tcBorders>
              <w:top w:val="nil"/>
              <w:left w:val="nil"/>
              <w:bottom w:val="nil"/>
              <w:right w:val="nil"/>
            </w:tcBorders>
            <w:tcMar>
              <w:top w:w="28" w:type="dxa"/>
              <w:left w:w="57" w:type="dxa"/>
              <w:bottom w:w="0"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r>
      <w:tr w:rsidRPr="00EE1882" w:rsidR="00F423CA" w:rsidTr="00EE1882">
        <w:trPr>
          <w:trHeight w:val="113"/>
        </w:trPr>
        <w:tc>
          <w:tcPr>
            <w:tcW w:w="3969" w:type="dxa"/>
            <w:gridSpan w:val="2"/>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ind w:left="227" w:hanging="227"/>
            </w:pPr>
            <w:r w:rsidRPr="00EE1882">
              <w:t>- Finance lease liabilities</w:t>
            </w: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8.03%</w:t>
            </w:r>
          </w:p>
        </w:tc>
        <w:tc>
          <w:tcPr>
            <w:tcW w:w="850"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192,657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192,657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c>
          <w:tcPr>
            <w:tcW w:w="1134" w:type="dxa"/>
            <w:tcBorders>
              <w:top w:val="nil"/>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t xml:space="preserve">0 </w:t>
            </w:r>
          </w:p>
        </w:tc>
      </w:tr>
      <w:tr w:rsidRPr="00EE1882" w:rsidR="00F423CA" w:rsidTr="00EE1882">
        <w:trPr>
          <w:trHeight w:val="113"/>
        </w:trPr>
        <w:tc>
          <w:tcPr>
            <w:tcW w:w="3969" w:type="dxa"/>
            <w:gridSpan w:val="2"/>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pPr>
            <w:r w:rsidRPr="00EE1882">
              <w:rPr>
                <w:rStyle w:val="medium"/>
                <w:b/>
                <w:bCs/>
              </w:rPr>
              <w:t>Total financial liabilities</w:t>
            </w: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F423CA">
            <w:pPr>
              <w:pStyle w:val="NoParagraphStyle"/>
              <w:spacing w:line="240" w:lineRule="auto"/>
              <w:textAlignment w:val="auto"/>
              <w:rPr>
                <w:rFonts w:ascii="Arial" w:hAnsi="Arial" w:cs="Arial"/>
                <w:color w:val="auto"/>
                <w:sz w:val="16"/>
                <w:szCs w:val="16"/>
              </w:rPr>
            </w:pPr>
          </w:p>
        </w:tc>
        <w:tc>
          <w:tcPr>
            <w:tcW w:w="850"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425,573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192,657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0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EE1882" w:rsidR="00F423CA" w:rsidP="00EE1882" w:rsidRDefault="004E2DCE">
            <w:pPr>
              <w:pStyle w:val="bodytableLtable"/>
              <w:spacing w:after="0" w:line="240" w:lineRule="auto"/>
              <w:jc w:val="right"/>
            </w:pPr>
            <w:r w:rsidRPr="00EE1882">
              <w:rPr>
                <w:rStyle w:val="medium"/>
                <w:b/>
                <w:bCs/>
              </w:rPr>
              <w:t xml:space="preserve">232,916 </w:t>
            </w:r>
          </w:p>
        </w:tc>
      </w:tr>
    </w:tbl>
    <w:p w:rsidR="00F423CA" w:rsidP="00666023" w:rsidRDefault="004E2DCE">
      <w:pPr>
        <w:pStyle w:val="notestable"/>
        <w:spacing w:before="60"/>
        <w:ind w:left="227" w:hanging="227"/>
      </w:pPr>
      <w:r>
        <w:t>(</w:t>
      </w:r>
      <w:proofErr w:type="spellStart"/>
      <w:r>
        <w:t>i</w:t>
      </w:r>
      <w:proofErr w:type="spellEnd"/>
      <w:r>
        <w:t>)</w:t>
      </w:r>
      <w:r>
        <w:tab/>
        <w:t>Amounts disclosed in this table exclude statutory amounts (e.g. amounts owing from Victorian Government and GST input tax credit recoverable).</w:t>
      </w:r>
    </w:p>
    <w:p w:rsidR="00F423CA" w:rsidRDefault="004E2DCE">
      <w:pPr>
        <w:pStyle w:val="notestable"/>
        <w:ind w:left="227" w:hanging="227"/>
      </w:pPr>
      <w:r>
        <w:t>(ii)</w:t>
      </w:r>
      <w:r>
        <w:tab/>
        <w:t>The 2016-17 comparative has been adjusted to reclassify a receivable from accrued interest income to other receivables.</w:t>
      </w:r>
    </w:p>
    <w:p w:rsidR="00F423CA" w:rsidRDefault="004E2DCE">
      <w:pPr>
        <w:pStyle w:val="H4A"/>
      </w:pPr>
      <w:r>
        <w:lastRenderedPageBreak/>
        <w:t>Equity price risk</w:t>
      </w:r>
    </w:p>
    <w:p w:rsidR="00F423CA" w:rsidRDefault="004E2DCE">
      <w:pPr>
        <w:pStyle w:val="Bodycopy"/>
      </w:pPr>
      <w:r>
        <w:t>The department is exposed to equity price risk through its managed investment schemes.  The department appointed the Victorian Funds Management Corporation to manage its investment portfolio in accordance with the Investment Risk Management Plan approved by the Treasurer.</w:t>
      </w:r>
    </w:p>
    <w:p w:rsidR="00F423CA" w:rsidRDefault="004E2DCE">
      <w:pPr>
        <w:pStyle w:val="H4A"/>
      </w:pPr>
      <w:r>
        <w:t>Foreign currency risk</w:t>
      </w:r>
    </w:p>
    <w:p w:rsidR="00F423CA" w:rsidRDefault="004E2DCE">
      <w:pPr>
        <w:pStyle w:val="Bodycopy"/>
      </w:pPr>
      <w:r>
        <w:t>The department is not exposed to significant foreign currency risk through its payables relating to purchases of supplies from overseas. This is because of a limited amount of purchases denominated in foreign currencies and a short timeframe between commitment and settlement.</w:t>
      </w:r>
    </w:p>
    <w:p w:rsidR="00F423CA" w:rsidRDefault="004E2DCE">
      <w:pPr>
        <w:pStyle w:val="H4A"/>
      </w:pPr>
      <w:r>
        <w:t>Market risk sensitivity</w:t>
      </w:r>
    </w:p>
    <w:p w:rsidR="00F423CA" w:rsidRDefault="004E2DCE">
      <w:pPr>
        <w:pStyle w:val="Bodycopy"/>
      </w:pPr>
      <w:r>
        <w:t>Taking into account past performance and future expectations, the department believes the following movements are reasonably possible over the next 12 months.</w:t>
      </w:r>
    </w:p>
    <w:tbl>
      <w:tblPr>
        <w:tblW w:w="0" w:type="auto"/>
        <w:tblInd w:w="57" w:type="dxa"/>
        <w:tblLayout w:type="fixed"/>
        <w:tblCellMar>
          <w:left w:w="0" w:type="dxa"/>
          <w:right w:w="0" w:type="dxa"/>
        </w:tblCellMar>
        <w:tblLook w:firstRow="0" w:lastRow="0" w:firstColumn="0" w:lastColumn="0" w:noHBand="0" w:noVBand="0" w:val="0000"/>
      </w:tblPr>
      <w:tblGrid>
        <w:gridCol w:w="3383"/>
        <w:gridCol w:w="1134"/>
        <w:gridCol w:w="1133"/>
        <w:gridCol w:w="1134"/>
        <w:gridCol w:w="1134"/>
        <w:gridCol w:w="1134"/>
      </w:tblGrid>
      <w:tr w:rsidRPr="00666023" w:rsidR="00F423CA" w:rsidTr="00666023">
        <w:trPr>
          <w:trHeight w:val="113"/>
          <w:tblHeader/>
        </w:trPr>
        <w:tc>
          <w:tcPr>
            <w:tcW w:w="3383"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3"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4E2DCE">
            <w:pPr>
              <w:pStyle w:val="bodytableLtable"/>
              <w:spacing w:after="0" w:line="240" w:lineRule="auto"/>
              <w:jc w:val="right"/>
            </w:pPr>
            <w:r w:rsidRPr="00666023">
              <w:rPr>
                <w:rStyle w:val="medium"/>
                <w:b/>
                <w:bCs/>
                <w:color w:val="542E8E"/>
              </w:rPr>
              <w:t>($ thousand)</w:t>
            </w:r>
          </w:p>
        </w:tc>
      </w:tr>
      <w:tr w:rsidRPr="00666023" w:rsidR="00F423CA" w:rsidTr="00666023">
        <w:trPr>
          <w:trHeight w:val="113"/>
          <w:tblHeader/>
        </w:trPr>
        <w:tc>
          <w:tcPr>
            <w:tcW w:w="3383" w:type="dxa"/>
            <w:vMerge w:val="restart"/>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vMerge w:val="restart"/>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4E2DCE">
            <w:pPr>
              <w:pStyle w:val="bodytableLtable"/>
              <w:spacing w:after="0" w:line="240" w:lineRule="auto"/>
              <w:jc w:val="right"/>
            </w:pPr>
            <w:r w:rsidRPr="00666023">
              <w:rPr>
                <w:rStyle w:val="medium"/>
                <w:b/>
                <w:bCs/>
                <w:color w:val="542E8E"/>
              </w:rPr>
              <w:t>Carrying amount</w:t>
            </w:r>
          </w:p>
        </w:tc>
        <w:tc>
          <w:tcPr>
            <w:tcW w:w="2267"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4E2DCE">
            <w:pPr>
              <w:pStyle w:val="bodytableLtable"/>
              <w:spacing w:after="0" w:line="240" w:lineRule="auto"/>
              <w:jc w:val="center"/>
            </w:pPr>
            <w:r w:rsidRPr="00666023">
              <w:rPr>
                <w:rStyle w:val="medium"/>
                <w:b/>
                <w:bCs/>
                <w:color w:val="542E8E"/>
              </w:rPr>
              <w:t>Interest rate risk</w:t>
            </w:r>
          </w:p>
        </w:tc>
        <w:tc>
          <w:tcPr>
            <w:tcW w:w="2268" w:type="dxa"/>
            <w:gridSpan w:val="2"/>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4E2DCE">
            <w:pPr>
              <w:pStyle w:val="bodytableLtable"/>
              <w:spacing w:after="0" w:line="240" w:lineRule="auto"/>
              <w:jc w:val="center"/>
            </w:pPr>
            <w:proofErr w:type="gramStart"/>
            <w:r w:rsidRPr="00666023">
              <w:rPr>
                <w:rStyle w:val="medium"/>
                <w:b/>
                <w:bCs/>
                <w:color w:val="542E8E"/>
              </w:rPr>
              <w:t>Other</w:t>
            </w:r>
            <w:proofErr w:type="gramEnd"/>
            <w:r w:rsidRPr="00666023">
              <w:rPr>
                <w:rStyle w:val="medium"/>
                <w:b/>
                <w:bCs/>
                <w:color w:val="542E8E"/>
              </w:rPr>
              <w:t xml:space="preserve"> price risk</w:t>
            </w:r>
          </w:p>
        </w:tc>
      </w:tr>
      <w:tr w:rsidRPr="00666023" w:rsidR="00F423CA" w:rsidTr="00666023">
        <w:trPr>
          <w:trHeight w:val="113"/>
          <w:tblHeader/>
        </w:trPr>
        <w:tc>
          <w:tcPr>
            <w:tcW w:w="3383" w:type="dxa"/>
            <w:vMerge/>
            <w:tcBorders>
              <w:top w:val="single" w:color="542E8E" w:sz="6" w:space="0"/>
              <w:left w:val="nil"/>
              <w:bottom w:val="single" w:color="542E8E" w:sz="6" w:space="0"/>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vMerge/>
            <w:tcBorders>
              <w:top w:val="single" w:color="542E8E" w:sz="6" w:space="0"/>
              <w:left w:val="nil"/>
              <w:bottom w:val="single" w:color="542E8E" w:sz="6" w:space="0"/>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3"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4E2DCE">
            <w:pPr>
              <w:pStyle w:val="bodytableLtable"/>
              <w:spacing w:after="0" w:line="240" w:lineRule="auto"/>
              <w:jc w:val="right"/>
            </w:pPr>
            <w:r w:rsidRPr="00666023">
              <w:rPr>
                <w:rStyle w:val="medium"/>
                <w:b/>
                <w:bCs/>
                <w:color w:val="542E8E"/>
              </w:rPr>
              <w:t xml:space="preserve">Net result </w:t>
            </w:r>
            <w:r w:rsidRPr="00666023">
              <w:rPr>
                <w:rStyle w:val="medium"/>
                <w:b/>
                <w:bCs/>
                <w:color w:val="542E8E"/>
              </w:rPr>
              <w:br/>
              <w:t>+1%</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4E2DCE">
            <w:pPr>
              <w:pStyle w:val="bodytableLtable"/>
              <w:spacing w:after="0" w:line="240" w:lineRule="auto"/>
              <w:jc w:val="right"/>
            </w:pPr>
            <w:r w:rsidRPr="00666023">
              <w:rPr>
                <w:rStyle w:val="medium"/>
                <w:b/>
                <w:bCs/>
                <w:color w:val="542E8E"/>
              </w:rPr>
              <w:t xml:space="preserve">Net result </w:t>
            </w:r>
            <w:r w:rsidRPr="00666023">
              <w:rPr>
                <w:rStyle w:val="medium"/>
                <w:b/>
                <w:bCs/>
                <w:color w:val="542E8E"/>
              </w:rPr>
              <w:br/>
              <w:t>-1%</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4E2DCE">
            <w:pPr>
              <w:pStyle w:val="bodytableLtable"/>
              <w:spacing w:after="0" w:line="240" w:lineRule="auto"/>
              <w:jc w:val="right"/>
            </w:pPr>
            <w:r w:rsidRPr="00666023">
              <w:rPr>
                <w:rStyle w:val="medium"/>
                <w:b/>
                <w:bCs/>
                <w:color w:val="542E8E"/>
              </w:rPr>
              <w:t xml:space="preserve">Net result </w:t>
            </w:r>
            <w:r w:rsidRPr="00666023">
              <w:rPr>
                <w:rStyle w:val="medium"/>
                <w:b/>
                <w:bCs/>
                <w:color w:val="542E8E"/>
              </w:rPr>
              <w:br/>
              <w:t>+10%</w:t>
            </w:r>
          </w:p>
        </w:tc>
        <w:tc>
          <w:tcPr>
            <w:tcW w:w="1134"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tcPr>
          <w:p w:rsidRPr="00666023" w:rsidR="00F423CA" w:rsidP="00666023" w:rsidRDefault="004E2DCE">
            <w:pPr>
              <w:pStyle w:val="bodytableLtable"/>
              <w:spacing w:after="0" w:line="240" w:lineRule="auto"/>
              <w:jc w:val="right"/>
            </w:pPr>
            <w:r w:rsidRPr="00666023">
              <w:rPr>
                <w:rStyle w:val="medium"/>
                <w:b/>
                <w:bCs/>
                <w:color w:val="542E8E"/>
              </w:rPr>
              <w:t xml:space="preserve">Net result </w:t>
            </w:r>
            <w:r w:rsidRPr="00666023">
              <w:rPr>
                <w:rStyle w:val="medium"/>
                <w:b/>
                <w:bCs/>
                <w:color w:val="542E8E"/>
              </w:rPr>
              <w:br/>
              <w:t>-10%</w:t>
            </w:r>
          </w:p>
        </w:tc>
      </w:tr>
      <w:tr w:rsidRPr="00666023" w:rsidR="00F423CA" w:rsidTr="00666023">
        <w:trPr>
          <w:trHeight w:val="113"/>
        </w:trPr>
        <w:tc>
          <w:tcPr>
            <w:tcW w:w="3383" w:type="dxa"/>
            <w:tcBorders>
              <w:top w:val="single" w:color="000000" w:sz="8" w:space="0"/>
              <w:left w:val="nil"/>
              <w:bottom w:val="nil"/>
              <w:right w:val="nil"/>
            </w:tcBorders>
            <w:tcMar>
              <w:top w:w="57" w:type="dxa"/>
              <w:left w:w="57" w:type="dxa"/>
              <w:bottom w:w="57" w:type="dxa"/>
              <w:right w:w="57" w:type="dxa"/>
            </w:tcMar>
          </w:tcPr>
          <w:p w:rsidRPr="00666023" w:rsidR="00F423CA" w:rsidP="00666023" w:rsidRDefault="004E2DCE">
            <w:pPr>
              <w:pStyle w:val="bodytableLtable"/>
              <w:spacing w:after="0" w:line="240" w:lineRule="auto"/>
            </w:pPr>
            <w:r w:rsidRPr="00666023">
              <w:rPr>
                <w:rStyle w:val="medium"/>
                <w:b/>
                <w:bCs/>
              </w:rPr>
              <w:t>2018</w:t>
            </w:r>
          </w:p>
        </w:tc>
        <w:tc>
          <w:tcPr>
            <w:tcW w:w="1134" w:type="dxa"/>
            <w:tcBorders>
              <w:top w:val="single" w:color="000000" w:sz="8"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3" w:type="dxa"/>
            <w:tcBorders>
              <w:top w:val="single" w:color="000000" w:sz="8"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8"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8"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8"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r>
      <w:tr w:rsidRPr="00666023" w:rsidR="00F423CA" w:rsidTr="00666023">
        <w:trPr>
          <w:trHeight w:val="113"/>
        </w:trPr>
        <w:tc>
          <w:tcPr>
            <w:tcW w:w="3383"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Ltable"/>
              <w:spacing w:after="0" w:line="240" w:lineRule="auto"/>
            </w:pPr>
            <w:r w:rsidRPr="00666023">
              <w:t>Cash and deposits</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2,531 </w:t>
            </w:r>
          </w:p>
        </w:tc>
        <w:tc>
          <w:tcPr>
            <w:tcW w:w="1133"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25 </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(25) </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0 </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0 </w:t>
            </w:r>
          </w:p>
        </w:tc>
      </w:tr>
      <w:tr w:rsidRPr="00666023" w:rsidR="00F423CA" w:rsidTr="00666023">
        <w:trPr>
          <w:trHeight w:val="113"/>
        </w:trPr>
        <w:tc>
          <w:tcPr>
            <w:tcW w:w="3383"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Ltable"/>
              <w:spacing w:after="0" w:line="240" w:lineRule="auto"/>
            </w:pPr>
            <w:r w:rsidRPr="00666023">
              <w:t>Managed investment schemes</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222,049 </w:t>
            </w:r>
          </w:p>
        </w:tc>
        <w:tc>
          <w:tcPr>
            <w:tcW w:w="1133"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0 </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0 </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22,205 </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(22,205) </w:t>
            </w:r>
          </w:p>
        </w:tc>
      </w:tr>
      <w:tr w:rsidRPr="00666023" w:rsidR="00F423CA" w:rsidTr="00666023">
        <w:trPr>
          <w:trHeight w:val="113"/>
        </w:trPr>
        <w:tc>
          <w:tcPr>
            <w:tcW w:w="3383"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Ltable"/>
              <w:spacing w:after="0" w:line="240" w:lineRule="auto"/>
            </w:pPr>
            <w:r w:rsidRPr="00666023">
              <w:rPr>
                <w:rStyle w:val="medium"/>
                <w:b/>
                <w:bCs/>
              </w:rPr>
              <w:t>Total</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224,580 </w:t>
            </w:r>
          </w:p>
        </w:tc>
        <w:tc>
          <w:tcPr>
            <w:tcW w:w="1133"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25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(25)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22,205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(22,205) </w:t>
            </w:r>
          </w:p>
        </w:tc>
      </w:tr>
      <w:tr w:rsidRPr="00666023" w:rsidR="00F423CA" w:rsidTr="00666023">
        <w:trPr>
          <w:trHeight w:val="113"/>
        </w:trPr>
        <w:tc>
          <w:tcPr>
            <w:tcW w:w="3383" w:type="dxa"/>
            <w:tcBorders>
              <w:top w:val="single" w:color="000000" w:sz="6" w:space="0"/>
              <w:left w:val="nil"/>
              <w:bottom w:val="nil"/>
              <w:right w:val="nil"/>
            </w:tcBorders>
            <w:tcMar>
              <w:top w:w="57" w:type="dxa"/>
              <w:left w:w="57" w:type="dxa"/>
              <w:bottom w:w="57" w:type="dxa"/>
              <w:right w:w="57" w:type="dxa"/>
            </w:tcMar>
          </w:tcPr>
          <w:p w:rsidRPr="00666023" w:rsidR="00F423CA" w:rsidP="00666023" w:rsidRDefault="004E2DCE">
            <w:pPr>
              <w:pStyle w:val="bodytableLtable"/>
              <w:spacing w:after="0" w:line="240" w:lineRule="auto"/>
            </w:pPr>
            <w:r w:rsidRPr="00666023">
              <w:rPr>
                <w:rStyle w:val="medium"/>
                <w:b/>
                <w:bCs/>
              </w:rPr>
              <w:t>2017</w:t>
            </w:r>
          </w:p>
        </w:tc>
        <w:tc>
          <w:tcPr>
            <w:tcW w:w="1134" w:type="dxa"/>
            <w:tcBorders>
              <w:top w:val="single" w:color="000000" w:sz="6"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3" w:type="dxa"/>
            <w:tcBorders>
              <w:top w:val="single" w:color="000000" w:sz="6"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134" w:type="dxa"/>
            <w:tcBorders>
              <w:top w:val="single" w:color="000000" w:sz="6" w:space="0"/>
              <w:left w:val="nil"/>
              <w:bottom w:val="nil"/>
              <w:right w:val="nil"/>
            </w:tcBorders>
            <w:tcMar>
              <w:top w:w="57" w:type="dxa"/>
              <w:left w:w="57" w:type="dxa"/>
              <w:bottom w:w="57" w:type="dxa"/>
              <w:right w:w="57" w:type="dxa"/>
            </w:tcMar>
          </w:tcPr>
          <w:p w:rsidRPr="00666023" w:rsidR="00F423CA" w:rsidP="00666023" w:rsidRDefault="00F423CA">
            <w:pPr>
              <w:pStyle w:val="NoParagraphStyle"/>
              <w:spacing w:line="240" w:lineRule="auto"/>
              <w:textAlignment w:val="auto"/>
              <w:rPr>
                <w:rFonts w:ascii="Arial" w:hAnsi="Arial" w:cs="Arial"/>
                <w:color w:val="auto"/>
                <w:sz w:val="16"/>
                <w:szCs w:val="16"/>
              </w:rPr>
            </w:pPr>
          </w:p>
        </w:tc>
      </w:tr>
      <w:tr w:rsidRPr="00666023" w:rsidR="00F423CA" w:rsidTr="00666023">
        <w:trPr>
          <w:trHeight w:val="113"/>
        </w:trPr>
        <w:tc>
          <w:tcPr>
            <w:tcW w:w="3383"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Ltable"/>
              <w:spacing w:after="0" w:line="240" w:lineRule="auto"/>
            </w:pPr>
            <w:r w:rsidRPr="00666023">
              <w:t>Cash and deposits</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1,025 </w:t>
            </w:r>
          </w:p>
        </w:tc>
        <w:tc>
          <w:tcPr>
            <w:tcW w:w="1133"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10 </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(10) </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0 </w:t>
            </w:r>
          </w:p>
        </w:tc>
        <w:tc>
          <w:tcPr>
            <w:tcW w:w="1134" w:type="dxa"/>
            <w:tcBorders>
              <w:top w:val="nil"/>
              <w:left w:val="nil"/>
              <w:bottom w:val="nil"/>
              <w:right w:val="nil"/>
            </w:tcBorders>
            <w:tcMar>
              <w:top w:w="28" w:type="dxa"/>
              <w:left w:w="57" w:type="dxa"/>
              <w:bottom w:w="28" w:type="dxa"/>
              <w:right w:w="57" w:type="dxa"/>
            </w:tcMar>
          </w:tcPr>
          <w:p w:rsidRPr="00666023" w:rsidR="00F423CA" w:rsidP="00666023" w:rsidRDefault="004E2DCE">
            <w:pPr>
              <w:pStyle w:val="bodytableRtable"/>
              <w:spacing w:after="0" w:line="240" w:lineRule="auto"/>
            </w:pPr>
            <w:r w:rsidRPr="00666023">
              <w:t xml:space="preserve">0 </w:t>
            </w:r>
          </w:p>
        </w:tc>
      </w:tr>
      <w:tr w:rsidRPr="00666023" w:rsidR="00F423CA" w:rsidTr="00666023">
        <w:trPr>
          <w:trHeight w:val="113"/>
        </w:trPr>
        <w:tc>
          <w:tcPr>
            <w:tcW w:w="3383"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Ltable"/>
              <w:spacing w:after="0" w:line="240" w:lineRule="auto"/>
            </w:pPr>
            <w:r w:rsidRPr="00666023">
              <w:t>Managed investment schemes</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234,124 </w:t>
            </w:r>
          </w:p>
        </w:tc>
        <w:tc>
          <w:tcPr>
            <w:tcW w:w="1133"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0 </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0 </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23,412 </w:t>
            </w:r>
          </w:p>
        </w:tc>
        <w:tc>
          <w:tcPr>
            <w:tcW w:w="1134" w:type="dxa"/>
            <w:tcBorders>
              <w:top w:val="nil"/>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t xml:space="preserve">(23,412) </w:t>
            </w:r>
          </w:p>
        </w:tc>
      </w:tr>
      <w:tr w:rsidRPr="00666023" w:rsidR="00F423CA" w:rsidTr="00666023">
        <w:trPr>
          <w:trHeight w:val="113"/>
        </w:trPr>
        <w:tc>
          <w:tcPr>
            <w:tcW w:w="3383"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Ltable"/>
              <w:spacing w:after="0" w:line="240" w:lineRule="auto"/>
            </w:pPr>
            <w:r w:rsidRPr="00666023">
              <w:rPr>
                <w:rStyle w:val="medium"/>
                <w:b/>
                <w:bCs/>
              </w:rPr>
              <w:t>Total</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235,149 </w:t>
            </w:r>
          </w:p>
        </w:tc>
        <w:tc>
          <w:tcPr>
            <w:tcW w:w="1133"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10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(10)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23,412 </w:t>
            </w:r>
          </w:p>
        </w:tc>
        <w:tc>
          <w:tcPr>
            <w:tcW w:w="1134" w:type="dxa"/>
            <w:tcBorders>
              <w:top w:val="single" w:color="000000" w:sz="6" w:space="0"/>
              <w:left w:val="nil"/>
              <w:bottom w:val="single" w:color="000000" w:sz="6" w:space="0"/>
              <w:right w:val="nil"/>
            </w:tcBorders>
            <w:tcMar>
              <w:top w:w="57" w:type="dxa"/>
              <w:left w:w="57" w:type="dxa"/>
              <w:bottom w:w="57" w:type="dxa"/>
              <w:right w:w="57" w:type="dxa"/>
            </w:tcMar>
          </w:tcPr>
          <w:p w:rsidRPr="00666023" w:rsidR="00F423CA" w:rsidP="00666023" w:rsidRDefault="004E2DCE">
            <w:pPr>
              <w:pStyle w:val="bodytableRtable"/>
              <w:spacing w:after="0" w:line="240" w:lineRule="auto"/>
            </w:pPr>
            <w:r w:rsidRPr="00666023">
              <w:rPr>
                <w:rStyle w:val="medium"/>
                <w:b/>
                <w:bCs/>
              </w:rPr>
              <w:t xml:space="preserve">(23,412) </w:t>
            </w:r>
          </w:p>
        </w:tc>
      </w:tr>
    </w:tbl>
    <w:p w:rsidR="00F423CA" w:rsidRDefault="00F423CA">
      <w:pPr>
        <w:pStyle w:val="Bodycopy"/>
      </w:pPr>
    </w:p>
    <w:p w:rsidR="00F423CA" w:rsidRDefault="004E2DCE">
      <w:pPr>
        <w:pStyle w:val="H3"/>
      </w:pPr>
      <w:r>
        <w:t>8.3 Contingent assets and contingent liabilities</w:t>
      </w:r>
    </w:p>
    <w:p w:rsidR="00F423CA" w:rsidRDefault="004E2DCE">
      <w:pPr>
        <w:pStyle w:val="Bodycopy"/>
      </w:pPr>
      <w:r>
        <w:t>Contingent assets and contingent liabilities are not recognised in the balance sheet, but are disclosed in this note and, if quantifiable, are measured at nominal value.  Contingent assets and contingent liabilities are presented inclusive of GST.</w:t>
      </w:r>
    </w:p>
    <w:p w:rsidR="00F423CA" w:rsidRDefault="004E2DCE">
      <w:pPr>
        <w:pStyle w:val="H4A"/>
      </w:pPr>
      <w:r>
        <w:t>Contingent assets</w:t>
      </w:r>
    </w:p>
    <w:p w:rsidR="00F423CA" w:rsidRDefault="004E2DCE">
      <w:pPr>
        <w:pStyle w:val="Bodycopy"/>
      </w:pPr>
      <w:r>
        <w:t>Contingent assets are possible assets that arise from past events, whose existence will be confirmed only by the occurrence or non-occurrence of one or more uncertain future events not wholly within the control of the entity.  Contingent assets are classified as either quantifiable, where the potential economic benefit is known, or non-quantifiable.</w:t>
      </w:r>
    </w:p>
    <w:p w:rsidR="00F423CA" w:rsidRDefault="004E2DCE">
      <w:pPr>
        <w:pStyle w:val="H4A"/>
      </w:pPr>
      <w:r>
        <w:t>Quantifiable contingent assets</w:t>
      </w:r>
    </w:p>
    <w:tbl>
      <w:tblPr>
        <w:tblW w:w="0" w:type="auto"/>
        <w:tblInd w:w="57" w:type="dxa"/>
        <w:tblLayout w:type="fixed"/>
        <w:tblCellMar>
          <w:left w:w="0" w:type="dxa"/>
          <w:right w:w="0" w:type="dxa"/>
        </w:tblCellMar>
        <w:tblLook w:firstRow="0" w:lastRow="0" w:firstColumn="0" w:lastColumn="0" w:noHBand="0" w:noVBand="0" w:val="0000"/>
      </w:tblPr>
      <w:tblGrid>
        <w:gridCol w:w="5669"/>
        <w:gridCol w:w="1701"/>
        <w:gridCol w:w="1701"/>
      </w:tblGrid>
      <w:tr w:rsidRPr="00666023" w:rsidR="00F423CA" w:rsidTr="00666023">
        <w:trPr>
          <w:trHeight w:val="113"/>
          <w:tblHeader/>
        </w:trPr>
        <w:tc>
          <w:tcPr>
            <w:tcW w:w="5669"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701"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color w:val="542E8E"/>
              </w:rPr>
              <w:t>($ thousand)</w:t>
            </w:r>
          </w:p>
        </w:tc>
      </w:tr>
      <w:tr w:rsidRPr="00666023" w:rsidR="00F423CA" w:rsidTr="00666023">
        <w:trPr>
          <w:trHeight w:val="113"/>
          <w:tblHeader/>
        </w:trPr>
        <w:tc>
          <w:tcPr>
            <w:tcW w:w="5669"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70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color w:val="542E8E"/>
              </w:rPr>
              <w:t>2018</w:t>
            </w:r>
          </w:p>
        </w:tc>
        <w:tc>
          <w:tcPr>
            <w:tcW w:w="1701"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color w:val="542E8E"/>
              </w:rPr>
              <w:t>2017</w:t>
            </w:r>
          </w:p>
        </w:tc>
      </w:tr>
      <w:tr w:rsidRPr="00666023" w:rsidR="00F423CA" w:rsidTr="00666023">
        <w:trPr>
          <w:trHeight w:val="113"/>
        </w:trPr>
        <w:tc>
          <w:tcPr>
            <w:tcW w:w="5669"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Ltable"/>
              <w:spacing w:after="0" w:line="240" w:lineRule="auto"/>
            </w:pPr>
            <w:r w:rsidRPr="00666023">
              <w:t>Legal proceedings and disputes</w:t>
            </w:r>
          </w:p>
        </w:tc>
        <w:tc>
          <w:tcPr>
            <w:tcW w:w="1701"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t xml:space="preserve">59 </w:t>
            </w:r>
          </w:p>
        </w:tc>
        <w:tc>
          <w:tcPr>
            <w:tcW w:w="1701"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t xml:space="preserve">540 </w:t>
            </w:r>
          </w:p>
        </w:tc>
      </w:tr>
      <w:tr w:rsidRPr="00666023" w:rsidR="00F423CA" w:rsidTr="00666023">
        <w:trPr>
          <w:trHeight w:val="113"/>
        </w:trPr>
        <w:tc>
          <w:tcPr>
            <w:tcW w:w="5669"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Ltable"/>
              <w:spacing w:after="0" w:line="240" w:lineRule="auto"/>
            </w:pPr>
            <w:r w:rsidRPr="00666023">
              <w:rPr>
                <w:rStyle w:val="medium"/>
                <w:b/>
                <w:bCs/>
              </w:rPr>
              <w:t>Total</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rPr>
              <w:t xml:space="preserve">59 </w:t>
            </w:r>
          </w:p>
        </w:tc>
        <w:tc>
          <w:tcPr>
            <w:tcW w:w="1701"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rPr>
              <w:t xml:space="preserve">540 </w:t>
            </w:r>
          </w:p>
        </w:tc>
      </w:tr>
    </w:tbl>
    <w:p w:rsidR="00F423CA" w:rsidRDefault="00F423CA">
      <w:pPr>
        <w:pStyle w:val="Bodycopy"/>
        <w:rPr>
          <w:sz w:val="20"/>
          <w:szCs w:val="20"/>
        </w:rPr>
      </w:pPr>
    </w:p>
    <w:p w:rsidR="00F423CA" w:rsidRDefault="004E2DCE">
      <w:pPr>
        <w:pStyle w:val="H4A"/>
      </w:pPr>
      <w:r>
        <w:t>Contingent liabilities</w:t>
      </w:r>
    </w:p>
    <w:p w:rsidR="00F423CA" w:rsidRDefault="004E2DCE">
      <w:pPr>
        <w:pStyle w:val="Bodycopy"/>
      </w:pPr>
      <w:r>
        <w:t>Contingent liabilities are:</w:t>
      </w:r>
    </w:p>
    <w:p w:rsidR="00F423CA" w:rsidRDefault="004E2DCE">
      <w:pPr>
        <w:pStyle w:val="BodycopyBullet"/>
      </w:pPr>
      <w:r>
        <w:t>possible obligations that arise from past events, whose existence will be confirmed only by the occurrence or non-occurrence of one or more uncertain future events not wholly within the control of the entity; or</w:t>
      </w:r>
    </w:p>
    <w:p w:rsidR="00F423CA" w:rsidRDefault="004E2DCE">
      <w:pPr>
        <w:pStyle w:val="BodycopyBulletspaceunder"/>
      </w:pPr>
      <w:r>
        <w:t>present obligations that arise from past events but are not recognised because: it is not probable that an outflow of resources embodying economic benefits will be required to settle the obligations; or the amount of the obligations cannot be measured with sufficient reliability.</w:t>
      </w:r>
    </w:p>
    <w:p w:rsidR="00F423CA" w:rsidRDefault="004E2DCE">
      <w:pPr>
        <w:pStyle w:val="Bodycopy"/>
      </w:pPr>
      <w:r>
        <w:t>Contingent liabilities are also classified as either quantifiable or non-quantifiable.</w:t>
      </w:r>
    </w:p>
    <w:p w:rsidR="00F423CA" w:rsidRDefault="004E2DCE">
      <w:pPr>
        <w:pStyle w:val="H4A"/>
      </w:pPr>
      <w:r>
        <w:t>Non-quantifiable contingent liabilities</w:t>
      </w:r>
    </w:p>
    <w:p w:rsidR="00F423CA" w:rsidRDefault="004E2DCE">
      <w:pPr>
        <w:pStyle w:val="H4A"/>
      </w:pPr>
      <w:r>
        <w:t>Native title</w:t>
      </w:r>
    </w:p>
    <w:p w:rsidR="00F423CA" w:rsidRDefault="004E2DCE">
      <w:pPr>
        <w:pStyle w:val="Bodycopy"/>
      </w:pPr>
      <w:r>
        <w:t xml:space="preserve">A number of claims have been filed with the Federal Court under the Commonwealth </w:t>
      </w:r>
      <w:r>
        <w:rPr>
          <w:rStyle w:val="italic"/>
        </w:rPr>
        <w:t>Native Title Act 1993</w:t>
      </w:r>
      <w:r>
        <w:t xml:space="preserve"> that affect Victoria.  It is not feasible at this time to quantify any future liability.</w:t>
      </w:r>
    </w:p>
    <w:p w:rsidR="00F423CA" w:rsidRDefault="004E2DCE">
      <w:pPr>
        <w:pStyle w:val="H4A"/>
      </w:pPr>
      <w:r>
        <w:t>National redress scheme - sexual abuse of children in institutions</w:t>
      </w:r>
    </w:p>
    <w:p w:rsidR="00F423CA" w:rsidRDefault="004E2DCE">
      <w:pPr>
        <w:pStyle w:val="Bodycopy"/>
      </w:pPr>
      <w:r>
        <w:t xml:space="preserve">On 13 June 2018, the </w:t>
      </w:r>
      <w:r>
        <w:rPr>
          <w:rStyle w:val="italic"/>
        </w:rPr>
        <w:t>National Redress Scheme for Institutional Child Sexual Abuse (Commonwealth Powers) Act 2018 (Vic)</w:t>
      </w:r>
      <w:r w:rsidR="00666023">
        <w:t xml:space="preserve"> commenced.</w:t>
      </w:r>
      <w:r>
        <w:t xml:space="preserve"> The Act refers powers to the Commonwealth Parliament to ensure that Victorian institutions can participate i</w:t>
      </w:r>
      <w:r w:rsidR="00666023">
        <w:t xml:space="preserve">n the National Redress Scheme. </w:t>
      </w:r>
      <w:r>
        <w:t xml:space="preserve">The National Redress Scheme commenced on 1 July 2018 and will run for 10 years.  The Scheme </w:t>
      </w:r>
      <w:r>
        <w:lastRenderedPageBreak/>
        <w:t>will deliver a financial payment of up to $150 000, access to psychological counselling and an apology from the responsible institution to eligible survivors of institutional child abuse.  This implements a recommendation of the Victorian Parliamentary Inquiry Betrayal of Trust report and the Royal Commission into Institutional Responses to Child Sexual Abuse.</w:t>
      </w:r>
    </w:p>
    <w:p w:rsidR="00F423CA" w:rsidRDefault="004E2DCE">
      <w:pPr>
        <w:pStyle w:val="Bodycopy"/>
      </w:pPr>
      <w:r>
        <w:t>The Government has set aside funding over the next ten years for redress.  If a survivor is eligible for redress payments, funding will be made available.  Due to the historical nature of the abuse in question, the precise number of eligible survivors of abuse is difficult to estimate.  Consequently, the exact financial implications of Victoria’s participation remain uncertain.</w:t>
      </w:r>
    </w:p>
    <w:p w:rsidR="00F423CA" w:rsidRDefault="004E2DCE">
      <w:pPr>
        <w:pStyle w:val="H4A"/>
      </w:pPr>
      <w:r>
        <w:t>Quantifiable contingent liabilities</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666023" w:rsidR="00F423CA" w:rsidTr="00666023">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color w:val="542E8E"/>
              </w:rPr>
              <w:t>($ thousand)</w:t>
            </w:r>
          </w:p>
        </w:tc>
      </w:tr>
      <w:tr w:rsidRPr="00666023" w:rsidR="00F423CA" w:rsidTr="00666023">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color w:val="542E8E"/>
              </w:rPr>
              <w:t>2017</w:t>
            </w:r>
          </w:p>
        </w:tc>
      </w:tr>
      <w:tr w:rsidRPr="00666023" w:rsidR="00F423CA" w:rsidTr="00666023">
        <w:trPr>
          <w:trHeight w:val="113"/>
        </w:trPr>
        <w:tc>
          <w:tcPr>
            <w:tcW w:w="6236" w:type="dxa"/>
            <w:tcBorders>
              <w:top w:val="single" w:color="000000" w:sz="8" w:space="0"/>
              <w:left w:val="nil"/>
              <w:right w:val="nil"/>
            </w:tcBorders>
            <w:tcMar>
              <w:top w:w="57" w:type="dxa"/>
              <w:left w:w="57" w:type="dxa"/>
              <w:bottom w:w="57" w:type="dxa"/>
              <w:right w:w="57" w:type="dxa"/>
            </w:tcMar>
            <w:vAlign w:val="bottom"/>
          </w:tcPr>
          <w:p w:rsidRPr="00666023" w:rsidR="00F423CA" w:rsidP="00666023" w:rsidRDefault="004E2DCE">
            <w:pPr>
              <w:pStyle w:val="bodytableLtable"/>
              <w:spacing w:after="0" w:line="240" w:lineRule="auto"/>
            </w:pPr>
            <w:r w:rsidRPr="00666023">
              <w:t xml:space="preserve">Legal proceedings and disputes </w:t>
            </w:r>
            <w:r w:rsidRPr="00666023">
              <w:rPr>
                <w:rStyle w:val="Superscript"/>
              </w:rPr>
              <w:t>(</w:t>
            </w:r>
            <w:proofErr w:type="spellStart"/>
            <w:r w:rsidRPr="00666023">
              <w:rPr>
                <w:rStyle w:val="Superscript"/>
              </w:rPr>
              <w:t>i</w:t>
            </w:r>
            <w:proofErr w:type="spellEnd"/>
            <w:r w:rsidRPr="00666023">
              <w:rPr>
                <w:rStyle w:val="Superscript"/>
              </w:rPr>
              <w:t>)</w:t>
            </w:r>
          </w:p>
        </w:tc>
        <w:tc>
          <w:tcPr>
            <w:tcW w:w="1418" w:type="dxa"/>
            <w:tcBorders>
              <w:top w:val="single" w:color="000000" w:sz="8" w:space="0"/>
              <w:left w:val="nil"/>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t xml:space="preserve">91,315 </w:t>
            </w:r>
          </w:p>
        </w:tc>
        <w:tc>
          <w:tcPr>
            <w:tcW w:w="1417" w:type="dxa"/>
            <w:tcBorders>
              <w:top w:val="single" w:color="000000" w:sz="8" w:space="0"/>
              <w:left w:val="nil"/>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t xml:space="preserve">2,004 </w:t>
            </w:r>
          </w:p>
        </w:tc>
      </w:tr>
      <w:tr w:rsidRPr="00666023" w:rsidR="00F423CA" w:rsidTr="00666023">
        <w:trPr>
          <w:trHeight w:val="113"/>
        </w:trPr>
        <w:tc>
          <w:tcPr>
            <w:tcW w:w="6236" w:type="dxa"/>
            <w:tcBorders>
              <w:left w:val="nil"/>
              <w:right w:val="nil"/>
            </w:tcBorders>
            <w:tcMar>
              <w:top w:w="28" w:type="dxa"/>
              <w:left w:w="57" w:type="dxa"/>
              <w:bottom w:w="28" w:type="dxa"/>
              <w:right w:w="57" w:type="dxa"/>
            </w:tcMar>
            <w:vAlign w:val="bottom"/>
          </w:tcPr>
          <w:p w:rsidRPr="00666023" w:rsidR="00F423CA" w:rsidP="00666023" w:rsidRDefault="004E2DCE">
            <w:pPr>
              <w:pStyle w:val="bodytableLtable"/>
              <w:spacing w:after="0" w:line="240" w:lineRule="auto"/>
            </w:pPr>
            <w:r w:rsidRPr="00666023">
              <w:t>Make good leased premises</w:t>
            </w:r>
          </w:p>
        </w:tc>
        <w:tc>
          <w:tcPr>
            <w:tcW w:w="1418" w:type="dxa"/>
            <w:tcBorders>
              <w:left w:val="nil"/>
              <w:right w:val="nil"/>
            </w:tcBorders>
            <w:tcMar>
              <w:top w:w="28" w:type="dxa"/>
              <w:left w:w="57" w:type="dxa"/>
              <w:bottom w:w="28" w:type="dxa"/>
              <w:right w:w="57" w:type="dxa"/>
            </w:tcMar>
            <w:vAlign w:val="bottom"/>
          </w:tcPr>
          <w:p w:rsidRPr="00666023" w:rsidR="00F423CA" w:rsidP="00666023" w:rsidRDefault="004E2DCE">
            <w:pPr>
              <w:pStyle w:val="bodytableRtable"/>
              <w:spacing w:after="0" w:line="240" w:lineRule="auto"/>
            </w:pPr>
            <w:r w:rsidRPr="00666023">
              <w:t xml:space="preserve">6,853 </w:t>
            </w:r>
          </w:p>
        </w:tc>
        <w:tc>
          <w:tcPr>
            <w:tcW w:w="1417" w:type="dxa"/>
            <w:tcBorders>
              <w:left w:val="nil"/>
              <w:right w:val="nil"/>
            </w:tcBorders>
            <w:tcMar>
              <w:top w:w="28" w:type="dxa"/>
              <w:left w:w="57" w:type="dxa"/>
              <w:bottom w:w="28" w:type="dxa"/>
              <w:right w:w="57" w:type="dxa"/>
            </w:tcMar>
            <w:vAlign w:val="bottom"/>
          </w:tcPr>
          <w:p w:rsidRPr="00666023" w:rsidR="00F423CA" w:rsidP="00666023" w:rsidRDefault="004E2DCE">
            <w:pPr>
              <w:pStyle w:val="bodytableRtable"/>
              <w:spacing w:after="0" w:line="240" w:lineRule="auto"/>
            </w:pPr>
            <w:r w:rsidRPr="00666023">
              <w:t xml:space="preserve">2,192 </w:t>
            </w:r>
          </w:p>
        </w:tc>
      </w:tr>
      <w:tr w:rsidRPr="00666023" w:rsidR="00F423CA" w:rsidTr="00666023">
        <w:trPr>
          <w:trHeight w:val="113"/>
        </w:trPr>
        <w:tc>
          <w:tcPr>
            <w:tcW w:w="6236" w:type="dxa"/>
            <w:tcBorders>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Ltable"/>
              <w:spacing w:after="0" w:line="240" w:lineRule="auto"/>
            </w:pPr>
            <w:r w:rsidRPr="00666023">
              <w:t>Land contamination rectification</w:t>
            </w:r>
          </w:p>
        </w:tc>
        <w:tc>
          <w:tcPr>
            <w:tcW w:w="1418" w:type="dxa"/>
            <w:tcBorders>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t xml:space="preserve">0 </w:t>
            </w:r>
          </w:p>
        </w:tc>
        <w:tc>
          <w:tcPr>
            <w:tcW w:w="1417" w:type="dxa"/>
            <w:tcBorders>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t xml:space="preserve">80 </w:t>
            </w:r>
          </w:p>
        </w:tc>
      </w:tr>
      <w:tr w:rsidRPr="00666023" w:rsidR="00F423CA" w:rsidTr="00666023">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Ltable"/>
              <w:spacing w:after="0" w:line="240" w:lineRule="auto"/>
            </w:pPr>
            <w:r w:rsidRPr="00666023">
              <w:rPr>
                <w:rStyle w:val="medium"/>
                <w:b/>
                <w:bCs/>
              </w:rPr>
              <w:t>Total</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rPr>
              <w:t xml:space="preserve">98,168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666023" w:rsidR="00F423CA" w:rsidP="00666023" w:rsidRDefault="004E2DCE">
            <w:pPr>
              <w:pStyle w:val="bodytableRtable"/>
              <w:spacing w:after="0" w:line="240" w:lineRule="auto"/>
            </w:pPr>
            <w:r w:rsidRPr="00666023">
              <w:rPr>
                <w:rStyle w:val="medium"/>
                <w:b/>
                <w:bCs/>
              </w:rPr>
              <w:t xml:space="preserve">4,276 </w:t>
            </w:r>
          </w:p>
        </w:tc>
      </w:tr>
    </w:tbl>
    <w:p w:rsidR="00F423CA" w:rsidP="00666023" w:rsidRDefault="004E2DCE">
      <w:pPr>
        <w:pStyle w:val="notestable"/>
        <w:spacing w:before="60"/>
      </w:pPr>
      <w:r>
        <w:t>(</w:t>
      </w:r>
      <w:proofErr w:type="spellStart"/>
      <w:r>
        <w:t>i</w:t>
      </w:r>
      <w:proofErr w:type="spellEnd"/>
      <w:r>
        <w:t>) A previously unquantifiable contingent liability has become quantifiable.</w:t>
      </w:r>
    </w:p>
    <w:p w:rsidR="00F423CA" w:rsidRDefault="00F423CA">
      <w:pPr>
        <w:pStyle w:val="notestable"/>
      </w:pPr>
    </w:p>
    <w:p w:rsidR="00F423CA" w:rsidRDefault="004E2DCE">
      <w:pPr>
        <w:pStyle w:val="H3"/>
      </w:pPr>
      <w:r>
        <w:t>8.4 Fair value determination</w:t>
      </w:r>
    </w:p>
    <w:p w:rsidR="00F423CA" w:rsidRDefault="004E2DCE">
      <w:pPr>
        <w:pStyle w:val="Bodycopy"/>
      </w:pPr>
      <w:r>
        <w:t>This note sets out information on how the department determined fair value for</w:t>
      </w:r>
      <w:r w:rsidR="00666023">
        <w:t xml:space="preserve"> financial reporting purposes. </w:t>
      </w:r>
      <w:r>
        <w:t>Fair value is the price that would be received to sell an asset in an orderly transaction between market participants at the measurement date.</w:t>
      </w:r>
    </w:p>
    <w:p w:rsidR="00F423CA" w:rsidRDefault="004E2DCE">
      <w:pPr>
        <w:pStyle w:val="Bodycopy"/>
      </w:pPr>
      <w:r>
        <w:t>The following assets are carried at fair value:</w:t>
      </w:r>
    </w:p>
    <w:p w:rsidR="00F423CA" w:rsidRDefault="004E2DCE">
      <w:pPr>
        <w:pStyle w:val="BodycopyBullet"/>
      </w:pPr>
      <w:r>
        <w:t>financial assets at fair value through profit or loss</w:t>
      </w:r>
    </w:p>
    <w:p w:rsidR="00F423CA" w:rsidRDefault="004E2DCE">
      <w:pPr>
        <w:pStyle w:val="BodycopyBullet"/>
      </w:pPr>
      <w:r>
        <w:t>property, plant and equipment</w:t>
      </w:r>
    </w:p>
    <w:p w:rsidR="00F423CA" w:rsidRDefault="004E2DCE">
      <w:pPr>
        <w:pStyle w:val="BodycopyBulletspaceunder"/>
      </w:pPr>
      <w:r>
        <w:t>non-financial assets classified as held for sale</w:t>
      </w:r>
    </w:p>
    <w:p w:rsidR="00F423CA" w:rsidRDefault="004E2DCE">
      <w:pPr>
        <w:pStyle w:val="H4A"/>
      </w:pPr>
      <w:r>
        <w:t>Fair value hierarchy</w:t>
      </w:r>
    </w:p>
    <w:p w:rsidR="00F423CA" w:rsidRDefault="004E2DCE">
      <w:pPr>
        <w:pStyle w:val="Bodycopy"/>
      </w:pPr>
      <w:r>
        <w:t>All assets, except leased assets, that are measured at fair value are categorised within the following fair value hierarchy based on the lowest level input that is significant to their fair value measurement as a whole.</w:t>
      </w:r>
    </w:p>
    <w:p w:rsidR="00F423CA" w:rsidRDefault="004E2DCE">
      <w:pPr>
        <w:pStyle w:val="BodycopyBullet"/>
      </w:pPr>
      <w:r>
        <w:t>Level 1 - quoted (unadjusted) market prices in active markets for identical assets;</w:t>
      </w:r>
    </w:p>
    <w:p w:rsidR="00F423CA" w:rsidRDefault="004E2DCE">
      <w:pPr>
        <w:pStyle w:val="BodycopyBullet"/>
      </w:pPr>
      <w:r>
        <w:t>Level 2 - valuation techniques for which the lowest level input that is significant to the fair value measurement is directly or indirectly observable; and</w:t>
      </w:r>
    </w:p>
    <w:p w:rsidR="00F423CA" w:rsidRDefault="004E2DCE">
      <w:pPr>
        <w:pStyle w:val="BodycopyBulletspaceunder"/>
      </w:pPr>
      <w:r>
        <w:t>Level 3 - valuation techniques for which the lowest level input that is significant to the fair value measurement is unobservable.  Changes in unobservable values will result in changes to the asset carrying values.</w:t>
      </w:r>
    </w:p>
    <w:p w:rsidR="00F423CA" w:rsidRDefault="004E2DCE">
      <w:pPr>
        <w:pStyle w:val="Bodycopy"/>
      </w:pPr>
      <w:r>
        <w:t>The department determines whether transfers have occurred between levels in the hierarchy by reassessing categorisation (based on the lowest level input that is significant to the fair value measurement as a whole) at the end of each reporting period.</w:t>
      </w:r>
    </w:p>
    <w:p w:rsidR="00F423CA" w:rsidRDefault="004E2DCE">
      <w:pPr>
        <w:pStyle w:val="Bodycopy"/>
      </w:pPr>
      <w:r>
        <w:t>The department monitors changes in the fair value of each asset through relevant data sources to determine whether revaluation is required.</w:t>
      </w:r>
    </w:p>
    <w:p w:rsidR="00F423CA" w:rsidRDefault="004E2DCE">
      <w:pPr>
        <w:pStyle w:val="H4"/>
      </w:pPr>
      <w:r>
        <w:t>8.4.1 Fair value determination for financial assets at fair value through profit or loss</w:t>
      </w:r>
    </w:p>
    <w:p w:rsidR="00F423CA" w:rsidRDefault="004E2DCE">
      <w:pPr>
        <w:pStyle w:val="Bodycopy"/>
      </w:pPr>
      <w:r>
        <w:t>The department’s managed investment schemes are carried at their fair values and are categorised within level 2 of the fair value hierarchy.  These investments are revalued each month by the Victorian Funds Management Corporation.</w:t>
      </w:r>
    </w:p>
    <w:p w:rsidR="00F423CA" w:rsidRDefault="004E2DCE">
      <w:pPr>
        <w:pStyle w:val="Bodycopy"/>
      </w:pPr>
      <w:r>
        <w:t>There have been no transfers between levels during the period.</w:t>
      </w:r>
    </w:p>
    <w:p w:rsidR="00F423CA" w:rsidRDefault="004E2DCE">
      <w:pPr>
        <w:pStyle w:val="H4"/>
      </w:pPr>
      <w:r>
        <w:t>8.4.2 Fair value determination for property, plant and equipment</w:t>
      </w:r>
    </w:p>
    <w:p w:rsidR="00F423CA" w:rsidRDefault="004E2DCE">
      <w:pPr>
        <w:pStyle w:val="Bodycopy"/>
      </w:pPr>
      <w:r>
        <w:t>The department’s property, plant and equipment are carried at their fair values.</w:t>
      </w:r>
    </w:p>
    <w:p w:rsidR="00F423CA" w:rsidRDefault="004E2DCE">
      <w:pPr>
        <w:pStyle w:val="H4A"/>
      </w:pPr>
      <w:r>
        <w:t>Independent valuations in 2015-16</w:t>
      </w:r>
    </w:p>
    <w:p w:rsidR="00F423CA" w:rsidRDefault="004E2DCE">
      <w:pPr>
        <w:pStyle w:val="Bodycopy"/>
      </w:pPr>
      <w:r>
        <w:t xml:space="preserve">An independent valuation of the department’s land, buildings, leased buildings and artwork was performed by the </w:t>
      </w:r>
      <w:proofErr w:type="spellStart"/>
      <w:r>
        <w:t>Valuer</w:t>
      </w:r>
      <w:proofErr w:type="spellEnd"/>
      <w:r>
        <w:t xml:space="preserve">-General in 2015-16.  The </w:t>
      </w:r>
      <w:proofErr w:type="spellStart"/>
      <w:r>
        <w:t>Valuer</w:t>
      </w:r>
      <w:proofErr w:type="spellEnd"/>
      <w:r>
        <w:t xml:space="preserve"> General used external independent </w:t>
      </w:r>
      <w:proofErr w:type="spellStart"/>
      <w:r>
        <w:t>valuers</w:t>
      </w:r>
      <w:proofErr w:type="spellEnd"/>
      <w:r>
        <w:t xml:space="preserve"> to perform the valuations of the department’s land which was performed by G. M. Brien &amp; Associates Pty Ltd, buildings which was performed by Napier &amp; Blakeley Pty Ltd, and artwork which was performed by the Dominion Group.   The effective date of the valuation is 30 June 2016. </w:t>
      </w:r>
    </w:p>
    <w:p w:rsidR="00F423CA" w:rsidRDefault="004E2DCE">
      <w:pPr>
        <w:pStyle w:val="H4A"/>
      </w:pPr>
      <w:r>
        <w:t>Managerial revaluation of land in 2016-17</w:t>
      </w:r>
    </w:p>
    <w:p w:rsidR="00F423CA" w:rsidRDefault="004E2DCE">
      <w:pPr>
        <w:pStyle w:val="Bodycopy"/>
      </w:pPr>
      <w:r>
        <w:t xml:space="preserve">Each asset class must be valued with sufficient regularity to ensure that the carrying amount of an asset does not materially differ from its fair value at the reporting date.  The department uses annual indices supplied by the </w:t>
      </w:r>
      <w:proofErr w:type="spellStart"/>
      <w:r>
        <w:t>Valuer</w:t>
      </w:r>
      <w:proofErr w:type="spellEnd"/>
      <w:r>
        <w:t xml:space="preserve">-General’s Office to determine the movements in its land and building values.  Indices are based on post code.  As a result of applying these </w:t>
      </w:r>
      <w:r w:rsidRPr="00666023">
        <w:rPr>
          <w:spacing w:val="-2"/>
        </w:rPr>
        <w:t>indices it was determined that a material (greater than 10%) movement in the department’s land v</w:t>
      </w:r>
      <w:r w:rsidRPr="00666023" w:rsidR="00666023">
        <w:rPr>
          <w:spacing w:val="-2"/>
        </w:rPr>
        <w:t>alues had occurred in 2016-17.</w:t>
      </w:r>
      <w:r w:rsidR="00666023">
        <w:t xml:space="preserve"> </w:t>
      </w:r>
      <w:r>
        <w:t>To ensure that the land values reflected their fair values, a managerial revaluation was performed based on</w:t>
      </w:r>
      <w:r w:rsidR="00666023">
        <w:t xml:space="preserve"> the </w:t>
      </w:r>
      <w:proofErr w:type="spellStart"/>
      <w:r w:rsidR="00666023">
        <w:t>Valuer</w:t>
      </w:r>
      <w:proofErr w:type="spellEnd"/>
      <w:r w:rsidR="00666023">
        <w:t xml:space="preserve">-General’s indices. </w:t>
      </w:r>
      <w:r>
        <w:t>The effective date of the land valuation is 30 June 2017.</w:t>
      </w:r>
    </w:p>
    <w:p w:rsidR="00F423CA" w:rsidRDefault="004E2DCE">
      <w:pPr>
        <w:pStyle w:val="H4A"/>
      </w:pPr>
      <w:r>
        <w:t>Heritage buildings</w:t>
      </w:r>
    </w:p>
    <w:p w:rsidR="00F423CA" w:rsidRDefault="004E2DCE">
      <w:pPr>
        <w:pStyle w:val="Bodycopy"/>
      </w:pPr>
      <w:r>
        <w:t xml:space="preserve">The department holds heritage listed buildings which cannot be modified or disposed of without formal ministerial approval.  Heritage buildings are valued using the depreciated replacement cost method.  The replacement cost relates to the costs to </w:t>
      </w:r>
      <w:r>
        <w:lastRenderedPageBreak/>
        <w:t xml:space="preserve">replace the current </w:t>
      </w:r>
      <w:r w:rsidR="00666023">
        <w:t xml:space="preserve">service capacity of the asset. </w:t>
      </w:r>
      <w:r>
        <w:t>This cost generally represents the replacement cost of the building after applying depreciation</w:t>
      </w:r>
      <w:r w:rsidR="00666023">
        <w:t xml:space="preserve"> rates on a useful life basis. </w:t>
      </w:r>
      <w:r>
        <w:t>However, for some heritage and iconic assets, the cost may be the reproduction cost rather than the replacement cost if those assets’ service potential could only be replaced by reproducing</w:t>
      </w:r>
      <w:r w:rsidR="00666023">
        <w:t xml:space="preserve"> them with the same materials. </w:t>
      </w:r>
      <w:r>
        <w:t>Economic obsolescence has also been factored into the depreciated replacement cost calculation.  As depreciation adjustments are considered as significant unobservable inputs in nature, heritage buildings are classified within level 3 of the fair value hierarchy.</w:t>
      </w:r>
    </w:p>
    <w:p w:rsidR="00F423CA" w:rsidRDefault="004E2DCE">
      <w:pPr>
        <w:pStyle w:val="Bodycopy"/>
      </w:pPr>
      <w:r>
        <w:t>The department held $5.055 million (2017: $5.314 million) of heritage buildings as at 30 June 2018.</w:t>
      </w:r>
    </w:p>
    <w:p w:rsidR="00F423CA" w:rsidRDefault="004E2DCE">
      <w:pPr>
        <w:pStyle w:val="H4A"/>
      </w:pPr>
      <w:r>
        <w:t>Non-specialised land, non-specialised buildings and artworks</w:t>
      </w:r>
    </w:p>
    <w:p w:rsidR="00F423CA" w:rsidRDefault="004E2DCE">
      <w:pPr>
        <w:pStyle w:val="Bodycopy"/>
      </w:pPr>
      <w:r>
        <w:t>Non-specialised land, non-specialised buildings and artworks are valued using the market approach. Under this valuation method, the assets are compared to recent comparable sales or sales of comparable assets which are considered to have nominal or no added improvement value.</w:t>
      </w:r>
    </w:p>
    <w:p w:rsidR="00F423CA" w:rsidRDefault="004E2DCE">
      <w:pPr>
        <w:pStyle w:val="Bodycopy"/>
      </w:pPr>
      <w:r>
        <w:t>For non-specialised land and non-specialised buildings, independent valuations are performed to determine the fair value using the market approach. Valuation of the assets are determined by analysing comparable sales and allowing for share, size, topography, location and other relevant factors specific to the asset being valued. From the sales analysed, an appropriate rate per square metre is applied to the subject asset.</w:t>
      </w:r>
    </w:p>
    <w:p w:rsidR="00F423CA" w:rsidRDefault="004E2DCE">
      <w:pPr>
        <w:pStyle w:val="Bodycopy"/>
      </w:pPr>
      <w:r>
        <w:t>For artwork, valuation of the assets is determined by a comparison to similar examples of the artist’s work in existence throughout Australia and overseas, and research on prices paid for similar examples offered at auction or through art galleries in recent years.</w:t>
      </w:r>
    </w:p>
    <w:p w:rsidR="00F423CA" w:rsidRDefault="004E2DCE">
      <w:pPr>
        <w:pStyle w:val="Bodycopy"/>
        <w:rPr>
          <w:spacing w:val="-2"/>
        </w:rPr>
      </w:pPr>
      <w:r>
        <w:rPr>
          <w:spacing w:val="-2"/>
        </w:rPr>
        <w:t>To the extent that non-specialised land, non-specialised buildings and artworks do not contain significant unobservable adjustments, these assets are classified within level 2 of the fair value hierarchy.</w:t>
      </w:r>
    </w:p>
    <w:p w:rsidR="00F423CA" w:rsidRDefault="004E2DCE">
      <w:pPr>
        <w:pStyle w:val="Bodycopy"/>
      </w:pPr>
      <w:r>
        <w:t xml:space="preserve">As a managerial revaluation of the department’s land occurred in 2016-17 based on the </w:t>
      </w:r>
      <w:proofErr w:type="spellStart"/>
      <w:r>
        <w:t>Valuer</w:t>
      </w:r>
      <w:proofErr w:type="spellEnd"/>
      <w:r>
        <w:t>-General Victoria’s indices which are unobservable inputs, non-specialised land has been classified within level 3 of the fair value hierarchy.</w:t>
      </w:r>
    </w:p>
    <w:p w:rsidR="00F423CA" w:rsidRDefault="004E2DCE">
      <w:pPr>
        <w:pStyle w:val="Bodycopy"/>
      </w:pPr>
      <w:r>
        <w:t>The department held $6.419 million (2017: $6.419 million) of non-specialised land, no non-specialised buildings, and $0.027 million (2017: $0.027 million) of artwork as at 30 June 2018.</w:t>
      </w:r>
    </w:p>
    <w:p w:rsidR="00F423CA" w:rsidRDefault="004E2DCE">
      <w:pPr>
        <w:pStyle w:val="H4A"/>
      </w:pPr>
      <w:r>
        <w:t>Specialised land and specialised buildings</w:t>
      </w:r>
    </w:p>
    <w:p w:rsidR="00F423CA" w:rsidRDefault="004E2DCE">
      <w:pPr>
        <w:pStyle w:val="Bodycopy"/>
      </w:pPr>
      <w:r>
        <w:t xml:space="preserve">Specialised land is valued using the market approach, adjusted for a community service obligation (CSO) that reflects the specialised nature of the land being valued.  The CSO adjustment is a reflection of the </w:t>
      </w:r>
      <w:proofErr w:type="spellStart"/>
      <w:r>
        <w:t>valuer’s</w:t>
      </w:r>
      <w:proofErr w:type="spellEnd"/>
      <w:r>
        <w:t xml:space="preserve"> assessment of the impact of restrictions associated with an asset to the extent that is also equally applicable to market participants. This approach is in light of the highest and best use consideration required for fair value </w:t>
      </w:r>
      <w:proofErr w:type="gramStart"/>
      <w:r>
        <w:t>measurement, and</w:t>
      </w:r>
      <w:proofErr w:type="gramEnd"/>
      <w:r>
        <w:t xml:space="preserve"> takes into account the use of the asset that is physically possible, legally permissible, and financially feasible. As adjustments of CSO are considered as significant unobservable inputs, specialised land would be classified within level 3 of the fair value hierarchy.</w:t>
      </w:r>
    </w:p>
    <w:p w:rsidR="00F423CA" w:rsidRDefault="004E2DCE">
      <w:pPr>
        <w:pStyle w:val="Bodycopy"/>
      </w:pPr>
      <w:r>
        <w:t>Specialised buildings are valued using the depreciated replacement cost method. As depreciation adjustments are considered as significant unobservable inputs in nature, specialised buildings are classified within level 3 of the fair value hierarchy.</w:t>
      </w:r>
    </w:p>
    <w:p w:rsidR="00F423CA" w:rsidRDefault="004E2DCE">
      <w:pPr>
        <w:pStyle w:val="Bodycopy"/>
      </w:pPr>
      <w:r>
        <w:t>The department held $275.457 million (2017: $274.044 million) of specialised land, $2,410.610 million (2017: $1,732.976 million) of specialised buildings as at 30 June 2018.</w:t>
      </w:r>
    </w:p>
    <w:p w:rsidR="00F423CA" w:rsidRDefault="004E2DCE">
      <w:pPr>
        <w:pStyle w:val="H4A"/>
      </w:pPr>
      <w:r>
        <w:t>Plant and equipment</w:t>
      </w:r>
    </w:p>
    <w:p w:rsidR="00F423CA" w:rsidRDefault="004E2DCE">
      <w:pPr>
        <w:pStyle w:val="Bodycopy"/>
      </w:pPr>
      <w:r>
        <w:t>Plant and equipment is held at fair value. When plant and equipment is specialised in use, such that it is rarely sold other than as part of a going concern, fair value is determined using the depreciated replacement cost method.  As depreciation adjustments are considered as significant unobservable inputs in nature, plant and equipment are classified within level 3 of the fair value hierarchy.</w:t>
      </w:r>
    </w:p>
    <w:p w:rsidR="00F423CA" w:rsidRDefault="004E2DCE">
      <w:pPr>
        <w:pStyle w:val="Bodycopy"/>
      </w:pPr>
      <w:r>
        <w:t>There were no changes in valuation techniques throughout the period to 30 June 2018.</w:t>
      </w:r>
    </w:p>
    <w:p w:rsidR="00F423CA" w:rsidRDefault="004E2DCE">
      <w:pPr>
        <w:pStyle w:val="Bodycopy"/>
      </w:pPr>
      <w:r>
        <w:t>For all assets measured at fair value, the current use is considered the highest and best use.</w:t>
      </w:r>
    </w:p>
    <w:p w:rsidR="00F423CA" w:rsidRDefault="004E2DCE">
      <w:pPr>
        <w:pStyle w:val="H4"/>
      </w:pPr>
      <w:r>
        <w:t>8.4.3 Fair value determination for non-financial assets classified as held for sale</w:t>
      </w:r>
    </w:p>
    <w:p w:rsidR="00F423CA" w:rsidRDefault="004E2DCE">
      <w:pPr>
        <w:pStyle w:val="Bodycopy"/>
      </w:pPr>
      <w:r>
        <w:t>The department’s non-financial assets classified as held for sale are carried at their fair values.  Leased vehicles held for sale were valued using the techniques referred to in note 8.4.2 for plant and equipment.  The fair value hierarchy does not apply to leased assets.</w:t>
      </w:r>
    </w:p>
    <w:p w:rsidR="00F423CA" w:rsidRDefault="00F423CA">
      <w:pPr>
        <w:pStyle w:val="notestable"/>
        <w:ind w:left="283" w:hanging="283"/>
      </w:pPr>
    </w:p>
    <w:p w:rsidRPr="00B572FB" w:rsidR="00666023" w:rsidP="00B572FB" w:rsidRDefault="00666023">
      <w:pPr>
        <w:pStyle w:val="Bodycopy"/>
      </w:pPr>
      <w:r>
        <w:br w:type="page"/>
      </w:r>
    </w:p>
    <w:p w:rsidR="00F423CA" w:rsidRDefault="004E2DCE">
      <w:pPr>
        <w:pStyle w:val="H2"/>
      </w:pPr>
      <w:bookmarkStart w:id="18" w:name="_Toc525290076"/>
      <w:r>
        <w:lastRenderedPageBreak/>
        <w:t>9. Other disclosures</w:t>
      </w:r>
      <w:bookmarkEnd w:id="18"/>
    </w:p>
    <w:p w:rsidR="00F423CA" w:rsidRDefault="004E2DCE">
      <w:pPr>
        <w:pStyle w:val="H3"/>
      </w:pPr>
      <w:r>
        <w:t>9.1 Introduction</w:t>
      </w:r>
    </w:p>
    <w:p w:rsidR="00F423CA" w:rsidRDefault="004E2DCE">
      <w:pPr>
        <w:pStyle w:val="Bodycopy"/>
      </w:pPr>
      <w:r>
        <w:t>This note includes additional material disclosures required by accounting standards or otherwise for the understanding of this financial report.</w:t>
      </w:r>
    </w:p>
    <w:p w:rsidR="00F423CA" w:rsidRDefault="004E2DCE">
      <w:pPr>
        <w:pStyle w:val="H3"/>
      </w:pPr>
      <w:r>
        <w:t>9.2 Ex-gratia expenses</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566F7C" w:rsidR="00F423CA" w:rsidTr="00566F7C">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color w:val="542E8E"/>
              </w:rPr>
              <w:t>($ thousand)</w:t>
            </w:r>
          </w:p>
        </w:tc>
      </w:tr>
      <w:tr w:rsidRPr="00566F7C" w:rsidR="00F423CA" w:rsidTr="00566F7C">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color w:val="542E8E"/>
              </w:rPr>
              <w:t>2017</w:t>
            </w:r>
          </w:p>
        </w:tc>
      </w:tr>
      <w:tr w:rsidRPr="00566F7C" w:rsidR="00F423CA" w:rsidTr="00566F7C">
        <w:trPr>
          <w:trHeight w:val="113"/>
        </w:trPr>
        <w:tc>
          <w:tcPr>
            <w:tcW w:w="6236"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t>Compensation for economic loss</w:t>
            </w:r>
          </w:p>
        </w:tc>
        <w:tc>
          <w:tcPr>
            <w:tcW w:w="1418"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505 </w:t>
            </w:r>
          </w:p>
        </w:tc>
        <w:tc>
          <w:tcPr>
            <w:tcW w:w="1417"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0 </w:t>
            </w:r>
          </w:p>
        </w:tc>
      </w:tr>
      <w:tr w:rsidRPr="00566F7C" w:rsidR="00F423CA" w:rsidTr="00566F7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rPr>
                <w:rStyle w:val="medium"/>
                <w:b/>
                <w:bCs/>
              </w:rPr>
              <w:t xml:space="preserve">Total ex-gratia expenses </w:t>
            </w:r>
            <w:r w:rsidRPr="00566F7C">
              <w:rPr>
                <w:rStyle w:val="Superscript"/>
              </w:rPr>
              <w:t>(</w:t>
            </w:r>
            <w:proofErr w:type="spellStart"/>
            <w:r w:rsidRPr="00566F7C">
              <w:rPr>
                <w:rStyle w:val="Superscript"/>
              </w:rPr>
              <w:t>i</w:t>
            </w:r>
            <w:proofErr w:type="spellEnd"/>
            <w:r w:rsidRPr="00566F7C">
              <w:rPr>
                <w:rStyle w:val="Superscript"/>
              </w:rPr>
              <w:t>)</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505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0 </w:t>
            </w:r>
          </w:p>
        </w:tc>
      </w:tr>
    </w:tbl>
    <w:p w:rsidR="00F423CA" w:rsidP="0000204B" w:rsidRDefault="00566F7C">
      <w:pPr>
        <w:pStyle w:val="notestable"/>
        <w:spacing w:before="60"/>
      </w:pPr>
      <w:r>
        <w:t xml:space="preserve"> </w:t>
      </w:r>
      <w:r w:rsidR="004E2DCE">
        <w:t>(</w:t>
      </w:r>
      <w:proofErr w:type="spellStart"/>
      <w:r w:rsidR="004E2DCE">
        <w:t>i</w:t>
      </w:r>
      <w:proofErr w:type="spellEnd"/>
      <w:r w:rsidR="004E2DCE">
        <w:t>) Ex-gratia expenses fall under other supplies and services in note 3.5.</w:t>
      </w:r>
    </w:p>
    <w:p w:rsidR="00F423CA" w:rsidRDefault="004E2DCE">
      <w:pPr>
        <w:pStyle w:val="H3"/>
      </w:pPr>
      <w:r>
        <w:t>9.3 Other economic flows included in net result</w:t>
      </w:r>
    </w:p>
    <w:p w:rsidR="00F423CA" w:rsidRDefault="004E2DCE">
      <w:pPr>
        <w:pStyle w:val="H4A"/>
        <w:rPr>
          <w:color w:val="000000"/>
        </w:rPr>
      </w:pPr>
      <w:r>
        <w:rPr>
          <w:color w:val="000000"/>
        </w:rPr>
        <w:t xml:space="preserve">Other economic flows are changes in the volume or value of an asset or liability that do not result from transactions. </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566F7C" w:rsidR="00F423CA" w:rsidTr="00566F7C">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color w:val="542E8E"/>
              </w:rPr>
              <w:t>($ thousand)</w:t>
            </w:r>
          </w:p>
        </w:tc>
      </w:tr>
      <w:tr w:rsidRPr="00566F7C" w:rsidR="00F423CA" w:rsidTr="00566F7C">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color w:val="542E8E"/>
              </w:rPr>
              <w:t>2017</w:t>
            </w:r>
          </w:p>
        </w:tc>
      </w:tr>
      <w:tr w:rsidRPr="00566F7C" w:rsidR="00F423CA" w:rsidTr="00566F7C">
        <w:trPr>
          <w:trHeight w:val="113"/>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rPr>
                <w:rStyle w:val="medium"/>
                <w:b/>
                <w:bCs/>
              </w:rPr>
              <w:t>Net gain/(loss) on non-financial assets</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r>
      <w:tr w:rsidRPr="00566F7C" w:rsidR="00F423CA" w:rsidTr="0000204B">
        <w:trPr>
          <w:trHeight w:val="113"/>
        </w:trPr>
        <w:tc>
          <w:tcPr>
            <w:tcW w:w="6236" w:type="dxa"/>
            <w:tcBorders>
              <w:top w:val="nil"/>
              <w:left w:val="nil"/>
              <w:bottom w:val="single" w:color="000000" w:sz="6" w:space="0"/>
              <w:right w:val="nil"/>
            </w:tcBorders>
            <w:tcMar>
              <w:top w:w="28" w:type="dxa"/>
              <w:left w:w="57" w:type="dxa"/>
              <w:bottom w:w="57" w:type="dxa"/>
              <w:right w:w="57" w:type="dxa"/>
            </w:tcMar>
            <w:vAlign w:val="bottom"/>
          </w:tcPr>
          <w:p w:rsidRPr="00566F7C" w:rsidR="00F423CA" w:rsidP="00566F7C" w:rsidRDefault="004E2DCE">
            <w:pPr>
              <w:pStyle w:val="bodytableLtable"/>
              <w:spacing w:after="0" w:line="240" w:lineRule="auto"/>
            </w:pPr>
            <w:r w:rsidRPr="00566F7C">
              <w:t>Net gain/(loss) on disposal of property, plant and equipment</w:t>
            </w:r>
          </w:p>
        </w:tc>
        <w:tc>
          <w:tcPr>
            <w:tcW w:w="1418" w:type="dxa"/>
            <w:tcBorders>
              <w:top w:val="nil"/>
              <w:left w:val="nil"/>
              <w:bottom w:val="single" w:color="000000" w:sz="6" w:space="0"/>
              <w:right w:val="nil"/>
            </w:tcBorders>
            <w:tcMar>
              <w:top w:w="28"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1,956 </w:t>
            </w:r>
          </w:p>
        </w:tc>
        <w:tc>
          <w:tcPr>
            <w:tcW w:w="1417" w:type="dxa"/>
            <w:tcBorders>
              <w:top w:val="nil"/>
              <w:left w:val="nil"/>
              <w:bottom w:val="single" w:color="000000" w:sz="6" w:space="0"/>
              <w:right w:val="nil"/>
            </w:tcBorders>
            <w:tcMar>
              <w:top w:w="28"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935 </w:t>
            </w:r>
          </w:p>
        </w:tc>
      </w:tr>
      <w:tr w:rsidRPr="00566F7C" w:rsidR="00F423CA" w:rsidTr="00566F7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rPr>
                <w:rStyle w:val="medium"/>
                <w:b/>
                <w:bCs/>
              </w:rPr>
              <w:t>Total net gain/(loss) on non-financial assets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1,956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935 </w:t>
            </w:r>
          </w:p>
        </w:tc>
      </w:tr>
      <w:tr w:rsidRPr="00566F7C" w:rsidR="00F423CA" w:rsidTr="00566F7C">
        <w:trPr>
          <w:trHeight w:val="113"/>
        </w:trPr>
        <w:tc>
          <w:tcPr>
            <w:tcW w:w="6236" w:type="dxa"/>
            <w:tcBorders>
              <w:top w:val="single" w:color="000000" w:sz="6" w:space="0"/>
              <w:left w:val="nil"/>
              <w:bottom w:val="nil"/>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rPr>
                <w:rStyle w:val="medium"/>
                <w:b/>
                <w:bCs/>
              </w:rPr>
              <w:t>Net gain/(loss) on financial instruments</w:t>
            </w: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r>
      <w:tr w:rsidRPr="00566F7C" w:rsidR="00F423CA" w:rsidTr="0000204B">
        <w:trPr>
          <w:trHeight w:val="113"/>
        </w:trPr>
        <w:tc>
          <w:tcPr>
            <w:tcW w:w="6236"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Ltable"/>
              <w:spacing w:after="0" w:line="240" w:lineRule="auto"/>
            </w:pPr>
            <w:r w:rsidRPr="00566F7C">
              <w:t>Impairment of loans and receivables</w:t>
            </w:r>
            <w:r w:rsidRPr="00566F7C">
              <w:rPr>
                <w:rStyle w:val="Superscript"/>
              </w:rPr>
              <w:t xml:space="preserve"> (</w:t>
            </w:r>
            <w:proofErr w:type="spellStart"/>
            <w:r w:rsidRPr="00566F7C">
              <w:rPr>
                <w:rStyle w:val="Superscript"/>
              </w:rPr>
              <w:t>i</w:t>
            </w:r>
            <w:proofErr w:type="spellEnd"/>
            <w:r w:rsidRPr="00566F7C">
              <w:rPr>
                <w:rStyle w:val="Superscript"/>
              </w:rPr>
              <w:t>)</w:t>
            </w:r>
          </w:p>
        </w:tc>
        <w:tc>
          <w:tcPr>
            <w:tcW w:w="1418"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Rtable"/>
              <w:spacing w:after="0" w:line="240" w:lineRule="auto"/>
            </w:pPr>
            <w:r w:rsidRPr="00566F7C">
              <w:t xml:space="preserve">507 </w:t>
            </w:r>
          </w:p>
        </w:tc>
        <w:tc>
          <w:tcPr>
            <w:tcW w:w="1417"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Rtable"/>
              <w:spacing w:after="0" w:line="240" w:lineRule="auto"/>
            </w:pPr>
            <w:r w:rsidRPr="00566F7C">
              <w:t xml:space="preserve">0 </w:t>
            </w:r>
          </w:p>
        </w:tc>
      </w:tr>
      <w:tr w:rsidRPr="00566F7C" w:rsidR="00F423CA" w:rsidTr="0000204B">
        <w:trPr>
          <w:trHeight w:val="113"/>
        </w:trPr>
        <w:tc>
          <w:tcPr>
            <w:tcW w:w="6236"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Ltable"/>
              <w:spacing w:after="0" w:line="240" w:lineRule="auto"/>
            </w:pPr>
            <w:r w:rsidRPr="00566F7C">
              <w:t>Bad debts written off by unilateral agreement</w:t>
            </w:r>
          </w:p>
        </w:tc>
        <w:tc>
          <w:tcPr>
            <w:tcW w:w="1418"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Rtable"/>
              <w:spacing w:after="0" w:line="240" w:lineRule="auto"/>
            </w:pPr>
            <w:r w:rsidRPr="00566F7C">
              <w:t xml:space="preserve">(9) </w:t>
            </w:r>
          </w:p>
        </w:tc>
        <w:tc>
          <w:tcPr>
            <w:tcW w:w="1417"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Rtable"/>
              <w:spacing w:after="0" w:line="240" w:lineRule="auto"/>
            </w:pPr>
            <w:r w:rsidRPr="00566F7C">
              <w:t xml:space="preserve">(9) </w:t>
            </w:r>
          </w:p>
        </w:tc>
      </w:tr>
      <w:tr w:rsidRPr="00566F7C" w:rsidR="00F423CA" w:rsidTr="00566F7C">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t>Net gain/(loss) on disposal and revaluation of managed investment schemes</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5,508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(6,332) </w:t>
            </w:r>
          </w:p>
        </w:tc>
      </w:tr>
      <w:tr w:rsidRPr="00566F7C" w:rsidR="00F423CA" w:rsidTr="00566F7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rPr>
                <w:rStyle w:val="medium"/>
                <w:b/>
                <w:bCs/>
              </w:rPr>
              <w:t>Total net gain/(loss) on financial instruments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6,006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(6,341) </w:t>
            </w:r>
          </w:p>
        </w:tc>
      </w:tr>
      <w:tr w:rsidRPr="00566F7C" w:rsidR="00F423CA" w:rsidTr="00566F7C">
        <w:trPr>
          <w:trHeight w:val="113"/>
        </w:trPr>
        <w:tc>
          <w:tcPr>
            <w:tcW w:w="6236" w:type="dxa"/>
            <w:tcBorders>
              <w:top w:val="single" w:color="000000" w:sz="6" w:space="0"/>
              <w:left w:val="nil"/>
              <w:bottom w:val="nil"/>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rPr>
                <w:rStyle w:val="medium"/>
                <w:b/>
                <w:bCs/>
              </w:rPr>
              <w:t>Other gains/(losses) from other economic flows</w:t>
            </w: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566F7C" w:rsidR="00F423CA" w:rsidP="00566F7C" w:rsidRDefault="00F423CA">
            <w:pPr>
              <w:pStyle w:val="NoParagraphStyle"/>
              <w:spacing w:line="240" w:lineRule="auto"/>
              <w:textAlignment w:val="auto"/>
              <w:rPr>
                <w:rFonts w:ascii="Arial" w:hAnsi="Arial" w:cs="Arial"/>
                <w:color w:val="auto"/>
                <w:sz w:val="16"/>
                <w:szCs w:val="16"/>
              </w:rPr>
            </w:pPr>
          </w:p>
        </w:tc>
      </w:tr>
      <w:tr w:rsidRPr="00566F7C" w:rsidR="00F423CA" w:rsidTr="0000204B">
        <w:trPr>
          <w:trHeight w:val="113"/>
        </w:trPr>
        <w:tc>
          <w:tcPr>
            <w:tcW w:w="6236"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Ltable"/>
              <w:spacing w:after="0" w:line="240" w:lineRule="auto"/>
            </w:pPr>
            <w:r w:rsidRPr="00566F7C">
              <w:t>Net gain/(loss) from revaluation of long service leave liability</w:t>
            </w:r>
            <w:r w:rsidRPr="00566F7C">
              <w:rPr>
                <w:rStyle w:val="Superscript"/>
              </w:rPr>
              <w:t xml:space="preserve"> (ii)</w:t>
            </w:r>
          </w:p>
        </w:tc>
        <w:tc>
          <w:tcPr>
            <w:tcW w:w="1418"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Rtable"/>
              <w:spacing w:after="0" w:line="240" w:lineRule="auto"/>
            </w:pPr>
            <w:r w:rsidRPr="00566F7C">
              <w:t xml:space="preserve">2,410 </w:t>
            </w:r>
          </w:p>
        </w:tc>
        <w:tc>
          <w:tcPr>
            <w:tcW w:w="1417" w:type="dxa"/>
            <w:tcBorders>
              <w:top w:val="nil"/>
              <w:left w:val="nil"/>
              <w:bottom w:val="nil"/>
              <w:right w:val="nil"/>
            </w:tcBorders>
            <w:tcMar>
              <w:top w:w="28" w:type="dxa"/>
              <w:left w:w="57" w:type="dxa"/>
              <w:bottom w:w="28" w:type="dxa"/>
              <w:right w:w="57" w:type="dxa"/>
            </w:tcMar>
            <w:vAlign w:val="bottom"/>
          </w:tcPr>
          <w:p w:rsidRPr="00566F7C" w:rsidR="00F423CA" w:rsidP="00566F7C" w:rsidRDefault="004E2DCE">
            <w:pPr>
              <w:pStyle w:val="bodytableRtable"/>
              <w:spacing w:after="0" w:line="240" w:lineRule="auto"/>
            </w:pPr>
            <w:r w:rsidRPr="00566F7C">
              <w:t xml:space="preserve">(2,936) </w:t>
            </w:r>
          </w:p>
        </w:tc>
      </w:tr>
      <w:tr w:rsidRPr="00566F7C" w:rsidR="00F423CA" w:rsidTr="00566F7C">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t>Net gain/(loss) from revaluation of other provisions</w:t>
            </w:r>
            <w:r w:rsidRPr="00566F7C">
              <w:rPr>
                <w:rStyle w:val="Superscript"/>
              </w:rPr>
              <w:t xml:space="preserve"> (iii)</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(11)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t xml:space="preserve">1,338 </w:t>
            </w:r>
          </w:p>
        </w:tc>
      </w:tr>
      <w:tr w:rsidRPr="00566F7C" w:rsidR="00F423CA" w:rsidTr="00566F7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Ltable"/>
              <w:spacing w:after="0" w:line="240" w:lineRule="auto"/>
            </w:pPr>
            <w:r w:rsidRPr="00566F7C">
              <w:rPr>
                <w:rStyle w:val="medium"/>
                <w:b/>
                <w:bCs/>
              </w:rPr>
              <w:t>Total other gains/(losses) from other economic flows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2,399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566F7C" w:rsidR="00F423CA" w:rsidP="00566F7C" w:rsidRDefault="004E2DCE">
            <w:pPr>
              <w:pStyle w:val="bodytableRtable"/>
              <w:spacing w:after="0" w:line="240" w:lineRule="auto"/>
            </w:pPr>
            <w:r w:rsidRPr="00566F7C">
              <w:rPr>
                <w:rStyle w:val="medium"/>
                <w:b/>
                <w:bCs/>
              </w:rPr>
              <w:t xml:space="preserve">(1,598) </w:t>
            </w:r>
          </w:p>
        </w:tc>
      </w:tr>
    </w:tbl>
    <w:p w:rsidR="00F423CA" w:rsidP="0000204B" w:rsidRDefault="004E2DCE">
      <w:pPr>
        <w:pStyle w:val="notestable"/>
        <w:spacing w:before="60"/>
        <w:ind w:left="227" w:hanging="227"/>
      </w:pPr>
      <w:r>
        <w:t>(</w:t>
      </w:r>
      <w:proofErr w:type="spellStart"/>
      <w:r>
        <w:t>i</w:t>
      </w:r>
      <w:proofErr w:type="spellEnd"/>
      <w:r>
        <w:t>)</w:t>
      </w:r>
      <w:r>
        <w:tab/>
        <w:t>Includes (increase)/decrease in provision for doubtful debts.</w:t>
      </w:r>
    </w:p>
    <w:p w:rsidR="00F423CA" w:rsidRDefault="004E2DCE">
      <w:pPr>
        <w:pStyle w:val="notestable"/>
        <w:ind w:left="227" w:hanging="227"/>
      </w:pPr>
      <w:r>
        <w:t>(ii)</w:t>
      </w:r>
      <w:r>
        <w:tab/>
        <w:t>Revaluation gain/(loss) due to changes in bond rates.</w:t>
      </w:r>
    </w:p>
    <w:p w:rsidR="00F423CA" w:rsidP="0000204B" w:rsidRDefault="004E2DCE">
      <w:pPr>
        <w:pStyle w:val="notestable"/>
        <w:ind w:left="227" w:hanging="227"/>
      </w:pPr>
      <w:r>
        <w:t>(iii)</w:t>
      </w:r>
      <w:r>
        <w:tab/>
        <w:t>Revaluation gain/(loss) due to changes in bond rates and actuarial assumptions.</w:t>
      </w:r>
    </w:p>
    <w:p w:rsidR="00F423CA" w:rsidRDefault="004E2DCE">
      <w:pPr>
        <w:pStyle w:val="H3"/>
      </w:pPr>
      <w:r>
        <w:t>9.4 Physical asset revaluation surplus</w:t>
      </w:r>
      <w:r>
        <w:rPr>
          <w:rStyle w:val="Superscript"/>
          <w:b w:val="false"/>
          <w:bCs w:val="false"/>
        </w:rPr>
        <w:t xml:space="preserve"> (</w:t>
      </w:r>
      <w:proofErr w:type="spellStart"/>
      <w:r>
        <w:rPr>
          <w:rStyle w:val="Superscript"/>
          <w:b w:val="false"/>
          <w:bCs w:val="false"/>
        </w:rPr>
        <w:t>i</w:t>
      </w:r>
      <w:proofErr w:type="spellEnd"/>
      <w:r>
        <w:rPr>
          <w:rStyle w:val="Superscript"/>
          <w:b w:val="false"/>
          <w:bCs w:val="false"/>
        </w:rPr>
        <w:t>)</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00204B" w:rsidR="00F423CA" w:rsidTr="0000204B">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color w:val="542E8E"/>
              </w:rPr>
              <w:t>($ thousand)</w:t>
            </w:r>
          </w:p>
        </w:tc>
      </w:tr>
      <w:tr w:rsidRPr="0000204B" w:rsidR="00F423CA" w:rsidTr="0000204B">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color w:val="542E8E"/>
              </w:rPr>
              <w:t>2017</w:t>
            </w:r>
          </w:p>
        </w:tc>
      </w:tr>
      <w:tr w:rsidRPr="0000204B" w:rsidR="00F423CA" w:rsidTr="0000204B">
        <w:trPr>
          <w:trHeight w:val="113"/>
        </w:trPr>
        <w:tc>
          <w:tcPr>
            <w:tcW w:w="6236" w:type="dxa"/>
            <w:tcBorders>
              <w:top w:val="single" w:color="000000" w:sz="8" w:space="0"/>
              <w:left w:val="nil"/>
              <w:bottom w:val="nil"/>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Land</w:t>
            </w:r>
          </w:p>
        </w:tc>
        <w:tc>
          <w:tcPr>
            <w:tcW w:w="1418" w:type="dxa"/>
            <w:tcBorders>
              <w:top w:val="single" w:color="000000" w:sz="8" w:space="0"/>
              <w:left w:val="nil"/>
              <w:bottom w:val="nil"/>
              <w:right w:val="nil"/>
            </w:tcBorders>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8" w:space="0"/>
              <w:left w:val="nil"/>
              <w:bottom w:val="nil"/>
              <w:right w:val="nil"/>
            </w:tcBorders>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r>
      <w:tr w:rsidRPr="0000204B" w:rsidR="00F423CA" w:rsidTr="0000204B">
        <w:trPr>
          <w:trHeight w:val="113"/>
        </w:trPr>
        <w:tc>
          <w:tcPr>
            <w:tcW w:w="6236"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Ltable"/>
              <w:spacing w:after="0" w:line="240" w:lineRule="auto"/>
            </w:pPr>
            <w:r w:rsidRPr="0000204B">
              <w:t>Balance at beginning of financial year</w:t>
            </w:r>
          </w:p>
        </w:tc>
        <w:tc>
          <w:tcPr>
            <w:tcW w:w="1418"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Rtable"/>
              <w:spacing w:after="0" w:line="240" w:lineRule="auto"/>
            </w:pPr>
            <w:r w:rsidRPr="0000204B">
              <w:t xml:space="preserve">138,636 </w:t>
            </w:r>
          </w:p>
        </w:tc>
        <w:tc>
          <w:tcPr>
            <w:tcW w:w="1417"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Rtable"/>
              <w:spacing w:after="0" w:line="240" w:lineRule="auto"/>
            </w:pPr>
            <w:r w:rsidRPr="0000204B">
              <w:t xml:space="preserve">93,335 </w:t>
            </w:r>
          </w:p>
        </w:tc>
      </w:tr>
      <w:tr w:rsidRPr="0000204B" w:rsidR="00F423CA" w:rsidTr="0000204B">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t>Revaluation increment/(decrement)</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t xml:space="preserve">341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t xml:space="preserve">45,301 </w:t>
            </w:r>
          </w:p>
        </w:tc>
      </w:tr>
      <w:tr w:rsidRPr="0000204B" w:rsidR="00F423CA" w:rsidTr="0000204B">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Balance at end of financial year</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138,977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138,636 </w:t>
            </w:r>
          </w:p>
        </w:tc>
      </w:tr>
      <w:tr w:rsidRPr="0000204B" w:rsidR="00F423CA" w:rsidTr="0000204B">
        <w:trPr>
          <w:trHeight w:val="113"/>
        </w:trPr>
        <w:tc>
          <w:tcPr>
            <w:tcW w:w="6236" w:type="dxa"/>
            <w:tcBorders>
              <w:top w:val="single" w:color="000000" w:sz="6" w:space="0"/>
              <w:left w:val="nil"/>
              <w:bottom w:val="nil"/>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Buildings</w:t>
            </w: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r>
      <w:tr w:rsidRPr="0000204B" w:rsidR="00F423CA" w:rsidTr="0000204B">
        <w:trPr>
          <w:trHeight w:val="113"/>
        </w:trPr>
        <w:tc>
          <w:tcPr>
            <w:tcW w:w="6236"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Ltable"/>
              <w:spacing w:after="0" w:line="240" w:lineRule="auto"/>
            </w:pPr>
            <w:r w:rsidRPr="0000204B">
              <w:t>Balance at beginning of financial year</w:t>
            </w:r>
          </w:p>
        </w:tc>
        <w:tc>
          <w:tcPr>
            <w:tcW w:w="1418"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Rtable"/>
              <w:spacing w:after="0" w:line="240" w:lineRule="auto"/>
            </w:pPr>
            <w:r w:rsidRPr="0000204B">
              <w:t xml:space="preserve">521,896 </w:t>
            </w:r>
          </w:p>
        </w:tc>
        <w:tc>
          <w:tcPr>
            <w:tcW w:w="1417"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Rtable"/>
              <w:spacing w:after="0" w:line="240" w:lineRule="auto"/>
            </w:pPr>
            <w:r w:rsidRPr="0000204B">
              <w:t xml:space="preserve">521,896 </w:t>
            </w:r>
          </w:p>
        </w:tc>
      </w:tr>
      <w:tr w:rsidRPr="0000204B" w:rsidR="00F423CA" w:rsidTr="0000204B">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t xml:space="preserve">Revaluation increment/(decrement) </w:t>
            </w:r>
            <w:r w:rsidRPr="0000204B">
              <w:rPr>
                <w:rStyle w:val="Superscript"/>
              </w:rPr>
              <w:t>(ii)</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t xml:space="preserve">(49,325)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t xml:space="preserve">0 </w:t>
            </w:r>
          </w:p>
        </w:tc>
      </w:tr>
      <w:tr w:rsidRPr="0000204B" w:rsidR="00F423CA" w:rsidTr="0000204B">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Balance at end of financial year</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472,571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521,896 </w:t>
            </w:r>
          </w:p>
        </w:tc>
      </w:tr>
      <w:tr w:rsidRPr="0000204B" w:rsidR="00F423CA" w:rsidTr="0000204B">
        <w:trPr>
          <w:trHeight w:val="113"/>
        </w:trPr>
        <w:tc>
          <w:tcPr>
            <w:tcW w:w="6236" w:type="dxa"/>
            <w:tcBorders>
              <w:top w:val="single" w:color="000000" w:sz="6" w:space="0"/>
              <w:left w:val="nil"/>
              <w:bottom w:val="nil"/>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Artwork</w:t>
            </w:r>
          </w:p>
        </w:tc>
        <w:tc>
          <w:tcPr>
            <w:tcW w:w="1418" w:type="dxa"/>
            <w:tcBorders>
              <w:top w:val="single" w:color="000000" w:sz="6" w:space="0"/>
              <w:left w:val="nil"/>
              <w:bottom w:val="nil"/>
              <w:right w:val="nil"/>
            </w:tcBorders>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6" w:space="0"/>
              <w:left w:val="nil"/>
              <w:bottom w:val="nil"/>
              <w:right w:val="nil"/>
            </w:tcBorders>
            <w:tcMar>
              <w:top w:w="57" w:type="dxa"/>
              <w:left w:w="57" w:type="dxa"/>
              <w:bottom w:w="57" w:type="dxa"/>
              <w:right w:w="57" w:type="dxa"/>
            </w:tcMar>
            <w:vAlign w:val="bottom"/>
          </w:tcPr>
          <w:p w:rsidRPr="0000204B" w:rsidR="00F423CA" w:rsidP="0000204B" w:rsidRDefault="00F423CA">
            <w:pPr>
              <w:pStyle w:val="NoParagraphStyle"/>
              <w:spacing w:line="240" w:lineRule="auto"/>
              <w:textAlignment w:val="auto"/>
              <w:rPr>
                <w:rFonts w:ascii="Arial" w:hAnsi="Arial" w:cs="Arial"/>
                <w:color w:val="auto"/>
                <w:sz w:val="16"/>
                <w:szCs w:val="16"/>
              </w:rPr>
            </w:pPr>
          </w:p>
        </w:tc>
      </w:tr>
      <w:tr w:rsidRPr="0000204B" w:rsidR="00F423CA" w:rsidTr="0000204B">
        <w:trPr>
          <w:trHeight w:val="113"/>
        </w:trPr>
        <w:tc>
          <w:tcPr>
            <w:tcW w:w="6236"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Ltable"/>
              <w:spacing w:after="0" w:line="240" w:lineRule="auto"/>
            </w:pPr>
            <w:r w:rsidRPr="0000204B">
              <w:t>Balance at beginning of financial year</w:t>
            </w:r>
          </w:p>
        </w:tc>
        <w:tc>
          <w:tcPr>
            <w:tcW w:w="1418"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Rtable"/>
              <w:spacing w:after="0" w:line="240" w:lineRule="auto"/>
            </w:pPr>
            <w:r w:rsidRPr="0000204B">
              <w:t xml:space="preserve">2 </w:t>
            </w:r>
          </w:p>
        </w:tc>
        <w:tc>
          <w:tcPr>
            <w:tcW w:w="1417" w:type="dxa"/>
            <w:tcBorders>
              <w:top w:val="nil"/>
              <w:left w:val="nil"/>
              <w:bottom w:val="nil"/>
              <w:right w:val="nil"/>
            </w:tcBorders>
            <w:tcMar>
              <w:top w:w="28" w:type="dxa"/>
              <w:left w:w="57" w:type="dxa"/>
              <w:bottom w:w="28" w:type="dxa"/>
              <w:right w:w="57" w:type="dxa"/>
            </w:tcMar>
            <w:vAlign w:val="bottom"/>
          </w:tcPr>
          <w:p w:rsidRPr="0000204B" w:rsidR="00F423CA" w:rsidP="0000204B" w:rsidRDefault="004E2DCE">
            <w:pPr>
              <w:pStyle w:val="bodytableRtable"/>
              <w:spacing w:after="0" w:line="240" w:lineRule="auto"/>
            </w:pPr>
            <w:r w:rsidRPr="0000204B">
              <w:t xml:space="preserve">2 </w:t>
            </w:r>
          </w:p>
        </w:tc>
      </w:tr>
      <w:tr w:rsidRPr="0000204B" w:rsidR="00F423CA" w:rsidTr="0000204B">
        <w:trPr>
          <w:trHeight w:val="113"/>
        </w:trPr>
        <w:tc>
          <w:tcPr>
            <w:tcW w:w="6236"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t>Revaluation increment/(decrement)</w:t>
            </w:r>
          </w:p>
        </w:tc>
        <w:tc>
          <w:tcPr>
            <w:tcW w:w="1418"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t xml:space="preserve">0 </w:t>
            </w:r>
          </w:p>
        </w:tc>
        <w:tc>
          <w:tcPr>
            <w:tcW w:w="1417" w:type="dxa"/>
            <w:tcBorders>
              <w:top w:val="nil"/>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t xml:space="preserve">0 </w:t>
            </w:r>
          </w:p>
        </w:tc>
      </w:tr>
      <w:tr w:rsidRPr="0000204B" w:rsidR="00F423CA" w:rsidTr="0000204B">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Balance at end of financial year</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2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2 </w:t>
            </w:r>
          </w:p>
        </w:tc>
      </w:tr>
      <w:tr w:rsidRPr="0000204B" w:rsidR="00F423CA" w:rsidTr="0000204B">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Total balance at beginning of financial year</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660,534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615,233 </w:t>
            </w:r>
          </w:p>
        </w:tc>
      </w:tr>
      <w:tr w:rsidRPr="0000204B" w:rsidR="00F423CA" w:rsidTr="0000204B">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Total balance at end of financial year</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611,550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660,534 </w:t>
            </w:r>
          </w:p>
        </w:tc>
      </w:tr>
      <w:tr w:rsidRPr="0000204B" w:rsidR="00F423CA" w:rsidTr="0000204B">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Ltable"/>
              <w:spacing w:after="0" w:line="240" w:lineRule="auto"/>
            </w:pPr>
            <w:r w:rsidRPr="0000204B">
              <w:rPr>
                <w:rStyle w:val="medium"/>
                <w:b/>
                <w:bCs/>
              </w:rPr>
              <w:t>Net change</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(48,984)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00204B" w:rsidR="00F423CA" w:rsidP="0000204B" w:rsidRDefault="004E2DCE">
            <w:pPr>
              <w:pStyle w:val="bodytableRtable"/>
              <w:spacing w:after="0" w:line="240" w:lineRule="auto"/>
            </w:pPr>
            <w:r w:rsidRPr="0000204B">
              <w:rPr>
                <w:rStyle w:val="medium"/>
                <w:b/>
                <w:bCs/>
              </w:rPr>
              <w:t xml:space="preserve">45,301 </w:t>
            </w:r>
          </w:p>
        </w:tc>
      </w:tr>
    </w:tbl>
    <w:p w:rsidR="00F423CA" w:rsidP="0000204B" w:rsidRDefault="004E2DCE">
      <w:pPr>
        <w:pStyle w:val="notestable"/>
        <w:spacing w:before="60"/>
      </w:pPr>
      <w:r>
        <w:t>(</w:t>
      </w:r>
      <w:proofErr w:type="spellStart"/>
      <w:r>
        <w:t>i</w:t>
      </w:r>
      <w:proofErr w:type="spellEnd"/>
      <w:r>
        <w:t>) The physical asset revaluation surplus arises from the revaluation of land, buildings and artwork.</w:t>
      </w:r>
    </w:p>
    <w:p w:rsidR="00F423CA" w:rsidRDefault="004E2DCE">
      <w:pPr>
        <w:pStyle w:val="notestable"/>
      </w:pPr>
      <w:r>
        <w:t>(ii) This movement includes a realignment of prior year assets under construction and a building impairment.</w:t>
      </w:r>
    </w:p>
    <w:p w:rsidR="00F423CA" w:rsidRDefault="004E2DCE">
      <w:pPr>
        <w:pStyle w:val="H3"/>
      </w:pPr>
      <w:r>
        <w:lastRenderedPageBreak/>
        <w:t>9.5 Responsible persons</w:t>
      </w:r>
    </w:p>
    <w:p w:rsidR="00F423CA" w:rsidRDefault="004E2DCE">
      <w:pPr>
        <w:pStyle w:val="Bodycopy"/>
      </w:pPr>
      <w:r>
        <w:t xml:space="preserve">In accordance with the Ministerial Directions issued by the Minister for Finance under the </w:t>
      </w:r>
      <w:r>
        <w:rPr>
          <w:rStyle w:val="italic"/>
        </w:rPr>
        <w:t>Financial Management Act 1994</w:t>
      </w:r>
      <w:r>
        <w:t>, the following disclosures are made regarding responsible persons for the reporting period.</w:t>
      </w:r>
    </w:p>
    <w:p w:rsidR="00F423CA" w:rsidRDefault="004E2DCE">
      <w:pPr>
        <w:pStyle w:val="H4A"/>
      </w:pPr>
      <w:r>
        <w:t>Names</w:t>
      </w:r>
    </w:p>
    <w:p w:rsidR="00F423CA" w:rsidP="00F45D5C" w:rsidRDefault="004E2DCE">
      <w:pPr>
        <w:pStyle w:val="Bodycopy"/>
        <w:rPr>
          <w:spacing w:val="-2"/>
        </w:rPr>
      </w:pPr>
      <w:r>
        <w:rPr>
          <w:spacing w:val="-2"/>
        </w:rPr>
        <w:t>The people who held the positions of Ministers and Accountable Officers in the department are as follows:</w:t>
      </w:r>
    </w:p>
    <w:tbl>
      <w:tblPr>
        <w:tblW w:w="0" w:type="auto"/>
        <w:tblLayout w:type="fixed"/>
        <w:tblCellMar>
          <w:left w:w="0" w:type="dxa"/>
          <w:right w:w="0" w:type="dxa"/>
        </w:tblCellMar>
        <w:tblLook w:firstRow="0" w:lastRow="0" w:firstColumn="0" w:lastColumn="0" w:noHBand="0" w:noVBand="0" w:val="0000"/>
      </w:tblPr>
      <w:tblGrid>
        <w:gridCol w:w="3175"/>
        <w:gridCol w:w="2494"/>
        <w:gridCol w:w="1588"/>
        <w:gridCol w:w="340"/>
        <w:gridCol w:w="1617"/>
      </w:tblGrid>
      <w:tr w:rsidRPr="00F45D5C" w:rsidR="00F423CA" w:rsidTr="00F45D5C">
        <w:trPr>
          <w:trHeight w:val="113"/>
        </w:trPr>
        <w:tc>
          <w:tcPr>
            <w:tcW w:w="3175" w:type="dxa"/>
            <w:tcBorders>
              <w:top w:val="single" w:color="000000" w:sz="6"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Attorney-General</w:t>
            </w:r>
          </w:p>
        </w:tc>
        <w:tc>
          <w:tcPr>
            <w:tcW w:w="2494" w:type="dxa"/>
            <w:tcBorders>
              <w:top w:val="single" w:color="000000" w:sz="6"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single" w:color="000000" w:sz="6"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6"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6"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Attorney-General</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23 September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October 2017</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22 December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7 January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23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31 January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13 May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19 May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22 June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25 June 2018</w:t>
            </w:r>
          </w:p>
        </w:tc>
      </w:tr>
      <w:tr w:rsidRPr="00F45D5C" w:rsidR="00F423CA" w:rsidTr="00F45D5C">
        <w:trPr>
          <w:trHeight w:val="113"/>
        </w:trPr>
        <w:tc>
          <w:tcPr>
            <w:tcW w:w="3175"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Marlene </w:t>
            </w:r>
            <w:proofErr w:type="spellStart"/>
            <w:r w:rsidRPr="00F45D5C">
              <w:t>Kairouz</w:t>
            </w:r>
            <w:proofErr w:type="spellEnd"/>
            <w:r w:rsidRPr="00F45D5C">
              <w:t>, MP</w:t>
            </w:r>
          </w:p>
        </w:tc>
        <w:tc>
          <w:tcPr>
            <w:tcW w:w="1588"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26 June 2018</w:t>
            </w:r>
          </w:p>
        </w:tc>
        <w:tc>
          <w:tcPr>
            <w:tcW w:w="340"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Minister for Consumer Affairs, </w:t>
            </w:r>
            <w:r w:rsidRPr="00F45D5C">
              <w:br/>
              <w:t>Gaming and Liquor Regulation</w:t>
            </w:r>
          </w:p>
        </w:tc>
        <w:tc>
          <w:tcPr>
            <w:tcW w:w="2494"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Marlene </w:t>
            </w:r>
            <w:proofErr w:type="spellStart"/>
            <w:r w:rsidRPr="00F45D5C">
              <w:t>Kairouz</w:t>
            </w:r>
            <w:proofErr w:type="spellEnd"/>
            <w:r w:rsidRPr="00F45D5C">
              <w:t>, MP</w:t>
            </w:r>
          </w:p>
        </w:tc>
        <w:tc>
          <w:tcPr>
            <w:tcW w:w="1588"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vMerge w:val="restart"/>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Minister for Consumer Affairs, Gaming and Liquor Regulation</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James </w:t>
            </w:r>
            <w:proofErr w:type="spellStart"/>
            <w:r w:rsidRPr="00F45D5C">
              <w:t>Merlino</w:t>
            </w:r>
            <w:proofErr w:type="spellEnd"/>
            <w:r w:rsidRPr="00F45D5C">
              <w:t>, MP</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18 July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28 July 2017</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w:t>
            </w:r>
            <w:proofErr w:type="spellStart"/>
            <w:r w:rsidRPr="00F45D5C">
              <w:t>Jaala</w:t>
            </w:r>
            <w:proofErr w:type="spellEnd"/>
            <w:r w:rsidRPr="00F45D5C">
              <w:t xml:space="preserve"> Pulford,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5 December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11 December 2017</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25 December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9 January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10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14 January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5 February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17 February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 April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5 April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Liliana </w:t>
            </w:r>
            <w:proofErr w:type="spellStart"/>
            <w:r w:rsidRPr="00F45D5C">
              <w:t>D’Ambrosio</w:t>
            </w:r>
            <w:proofErr w:type="spellEnd"/>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6 April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April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John </w:t>
            </w:r>
            <w:proofErr w:type="spellStart"/>
            <w:r w:rsidRPr="00F45D5C">
              <w:t>Eren</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9 April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10 April 2018</w:t>
            </w:r>
          </w:p>
        </w:tc>
      </w:tr>
      <w:tr w:rsidRPr="00F45D5C" w:rsidR="00F423CA" w:rsidTr="00F45D5C">
        <w:trPr>
          <w:trHeight w:val="113"/>
        </w:trPr>
        <w:tc>
          <w:tcPr>
            <w:tcW w:w="3175" w:type="dxa"/>
            <w:vMerge/>
            <w:tcBorders>
              <w:top w:val="nil"/>
              <w:left w:val="nil"/>
              <w:bottom w:val="single" w:color="000000" w:sz="2"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w:t>
            </w:r>
            <w:proofErr w:type="spellStart"/>
            <w:r w:rsidRPr="00F45D5C">
              <w:t>Jaala</w:t>
            </w:r>
            <w:proofErr w:type="spellEnd"/>
            <w:r w:rsidRPr="00F45D5C">
              <w:t xml:space="preserve"> Pulford, MP</w:t>
            </w:r>
          </w:p>
        </w:tc>
        <w:tc>
          <w:tcPr>
            <w:tcW w:w="1588"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11 April 2018</w:t>
            </w:r>
          </w:p>
        </w:tc>
        <w:tc>
          <w:tcPr>
            <w:tcW w:w="340"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17 April 2018</w:t>
            </w:r>
          </w:p>
        </w:tc>
      </w:tr>
      <w:tr w:rsidRPr="00F45D5C" w:rsidR="00F423CA" w:rsidTr="00F45D5C">
        <w:trPr>
          <w:trHeight w:val="113"/>
        </w:trPr>
        <w:tc>
          <w:tcPr>
            <w:tcW w:w="3175"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Minister for Corrections</w:t>
            </w:r>
          </w:p>
        </w:tc>
        <w:tc>
          <w:tcPr>
            <w:tcW w:w="2494"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vMerge w:val="restart"/>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Minister for Corrections</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July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17 July 2017</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29 September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4 October 2017</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20 December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9 January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10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14 January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Jenny </w:t>
            </w:r>
            <w:proofErr w:type="spellStart"/>
            <w:r w:rsidRPr="00F45D5C">
              <w:t>Mikakos</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26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5 February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James </w:t>
            </w:r>
            <w:proofErr w:type="spellStart"/>
            <w:r w:rsidRPr="00F45D5C">
              <w:t>Merlino</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10 March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14 March 2018</w:t>
            </w:r>
          </w:p>
        </w:tc>
      </w:tr>
      <w:tr w:rsidRPr="00F45D5C" w:rsidR="00F423CA" w:rsidTr="00F45D5C">
        <w:trPr>
          <w:trHeight w:val="113"/>
        </w:trPr>
        <w:tc>
          <w:tcPr>
            <w:tcW w:w="3175" w:type="dxa"/>
            <w:vMerge/>
            <w:tcBorders>
              <w:top w:val="nil"/>
              <w:left w:val="nil"/>
              <w:bottom w:val="single" w:color="000000" w:sz="2"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Jenny </w:t>
            </w:r>
            <w:proofErr w:type="spellStart"/>
            <w:r w:rsidRPr="00F45D5C">
              <w:t>Mikakos</w:t>
            </w:r>
            <w:proofErr w:type="spellEnd"/>
            <w:r w:rsidRPr="00F45D5C">
              <w:t>, MP</w:t>
            </w:r>
          </w:p>
        </w:tc>
        <w:tc>
          <w:tcPr>
            <w:tcW w:w="1588"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26 June 2018</w:t>
            </w:r>
          </w:p>
        </w:tc>
        <w:tc>
          <w:tcPr>
            <w:tcW w:w="340"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Minister for Emergency Services</w:t>
            </w:r>
          </w:p>
        </w:tc>
        <w:tc>
          <w:tcPr>
            <w:tcW w:w="2494"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James </w:t>
            </w:r>
            <w:proofErr w:type="spellStart"/>
            <w:r w:rsidRPr="00F45D5C">
              <w:t>Merlino</w:t>
            </w:r>
            <w:proofErr w:type="spellEnd"/>
            <w:r w:rsidRPr="00F45D5C">
              <w:t>, MP</w:t>
            </w:r>
          </w:p>
        </w:tc>
        <w:tc>
          <w:tcPr>
            <w:tcW w:w="1588"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vMerge w:val="restart"/>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Minister for Emergency Services</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23 September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October 2017</w:t>
            </w:r>
          </w:p>
        </w:tc>
      </w:tr>
      <w:tr w:rsidRPr="00F45D5C" w:rsidR="00F423CA" w:rsidTr="00F45D5C">
        <w:trPr>
          <w:trHeight w:val="113"/>
        </w:trPr>
        <w:tc>
          <w:tcPr>
            <w:tcW w:w="3175" w:type="dxa"/>
            <w:vMerge/>
            <w:tcBorders>
              <w:top w:val="nil"/>
              <w:left w:val="nil"/>
              <w:bottom w:val="single" w:color="000000" w:sz="2"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31 March 2018</w:t>
            </w:r>
          </w:p>
        </w:tc>
        <w:tc>
          <w:tcPr>
            <w:tcW w:w="340"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April 2018</w:t>
            </w:r>
          </w:p>
        </w:tc>
      </w:tr>
      <w:tr w:rsidRPr="00F45D5C" w:rsidR="00F423CA" w:rsidTr="00F45D5C">
        <w:trPr>
          <w:trHeight w:val="113"/>
        </w:trPr>
        <w:tc>
          <w:tcPr>
            <w:tcW w:w="3175"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Minister for Police</w:t>
            </w:r>
          </w:p>
        </w:tc>
        <w:tc>
          <w:tcPr>
            <w:tcW w:w="2494"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Minister for Police</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Richard Wynne, MP</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 July 2017</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18 July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 August 2017</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James </w:t>
            </w:r>
            <w:proofErr w:type="spellStart"/>
            <w:r w:rsidRPr="00F45D5C">
              <w:t>Merlino</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 November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10 November 2017</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10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14 January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15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22 January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5 April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9 April 2018</w:t>
            </w:r>
          </w:p>
        </w:tc>
      </w:tr>
      <w:tr w:rsidRPr="00F45D5C" w:rsidR="00F423CA" w:rsidTr="00F45D5C">
        <w:trPr>
          <w:trHeight w:val="113"/>
        </w:trPr>
        <w:tc>
          <w:tcPr>
            <w:tcW w:w="3175"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James </w:t>
            </w:r>
            <w:proofErr w:type="spellStart"/>
            <w:r w:rsidRPr="00F45D5C">
              <w:t>Merlino</w:t>
            </w:r>
            <w:proofErr w:type="spellEnd"/>
            <w:r w:rsidRPr="00F45D5C">
              <w:t>, MP</w:t>
            </w:r>
          </w:p>
        </w:tc>
        <w:tc>
          <w:tcPr>
            <w:tcW w:w="1588"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23 June 2018</w:t>
            </w:r>
          </w:p>
        </w:tc>
        <w:tc>
          <w:tcPr>
            <w:tcW w:w="340"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Minister for Racing</w:t>
            </w:r>
          </w:p>
        </w:tc>
        <w:tc>
          <w:tcPr>
            <w:tcW w:w="2494"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Martin </w:t>
            </w:r>
            <w:proofErr w:type="spellStart"/>
            <w:r w:rsidRPr="00F45D5C">
              <w:t>Pakula</w:t>
            </w:r>
            <w:proofErr w:type="spellEnd"/>
            <w:r w:rsidRPr="00F45D5C">
              <w:t>, MP</w:t>
            </w:r>
          </w:p>
        </w:tc>
        <w:tc>
          <w:tcPr>
            <w:tcW w:w="1588"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Minister for Racing</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23 September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October 2017</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22 December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7 January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Lisa Neville,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23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31 January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13 May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19 May 2018</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Gayle Tierney,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22 June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25 June 2018</w:t>
            </w:r>
          </w:p>
        </w:tc>
      </w:tr>
      <w:tr w:rsidRPr="00F45D5C" w:rsidR="00F423CA" w:rsidTr="00F45D5C">
        <w:trPr>
          <w:trHeight w:val="113"/>
        </w:trPr>
        <w:tc>
          <w:tcPr>
            <w:tcW w:w="3175"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Marlene </w:t>
            </w:r>
            <w:proofErr w:type="spellStart"/>
            <w:r w:rsidRPr="00F45D5C">
              <w:t>Kairouz</w:t>
            </w:r>
            <w:proofErr w:type="spellEnd"/>
            <w:r w:rsidRPr="00F45D5C">
              <w:t>, MP</w:t>
            </w:r>
          </w:p>
        </w:tc>
        <w:tc>
          <w:tcPr>
            <w:tcW w:w="1588"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26 June 2018</w:t>
            </w:r>
          </w:p>
        </w:tc>
        <w:tc>
          <w:tcPr>
            <w:tcW w:w="340"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Minister for Families and Children</w:t>
            </w:r>
          </w:p>
        </w:tc>
        <w:tc>
          <w:tcPr>
            <w:tcW w:w="2494"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The Hon. Jenny </w:t>
            </w:r>
            <w:proofErr w:type="spellStart"/>
            <w:r w:rsidRPr="00F45D5C">
              <w:t>Mikakos</w:t>
            </w:r>
            <w:proofErr w:type="spellEnd"/>
            <w:r w:rsidRPr="00F45D5C">
              <w:t>, MP</w:t>
            </w:r>
          </w:p>
        </w:tc>
        <w:tc>
          <w:tcPr>
            <w:tcW w:w="1588"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vMerge w:val="restart"/>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Minister for Families and Children</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Jill Hennessy, MP</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15 July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July 2017</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Jill Hennessy,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 December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10 December 2017</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Martin Foley,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14 January 2018</w:t>
            </w:r>
          </w:p>
        </w:tc>
      </w:tr>
      <w:tr w:rsidRPr="00F45D5C" w:rsidR="00F423CA" w:rsidTr="00F45D5C">
        <w:trPr>
          <w:trHeight w:val="113"/>
        </w:trPr>
        <w:tc>
          <w:tcPr>
            <w:tcW w:w="3175" w:type="dxa"/>
            <w:vMerge/>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Jill Hennessy, MP</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15 January 2018</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19 January 2018</w:t>
            </w:r>
          </w:p>
        </w:tc>
      </w:tr>
      <w:tr w:rsidRPr="00F45D5C" w:rsidR="00F423CA" w:rsidTr="00F45D5C">
        <w:trPr>
          <w:trHeight w:val="113"/>
        </w:trPr>
        <w:tc>
          <w:tcPr>
            <w:tcW w:w="3175" w:type="dxa"/>
            <w:vMerge/>
            <w:tcBorders>
              <w:top w:val="nil"/>
              <w:left w:val="nil"/>
              <w:bottom w:val="single" w:color="000000" w:sz="2"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The Hon. Jill Hennessy, MP</w:t>
            </w:r>
          </w:p>
        </w:tc>
        <w:tc>
          <w:tcPr>
            <w:tcW w:w="1588"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5 April 2018</w:t>
            </w:r>
          </w:p>
        </w:tc>
        <w:tc>
          <w:tcPr>
            <w:tcW w:w="340"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8 April 2018</w:t>
            </w:r>
          </w:p>
        </w:tc>
      </w:tr>
      <w:tr w:rsidRPr="00F45D5C" w:rsidR="00F423CA" w:rsidTr="00F45D5C">
        <w:trPr>
          <w:trHeight w:val="113"/>
        </w:trPr>
        <w:tc>
          <w:tcPr>
            <w:tcW w:w="3175"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Secretary</w:t>
            </w:r>
          </w:p>
        </w:tc>
        <w:tc>
          <w:tcPr>
            <w:tcW w:w="2494"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Greg Wilson</w:t>
            </w:r>
          </w:p>
        </w:tc>
        <w:tc>
          <w:tcPr>
            <w:tcW w:w="1588"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 July 2017</w:t>
            </w:r>
          </w:p>
        </w:tc>
        <w:tc>
          <w:tcPr>
            <w:tcW w:w="340"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single" w:color="000000" w:sz="2"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June 2018</w:t>
            </w:r>
          </w:p>
        </w:tc>
      </w:tr>
      <w:tr w:rsidRPr="00F45D5C" w:rsidR="00F423CA" w:rsidTr="00F45D5C">
        <w:trPr>
          <w:trHeight w:val="113"/>
        </w:trPr>
        <w:tc>
          <w:tcPr>
            <w:tcW w:w="3175"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Acting Secretary</w:t>
            </w:r>
          </w:p>
        </w:tc>
        <w:tc>
          <w:tcPr>
            <w:tcW w:w="2494"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Julia Griffith</w:t>
            </w:r>
          </w:p>
        </w:tc>
        <w:tc>
          <w:tcPr>
            <w:tcW w:w="1588"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9 July 2017</w:t>
            </w:r>
          </w:p>
        </w:tc>
        <w:tc>
          <w:tcPr>
            <w:tcW w:w="340"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single" w:color="000000" w:sz="2" w:space="0"/>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15 July 2017</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Julia Griffith</w:t>
            </w:r>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15 August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30 August 2017</w:t>
            </w:r>
          </w:p>
        </w:tc>
      </w:tr>
      <w:tr w:rsidRPr="00F45D5C" w:rsidR="00F423CA" w:rsidTr="00F45D5C">
        <w:trPr>
          <w:trHeight w:val="113"/>
        </w:trPr>
        <w:tc>
          <w:tcPr>
            <w:tcW w:w="3175" w:type="dxa"/>
            <w:tcBorders>
              <w:top w:val="nil"/>
              <w:left w:val="nil"/>
              <w:bottom w:val="nil"/>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 xml:space="preserve">Donald </w:t>
            </w:r>
            <w:proofErr w:type="spellStart"/>
            <w:r w:rsidRPr="00F45D5C">
              <w:t>Speagle</w:t>
            </w:r>
            <w:proofErr w:type="spellEnd"/>
          </w:p>
        </w:tc>
        <w:tc>
          <w:tcPr>
            <w:tcW w:w="1588"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27 December 2017</w:t>
            </w:r>
          </w:p>
        </w:tc>
        <w:tc>
          <w:tcPr>
            <w:tcW w:w="340"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nil"/>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14 January 2018</w:t>
            </w:r>
          </w:p>
        </w:tc>
      </w:tr>
      <w:tr w:rsidRPr="00F45D5C" w:rsidR="00F423CA" w:rsidTr="00F45D5C">
        <w:trPr>
          <w:trHeight w:val="113"/>
        </w:trPr>
        <w:tc>
          <w:tcPr>
            <w:tcW w:w="3175" w:type="dxa"/>
            <w:tcBorders>
              <w:top w:val="nil"/>
              <w:left w:val="nil"/>
              <w:bottom w:val="single" w:color="000000" w:sz="6" w:space="0"/>
              <w:right w:val="nil"/>
            </w:tcBorders>
            <w:tcMar>
              <w:top w:w="28" w:type="dxa"/>
              <w:left w:w="57" w:type="dxa"/>
              <w:bottom w:w="28" w:type="dxa"/>
              <w:right w:w="57" w:type="dxa"/>
            </w:tcMar>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2494" w:type="dxa"/>
            <w:tcBorders>
              <w:top w:val="nil"/>
              <w:left w:val="nil"/>
              <w:bottom w:val="single" w:color="000000" w:sz="6"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Julia Griffith</w:t>
            </w:r>
          </w:p>
        </w:tc>
        <w:tc>
          <w:tcPr>
            <w:tcW w:w="1588" w:type="dxa"/>
            <w:tcBorders>
              <w:top w:val="nil"/>
              <w:left w:val="nil"/>
              <w:bottom w:val="single" w:color="000000" w:sz="6"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15 January 2018</w:t>
            </w:r>
          </w:p>
        </w:tc>
        <w:tc>
          <w:tcPr>
            <w:tcW w:w="340" w:type="dxa"/>
            <w:tcBorders>
              <w:top w:val="nil"/>
              <w:left w:val="nil"/>
              <w:bottom w:val="single" w:color="000000" w:sz="6"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to</w:t>
            </w:r>
          </w:p>
        </w:tc>
        <w:tc>
          <w:tcPr>
            <w:tcW w:w="1617" w:type="dxa"/>
            <w:tcBorders>
              <w:top w:val="nil"/>
              <w:left w:val="nil"/>
              <w:bottom w:val="single" w:color="000000" w:sz="6" w:space="0"/>
              <w:right w:val="nil"/>
            </w:tcBorders>
            <w:tcMar>
              <w:top w:w="28" w:type="dxa"/>
              <w:left w:w="57" w:type="dxa"/>
              <w:bottom w:w="28" w:type="dxa"/>
              <w:right w:w="57" w:type="dxa"/>
            </w:tcMar>
          </w:tcPr>
          <w:p w:rsidRPr="00F45D5C" w:rsidR="00F423CA" w:rsidP="00F45D5C" w:rsidRDefault="004E2DCE">
            <w:pPr>
              <w:pStyle w:val="bodytableLtable"/>
              <w:spacing w:after="0" w:line="240" w:lineRule="auto"/>
            </w:pPr>
            <w:r w:rsidRPr="00F45D5C">
              <w:t>31 January 2018</w:t>
            </w:r>
          </w:p>
        </w:tc>
      </w:tr>
    </w:tbl>
    <w:p w:rsidR="00F423CA" w:rsidRDefault="00F423CA">
      <w:pPr>
        <w:pStyle w:val="Bodycopy"/>
      </w:pPr>
    </w:p>
    <w:p w:rsidR="00F423CA" w:rsidRDefault="004E2DCE">
      <w:pPr>
        <w:pStyle w:val="H4A"/>
      </w:pPr>
      <w:r>
        <w:lastRenderedPageBreak/>
        <w:t>Remuneration</w:t>
      </w:r>
    </w:p>
    <w:p w:rsidR="00F423CA" w:rsidRDefault="004E2DCE">
      <w:pPr>
        <w:pStyle w:val="Bodycopy"/>
      </w:pPr>
      <w:r>
        <w:t>Remuneration received or receivable by the Accountable Officer (Secretary) in connection with the management of the department during the reporting period was in the range: $520,000 - $529,000 ($530,000 - $539,999 in 2016-17).</w:t>
      </w:r>
    </w:p>
    <w:p w:rsidR="00F423CA" w:rsidRDefault="004E2DCE">
      <w:pPr>
        <w:pStyle w:val="H3"/>
      </w:pPr>
      <w:r>
        <w:t>9.6 Remuneration of executives</w:t>
      </w:r>
    </w:p>
    <w:p w:rsidR="00F423CA" w:rsidRDefault="004E2DCE">
      <w:pPr>
        <w:pStyle w:val="Bodycopy"/>
      </w:pPr>
      <w:r>
        <w:t xml:space="preserve">The number of executive officers, other than Ministers and the Accountable Officer, and their total remuneration during the reporting period are shown in the table below.  Total annualised employee equivalents </w:t>
      </w:r>
      <w:proofErr w:type="gramStart"/>
      <w:r>
        <w:t>provides</w:t>
      </w:r>
      <w:proofErr w:type="gramEnd"/>
      <w:r>
        <w:t xml:space="preserve"> a measure of full time equivalent executive officers over the reporting period.</w:t>
      </w:r>
    </w:p>
    <w:p w:rsidR="00F423CA" w:rsidRDefault="004E2DCE">
      <w:pPr>
        <w:pStyle w:val="Bodycopy"/>
      </w:pPr>
      <w:r>
        <w:t>Remuneration comprises employee benefits in all forms of consideration paid, payable or provided by the entity, or on behalf of the entity, in exchange for services rendered, and is disclosed in the following categories.</w:t>
      </w:r>
    </w:p>
    <w:p w:rsidR="00F423CA" w:rsidRDefault="004E2DCE">
      <w:pPr>
        <w:pStyle w:val="Bodycopy"/>
      </w:pPr>
      <w:r>
        <w:rPr>
          <w:rStyle w:val="medium"/>
          <w:b/>
          <w:bCs/>
        </w:rPr>
        <w:t>Short-term employee benefits</w:t>
      </w:r>
      <w:r>
        <w:t xml:space="preserve"> include amounts such as wages, salaries, paid annual leave and non-monetary benefits such as motor vehicle allowances.</w:t>
      </w:r>
    </w:p>
    <w:p w:rsidR="00F423CA" w:rsidRDefault="004E2DCE">
      <w:pPr>
        <w:pStyle w:val="Bodycopy"/>
      </w:pPr>
      <w:r>
        <w:rPr>
          <w:rStyle w:val="medium"/>
          <w:b/>
          <w:bCs/>
        </w:rPr>
        <w:t>Post-employment benefits</w:t>
      </w:r>
      <w:r>
        <w:t xml:space="preserve"> include superannuation entitlements.</w:t>
      </w:r>
    </w:p>
    <w:p w:rsidR="00F423CA" w:rsidRDefault="004E2DCE">
      <w:pPr>
        <w:pStyle w:val="Bodycopy"/>
      </w:pPr>
      <w:r>
        <w:rPr>
          <w:rStyle w:val="medium"/>
          <w:b/>
          <w:bCs/>
        </w:rPr>
        <w:t>Other long-term benefits</w:t>
      </w:r>
      <w:r>
        <w:t xml:space="preserve"> include long service leave and other </w:t>
      </w:r>
      <w:proofErr w:type="gramStart"/>
      <w:r>
        <w:t>long term</w:t>
      </w:r>
      <w:proofErr w:type="gramEnd"/>
      <w:r>
        <w:t xml:space="preserve"> benefits.</w:t>
      </w:r>
    </w:p>
    <w:p w:rsidR="00F423CA" w:rsidRDefault="004E2DCE">
      <w:pPr>
        <w:pStyle w:val="Bodycopy"/>
      </w:pPr>
      <w:r>
        <w:rPr>
          <w:rStyle w:val="medium"/>
          <w:b/>
          <w:bCs/>
        </w:rPr>
        <w:t>Termination benefits</w:t>
      </w:r>
      <w:r>
        <w:t xml:space="preserve"> include termination of employment payments, such as severance packages.</w:t>
      </w:r>
    </w:p>
    <w:p w:rsidR="00F423CA" w:rsidRDefault="004E2DCE">
      <w:pPr>
        <w:pStyle w:val="Bodycopy"/>
      </w:pPr>
      <w:r>
        <w:t>Several factors affected total remuneration payable to executives over the year.  A number of employment contracts were completed and renegotiated and a number of executive officers retired or resigned.  This had an impact on remuneration figures for the termination benefits category.  Additional roles were created to assist with key government initiatives, for example youth justice and corrections reforms.  In addition, a number of executive roles which were vacant in the previous reporting period were filled during the course of the year with pro-rata remuneration accordingly included in the short-term employee benefits category.</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F45D5C" w:rsidR="00F423CA" w:rsidTr="00F45D5C">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color w:val="542E8E"/>
              </w:rPr>
              <w:t>($ thousand)</w:t>
            </w:r>
          </w:p>
        </w:tc>
      </w:tr>
      <w:tr w:rsidRPr="00F45D5C" w:rsidR="00F423CA" w:rsidTr="00F45D5C">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rPr>
                <w:rStyle w:val="medium"/>
                <w:b/>
                <w:bCs/>
                <w:color w:val="542E8E"/>
              </w:rPr>
              <w:t xml:space="preserve">Remuneration of executive officers </w:t>
            </w:r>
            <w:r w:rsidRPr="00F45D5C">
              <w:rPr>
                <w:rStyle w:val="Superscript"/>
                <w:color w:val="542E8E"/>
              </w:rPr>
              <w:t>(</w:t>
            </w:r>
            <w:proofErr w:type="spellStart"/>
            <w:r w:rsidRPr="00F45D5C">
              <w:rPr>
                <w:rStyle w:val="Superscript"/>
                <w:color w:val="542E8E"/>
              </w:rPr>
              <w:t>i</w:t>
            </w:r>
            <w:proofErr w:type="spellEnd"/>
            <w:r w:rsidRPr="00F45D5C">
              <w:rPr>
                <w:rStyle w:val="Superscript"/>
                <w:color w:val="542E8E"/>
              </w:rPr>
              <w:t>)(ii)</w:t>
            </w:r>
            <w:r w:rsidRPr="00F45D5C">
              <w:rPr>
                <w:rStyle w:val="medium"/>
                <w:b/>
                <w:bCs/>
                <w:color w:val="542E8E"/>
              </w:rPr>
              <w:br/>
              <w:t>(including key management personnel disclosed in note 9.7)</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color w:val="542E8E"/>
              </w:rPr>
              <w:t>2017</w:t>
            </w:r>
          </w:p>
        </w:tc>
      </w:tr>
      <w:tr w:rsidRPr="00F45D5C" w:rsidR="00F423CA" w:rsidTr="00F45D5C">
        <w:trPr>
          <w:trHeight w:val="113"/>
        </w:trPr>
        <w:tc>
          <w:tcPr>
            <w:tcW w:w="6236" w:type="dxa"/>
            <w:tcBorders>
              <w:top w:val="single" w:color="000000" w:sz="8" w:space="0"/>
              <w:left w:val="nil"/>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t xml:space="preserve">Short-term employee benefits </w:t>
            </w:r>
            <w:r w:rsidRPr="00F45D5C">
              <w:rPr>
                <w:rStyle w:val="Superscript"/>
              </w:rPr>
              <w:t>(iii)</w:t>
            </w:r>
          </w:p>
        </w:tc>
        <w:tc>
          <w:tcPr>
            <w:tcW w:w="1418" w:type="dxa"/>
            <w:tcBorders>
              <w:top w:val="single" w:color="000000" w:sz="8" w:space="0"/>
              <w:left w:val="nil"/>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16,313 </w:t>
            </w:r>
          </w:p>
        </w:tc>
        <w:tc>
          <w:tcPr>
            <w:tcW w:w="1417" w:type="dxa"/>
            <w:tcBorders>
              <w:top w:val="single" w:color="000000" w:sz="8" w:space="0"/>
              <w:left w:val="nil"/>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14,491 </w:t>
            </w:r>
          </w:p>
        </w:tc>
      </w:tr>
      <w:tr w:rsidRPr="00F45D5C" w:rsidR="00F423CA" w:rsidTr="00F45D5C">
        <w:trPr>
          <w:trHeight w:val="113"/>
        </w:trPr>
        <w:tc>
          <w:tcPr>
            <w:tcW w:w="6236" w:type="dxa"/>
            <w:tcBorders>
              <w:left w:val="nil"/>
              <w:right w:val="nil"/>
            </w:tcBorders>
            <w:tcMar>
              <w:top w:w="28" w:type="dxa"/>
              <w:left w:w="57" w:type="dxa"/>
              <w:bottom w:w="28" w:type="dxa"/>
              <w:right w:w="57" w:type="dxa"/>
            </w:tcMar>
            <w:vAlign w:val="bottom"/>
          </w:tcPr>
          <w:p w:rsidRPr="00F45D5C" w:rsidR="00F423CA" w:rsidP="00F45D5C" w:rsidRDefault="004E2DCE">
            <w:pPr>
              <w:pStyle w:val="bodytableLtable"/>
              <w:spacing w:after="0" w:line="240" w:lineRule="auto"/>
            </w:pPr>
            <w:r w:rsidRPr="00F45D5C">
              <w:t>Post-employment benefits</w:t>
            </w:r>
          </w:p>
        </w:tc>
        <w:tc>
          <w:tcPr>
            <w:tcW w:w="1418" w:type="dxa"/>
            <w:tcBorders>
              <w:left w:val="nil"/>
              <w:right w:val="nil"/>
            </w:tcBorders>
            <w:tcMar>
              <w:top w:w="28" w:type="dxa"/>
              <w:left w:w="57" w:type="dxa"/>
              <w:bottom w:w="28" w:type="dxa"/>
              <w:right w:w="57" w:type="dxa"/>
            </w:tcMar>
            <w:vAlign w:val="bottom"/>
          </w:tcPr>
          <w:p w:rsidRPr="00F45D5C" w:rsidR="00F423CA" w:rsidP="00F45D5C" w:rsidRDefault="004E2DCE">
            <w:pPr>
              <w:pStyle w:val="bodytableRtable"/>
              <w:spacing w:after="0" w:line="240" w:lineRule="auto"/>
            </w:pPr>
            <w:r w:rsidRPr="00F45D5C">
              <w:t xml:space="preserve">1,397 </w:t>
            </w:r>
          </w:p>
        </w:tc>
        <w:tc>
          <w:tcPr>
            <w:tcW w:w="1417" w:type="dxa"/>
            <w:tcBorders>
              <w:left w:val="nil"/>
              <w:right w:val="nil"/>
            </w:tcBorders>
            <w:tcMar>
              <w:top w:w="28" w:type="dxa"/>
              <w:left w:w="57" w:type="dxa"/>
              <w:bottom w:w="28" w:type="dxa"/>
              <w:right w:w="57" w:type="dxa"/>
            </w:tcMar>
            <w:vAlign w:val="bottom"/>
          </w:tcPr>
          <w:p w:rsidRPr="00F45D5C" w:rsidR="00F423CA" w:rsidP="00F45D5C" w:rsidRDefault="004E2DCE">
            <w:pPr>
              <w:pStyle w:val="bodytableRtable"/>
              <w:spacing w:after="0" w:line="240" w:lineRule="auto"/>
            </w:pPr>
            <w:r w:rsidRPr="00F45D5C">
              <w:t xml:space="preserve">1,202 </w:t>
            </w:r>
          </w:p>
        </w:tc>
      </w:tr>
      <w:tr w:rsidRPr="00F45D5C" w:rsidR="00F423CA" w:rsidTr="00F45D5C">
        <w:trPr>
          <w:trHeight w:val="113"/>
        </w:trPr>
        <w:tc>
          <w:tcPr>
            <w:tcW w:w="6236" w:type="dxa"/>
            <w:tcBorders>
              <w:left w:val="nil"/>
              <w:right w:val="nil"/>
            </w:tcBorders>
            <w:tcMar>
              <w:top w:w="28" w:type="dxa"/>
              <w:left w:w="57" w:type="dxa"/>
              <w:bottom w:w="28" w:type="dxa"/>
              <w:right w:w="57" w:type="dxa"/>
            </w:tcMar>
            <w:vAlign w:val="bottom"/>
          </w:tcPr>
          <w:p w:rsidRPr="00F45D5C" w:rsidR="00F423CA" w:rsidP="00F45D5C" w:rsidRDefault="004E2DCE">
            <w:pPr>
              <w:pStyle w:val="bodytableLtable"/>
              <w:spacing w:after="0" w:line="240" w:lineRule="auto"/>
            </w:pPr>
            <w:r w:rsidRPr="00F45D5C">
              <w:t xml:space="preserve">Other long-term benefits </w:t>
            </w:r>
            <w:r w:rsidRPr="00F45D5C">
              <w:rPr>
                <w:rStyle w:val="Superscript"/>
              </w:rPr>
              <w:t>(iii)</w:t>
            </w:r>
          </w:p>
        </w:tc>
        <w:tc>
          <w:tcPr>
            <w:tcW w:w="1418" w:type="dxa"/>
            <w:tcBorders>
              <w:left w:val="nil"/>
              <w:right w:val="nil"/>
            </w:tcBorders>
            <w:tcMar>
              <w:top w:w="28" w:type="dxa"/>
              <w:left w:w="57" w:type="dxa"/>
              <w:bottom w:w="28" w:type="dxa"/>
              <w:right w:w="57" w:type="dxa"/>
            </w:tcMar>
            <w:vAlign w:val="bottom"/>
          </w:tcPr>
          <w:p w:rsidRPr="00F45D5C" w:rsidR="00F423CA" w:rsidP="00F45D5C" w:rsidRDefault="004E2DCE">
            <w:pPr>
              <w:pStyle w:val="bodytableRtable"/>
              <w:spacing w:after="0" w:line="240" w:lineRule="auto"/>
            </w:pPr>
            <w:r w:rsidRPr="00F45D5C">
              <w:t xml:space="preserve">516 </w:t>
            </w:r>
          </w:p>
        </w:tc>
        <w:tc>
          <w:tcPr>
            <w:tcW w:w="1417" w:type="dxa"/>
            <w:tcBorders>
              <w:left w:val="nil"/>
              <w:right w:val="nil"/>
            </w:tcBorders>
            <w:tcMar>
              <w:top w:w="28" w:type="dxa"/>
              <w:left w:w="57" w:type="dxa"/>
              <w:bottom w:w="28" w:type="dxa"/>
              <w:right w:w="57" w:type="dxa"/>
            </w:tcMar>
            <w:vAlign w:val="bottom"/>
          </w:tcPr>
          <w:p w:rsidRPr="00F45D5C" w:rsidR="00F423CA" w:rsidP="00F45D5C" w:rsidRDefault="004E2DCE">
            <w:pPr>
              <w:pStyle w:val="bodytableRtable"/>
              <w:spacing w:after="0" w:line="240" w:lineRule="auto"/>
            </w:pPr>
            <w:r w:rsidRPr="00F45D5C">
              <w:t xml:space="preserve">639 </w:t>
            </w:r>
          </w:p>
        </w:tc>
      </w:tr>
      <w:tr w:rsidRPr="00F45D5C" w:rsidR="00F423CA" w:rsidTr="00F45D5C">
        <w:trPr>
          <w:trHeight w:val="113"/>
        </w:trPr>
        <w:tc>
          <w:tcPr>
            <w:tcW w:w="6236" w:type="dxa"/>
            <w:tcBorders>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t>Termination benefits</w:t>
            </w:r>
          </w:p>
        </w:tc>
        <w:tc>
          <w:tcPr>
            <w:tcW w:w="1418" w:type="dxa"/>
            <w:tcBorders>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687 </w:t>
            </w:r>
          </w:p>
        </w:tc>
        <w:tc>
          <w:tcPr>
            <w:tcW w:w="1417" w:type="dxa"/>
            <w:tcBorders>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768 </w:t>
            </w:r>
          </w:p>
        </w:tc>
      </w:tr>
      <w:tr w:rsidRPr="00F45D5C" w:rsidR="00F423CA" w:rsidTr="00F45D5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rPr>
                <w:rStyle w:val="medium"/>
                <w:b/>
                <w:bCs/>
              </w:rPr>
              <w:t xml:space="preserve">Total remuneration </w:t>
            </w:r>
            <w:r w:rsidRPr="00F45D5C">
              <w:rPr>
                <w:rStyle w:val="Superscript"/>
              </w:rPr>
              <w:t>(iii)</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18,913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17,100 </w:t>
            </w:r>
          </w:p>
        </w:tc>
      </w:tr>
      <w:tr w:rsidRPr="00F45D5C" w:rsidR="00F423CA" w:rsidTr="00F45D5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rPr>
                <w:rStyle w:val="medium"/>
                <w:b/>
                <w:bCs/>
              </w:rPr>
              <w:t>Total number of executives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87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69 </w:t>
            </w:r>
          </w:p>
        </w:tc>
      </w:tr>
      <w:tr w:rsidRPr="00F45D5C" w:rsidR="00F423CA" w:rsidTr="00F45D5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rPr>
                <w:rStyle w:val="medium"/>
                <w:b/>
                <w:bCs/>
              </w:rPr>
              <w:t>Total annualised employee equivalents</w:t>
            </w:r>
            <w:r w:rsidRPr="00F45D5C">
              <w:rPr>
                <w:rStyle w:val="Superscript"/>
              </w:rPr>
              <w:t xml:space="preserve"> (iv)</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73.1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63.7 </w:t>
            </w:r>
          </w:p>
        </w:tc>
      </w:tr>
    </w:tbl>
    <w:p w:rsidR="00F423CA" w:rsidP="00F45D5C" w:rsidRDefault="004E2DCE">
      <w:pPr>
        <w:pStyle w:val="notestable"/>
        <w:spacing w:before="60"/>
        <w:ind w:left="227" w:hanging="227"/>
      </w:pPr>
      <w:r>
        <w:t>(</w:t>
      </w:r>
      <w:proofErr w:type="spellStart"/>
      <w:r>
        <w:t>i</w:t>
      </w:r>
      <w:proofErr w:type="spellEnd"/>
      <w:r>
        <w:t>)</w:t>
      </w:r>
      <w:r>
        <w:tab/>
        <w:t>Includes seven executive officers from the Victorian Government Solicitor’s Office.</w:t>
      </w:r>
    </w:p>
    <w:p w:rsidR="00F423CA" w:rsidRDefault="004E2DCE">
      <w:pPr>
        <w:pStyle w:val="notestable"/>
        <w:ind w:left="227" w:hanging="227"/>
      </w:pPr>
      <w:r>
        <w:t>(ii)</w:t>
      </w:r>
      <w:r>
        <w:tab/>
        <w:t xml:space="preserve">Includes persons who meet the definition of key management personnel (KMP) of the department under AASB 124 </w:t>
      </w:r>
      <w:r>
        <w:rPr>
          <w:rStyle w:val="italic"/>
        </w:rPr>
        <w:t>Related Party Disclosures</w:t>
      </w:r>
      <w:r>
        <w:t xml:space="preserve"> and are also reported within the related parties note disclosure (note 9.7).</w:t>
      </w:r>
    </w:p>
    <w:p w:rsidR="00F423CA" w:rsidRDefault="004E2DCE">
      <w:pPr>
        <w:pStyle w:val="notestable"/>
        <w:ind w:left="227" w:hanging="227"/>
      </w:pPr>
      <w:r>
        <w:t>(iii)</w:t>
      </w:r>
      <w:r>
        <w:tab/>
        <w:t>The 2016-17 comparative figures have changed due to clarification of the financial reporting requirements.</w:t>
      </w:r>
    </w:p>
    <w:p w:rsidR="00F423CA" w:rsidRDefault="004E2DCE">
      <w:pPr>
        <w:pStyle w:val="notestable"/>
        <w:ind w:left="227" w:hanging="227"/>
      </w:pPr>
      <w:r>
        <w:t>(iv)</w:t>
      </w:r>
      <w:r>
        <w:tab/>
        <w:t>The total annualised employee equivalent is based on the time fraction worked over the reporting period.</w:t>
      </w:r>
    </w:p>
    <w:p w:rsidR="00F423CA" w:rsidRDefault="00F423CA">
      <w:pPr>
        <w:pStyle w:val="notestable"/>
        <w:ind w:left="227" w:hanging="227"/>
      </w:pPr>
    </w:p>
    <w:p w:rsidR="00F423CA" w:rsidRDefault="004E2DCE">
      <w:pPr>
        <w:pStyle w:val="Bodycopy"/>
      </w:pPr>
      <w:r>
        <w:t>A reconciliation is provided in the report of operations between the number of executive officers disclosed in the above table and the number of executive officers disclosed in the report of operations.</w:t>
      </w:r>
    </w:p>
    <w:p w:rsidR="00F423CA" w:rsidRDefault="004E2DCE">
      <w:pPr>
        <w:pStyle w:val="H3"/>
      </w:pPr>
      <w:r>
        <w:t>9.7 Related parties</w:t>
      </w:r>
    </w:p>
    <w:p w:rsidR="00F423CA" w:rsidRDefault="004E2DCE">
      <w:pPr>
        <w:pStyle w:val="Bodycopy"/>
      </w:pPr>
      <w:r>
        <w:t>Related parties of the department include:</w:t>
      </w:r>
    </w:p>
    <w:p w:rsidR="00F423CA" w:rsidRDefault="004E2DCE">
      <w:pPr>
        <w:pStyle w:val="BodycopyBullet"/>
      </w:pPr>
      <w:r>
        <w:t>all key management personnel and their close family members and personal business interests (controlled entities, joint ventures and entities they have significant influence over);</w:t>
      </w:r>
    </w:p>
    <w:p w:rsidR="00F423CA" w:rsidRDefault="004E2DCE">
      <w:pPr>
        <w:pStyle w:val="BodycopyBullet"/>
      </w:pPr>
      <w:r>
        <w:t>all cabinet ministers and their close family members; and</w:t>
      </w:r>
    </w:p>
    <w:p w:rsidR="00F423CA" w:rsidRDefault="004E2DCE">
      <w:pPr>
        <w:pStyle w:val="BodycopyBulletspaceunder"/>
      </w:pPr>
      <w:r>
        <w:t xml:space="preserve">all departments and </w:t>
      </w:r>
      <w:proofErr w:type="gramStart"/>
      <w:r>
        <w:t>public sector</w:t>
      </w:r>
      <w:proofErr w:type="gramEnd"/>
      <w:r>
        <w:t xml:space="preserve"> entities that are controlled and consolidated into the whole of state consolidated financial statements.</w:t>
      </w:r>
    </w:p>
    <w:p w:rsidR="00F423CA" w:rsidRDefault="004E2DCE">
      <w:pPr>
        <w:pStyle w:val="Bodycopy"/>
      </w:pPr>
      <w:r>
        <w:t>All related party transactions have been entered into on an arm’s length basis.</w:t>
      </w:r>
    </w:p>
    <w:p w:rsidR="00F423CA" w:rsidRDefault="004E2DCE">
      <w:pPr>
        <w:pStyle w:val="Bodycopy"/>
      </w:pPr>
      <w:r>
        <w:rPr>
          <w:rStyle w:val="medium"/>
          <w:b/>
          <w:bCs/>
        </w:rPr>
        <w:t>Key management personnel</w:t>
      </w:r>
      <w:r>
        <w:t xml:space="preserve"> of the department </w:t>
      </w:r>
      <w:proofErr w:type="gramStart"/>
      <w:r>
        <w:t>includes</w:t>
      </w:r>
      <w:proofErr w:type="gramEnd"/>
      <w:r>
        <w:t>:</w:t>
      </w:r>
    </w:p>
    <w:p w:rsidR="00F423CA" w:rsidRDefault="004E2DCE">
      <w:pPr>
        <w:pStyle w:val="BodycopyBullet"/>
      </w:pPr>
      <w:r>
        <w:t>Portfolio Ministers (refer to note 9.5)</w:t>
      </w:r>
    </w:p>
    <w:p w:rsidR="00F423CA" w:rsidRDefault="004E2DCE">
      <w:pPr>
        <w:pStyle w:val="BodycopyBullet"/>
      </w:pPr>
      <w:r>
        <w:t>Secretary, Greg Wilson</w:t>
      </w:r>
    </w:p>
    <w:p w:rsidR="00F423CA" w:rsidRDefault="004E2DCE">
      <w:pPr>
        <w:pStyle w:val="BodycopyBullet"/>
      </w:pPr>
      <w:r>
        <w:t xml:space="preserve">Deputy Secretary Civil Justice, Donald </w:t>
      </w:r>
      <w:proofErr w:type="spellStart"/>
      <w:r>
        <w:t>Speagle</w:t>
      </w:r>
      <w:proofErr w:type="spellEnd"/>
    </w:p>
    <w:p w:rsidR="00F423CA" w:rsidRDefault="004E2DCE">
      <w:pPr>
        <w:pStyle w:val="BodycopyBullet"/>
      </w:pPr>
      <w:r>
        <w:t>Deputy Secretary Criminal Justice Strategy and Coordination, Kylie Kilgour</w:t>
      </w:r>
    </w:p>
    <w:p w:rsidR="00F423CA" w:rsidRDefault="004E2DCE">
      <w:pPr>
        <w:pStyle w:val="BodycopyBullet"/>
      </w:pPr>
      <w:r>
        <w:t>Deputy Secretary Criminal Law Policy and Operations, Ryan Phillips</w:t>
      </w:r>
    </w:p>
    <w:p w:rsidR="00F423CA" w:rsidRDefault="004E2DCE">
      <w:pPr>
        <w:pStyle w:val="BodycopyBullet"/>
      </w:pPr>
      <w:r>
        <w:t>Deputy Secretary Youth Justice, Julia Griffith</w:t>
      </w:r>
    </w:p>
    <w:p w:rsidR="00F423CA" w:rsidRDefault="004E2DCE">
      <w:pPr>
        <w:pStyle w:val="BodycopyBullet"/>
        <w:rPr>
          <w:spacing w:val="-3"/>
        </w:rPr>
      </w:pPr>
      <w:r>
        <w:rPr>
          <w:spacing w:val="-3"/>
        </w:rPr>
        <w:t>Lead Deputy Secretary Police, Emergency Management and Corrections (from 3 April 2018), Tony Bates</w:t>
      </w:r>
    </w:p>
    <w:p w:rsidR="00F423CA" w:rsidRDefault="004E2DCE">
      <w:pPr>
        <w:pStyle w:val="BodycopyBullet"/>
      </w:pPr>
      <w:r>
        <w:t>Deputy Secretary Police and Crime Prevention (from 10 July 2017), Kate Houghton</w:t>
      </w:r>
    </w:p>
    <w:p w:rsidR="00F423CA" w:rsidRDefault="004E2DCE">
      <w:pPr>
        <w:pStyle w:val="BodycopyBullet"/>
      </w:pPr>
      <w:r>
        <w:lastRenderedPageBreak/>
        <w:t xml:space="preserve">Acting Deputy Secretary Emergency Management, Marisa De </w:t>
      </w:r>
      <w:proofErr w:type="spellStart"/>
      <w:r>
        <w:t>Cicco</w:t>
      </w:r>
      <w:proofErr w:type="spellEnd"/>
    </w:p>
    <w:p w:rsidR="00F423CA" w:rsidRDefault="004E2DCE">
      <w:pPr>
        <w:pStyle w:val="BodycopyBullet"/>
      </w:pPr>
      <w:r>
        <w:t>Deputy Secretary Regulation, Simon Cohen</w:t>
      </w:r>
    </w:p>
    <w:p w:rsidR="00F423CA" w:rsidRDefault="004E2DCE">
      <w:pPr>
        <w:pStyle w:val="BodycopyBullet"/>
      </w:pPr>
      <w:r>
        <w:t>Deputy Secretary Service Strategy Reform, Carolyn Gale</w:t>
      </w:r>
    </w:p>
    <w:p w:rsidR="00F423CA" w:rsidRDefault="004E2DCE">
      <w:pPr>
        <w:pStyle w:val="BodycopyBullet"/>
      </w:pPr>
      <w:r>
        <w:t>Deputy Secretary Finance Infrastructure and Governance, Shaun Condron</w:t>
      </w:r>
    </w:p>
    <w:p w:rsidR="00F423CA" w:rsidRDefault="004E2DCE">
      <w:pPr>
        <w:pStyle w:val="BodycopyBullet"/>
      </w:pPr>
      <w:r>
        <w:t xml:space="preserve">Corrections Victoria Commissioner (from 1 June 2018), Emma </w:t>
      </w:r>
      <w:proofErr w:type="spellStart"/>
      <w:r>
        <w:t>Cassar</w:t>
      </w:r>
      <w:proofErr w:type="spellEnd"/>
    </w:p>
    <w:p w:rsidR="00F423CA" w:rsidRDefault="004E2DCE">
      <w:pPr>
        <w:pStyle w:val="BodycopyBullet"/>
      </w:pPr>
      <w:r>
        <w:t xml:space="preserve">Corrections Victoria Commissioner (until 11 January 2018), Jan </w:t>
      </w:r>
      <w:proofErr w:type="spellStart"/>
      <w:r>
        <w:t>Shuard</w:t>
      </w:r>
      <w:proofErr w:type="spellEnd"/>
    </w:p>
    <w:p w:rsidR="00F423CA" w:rsidRDefault="004E2DCE">
      <w:pPr>
        <w:pStyle w:val="BodycopyBullet"/>
      </w:pPr>
      <w:r>
        <w:t>Acting Corrections Victoria Commissioner (from 20 December 2017 to 31 May 2018), Rod Wise</w:t>
      </w:r>
    </w:p>
    <w:p w:rsidR="00F423CA" w:rsidRDefault="004E2DCE">
      <w:pPr>
        <w:pStyle w:val="BodycopyBullet"/>
      </w:pPr>
      <w:r>
        <w:t>Emergency Management Commissioner, Craig Lapsley</w:t>
      </w:r>
    </w:p>
    <w:p w:rsidR="00F423CA" w:rsidRDefault="004E2DCE">
      <w:pPr>
        <w:pStyle w:val="BodycopyBullet"/>
      </w:pPr>
      <w:r>
        <w:t>Road Safety Camera Commissioner, John Voyage</w:t>
      </w:r>
    </w:p>
    <w:p w:rsidR="00F423CA" w:rsidRDefault="004E2DCE">
      <w:pPr>
        <w:pStyle w:val="BodycopyBullet"/>
      </w:pPr>
      <w:r>
        <w:t>Chairperson Business Licensing Authority, Nicole Marshall</w:t>
      </w:r>
    </w:p>
    <w:p w:rsidR="00F423CA" w:rsidRDefault="004E2DCE">
      <w:pPr>
        <w:pStyle w:val="BodycopyBullet"/>
      </w:pPr>
      <w:r>
        <w:t>Chief Administrative Officer Post Sentence Authority, Bree Oliver</w:t>
      </w:r>
    </w:p>
    <w:p w:rsidR="00F423CA" w:rsidRDefault="004E2DCE">
      <w:pPr>
        <w:pStyle w:val="BodycopyBullet"/>
        <w:rPr>
          <w:spacing w:val="1"/>
        </w:rPr>
      </w:pPr>
      <w:r>
        <w:rPr>
          <w:spacing w:val="1"/>
        </w:rPr>
        <w:t>Executive Director Infringement Management and Enforcement Services (until 8 June 2018), Brendan Facey</w:t>
      </w:r>
    </w:p>
    <w:p w:rsidR="00F423CA" w:rsidRDefault="004E2DCE">
      <w:pPr>
        <w:pStyle w:val="BodycopyBullet"/>
      </w:pPr>
      <w:r>
        <w:t>Acting Executive Director Infringement Management and Enforcement Services, Emma Catford</w:t>
      </w:r>
    </w:p>
    <w:p w:rsidR="00F423CA" w:rsidRDefault="004E2DCE">
      <w:pPr>
        <w:pStyle w:val="BodycopyBullet"/>
      </w:pPr>
      <w:r>
        <w:t>Executive Director People and Culture, Miya Chiba</w:t>
      </w:r>
    </w:p>
    <w:p w:rsidR="00F423CA" w:rsidRDefault="004E2DCE">
      <w:pPr>
        <w:pStyle w:val="BodycopyBullet"/>
      </w:pPr>
      <w:r>
        <w:t xml:space="preserve">Executive Director Liquor, Gaming and Racing, Catherine </w:t>
      </w:r>
      <w:proofErr w:type="spellStart"/>
      <w:r>
        <w:t>Carr</w:t>
      </w:r>
      <w:proofErr w:type="spellEnd"/>
    </w:p>
    <w:p w:rsidR="00F423CA" w:rsidRDefault="004E2DCE">
      <w:pPr>
        <w:pStyle w:val="BodycopyBullet"/>
      </w:pPr>
      <w:r>
        <w:t>Executive Director North West Metropolitan Area, Peter Ewer</w:t>
      </w:r>
    </w:p>
    <w:p w:rsidR="00F423CA" w:rsidRDefault="004E2DCE">
      <w:pPr>
        <w:pStyle w:val="BodycopyBullet"/>
      </w:pPr>
      <w:r>
        <w:t>Acting Executive Director North West Metropolitan Area, Alison Wills</w:t>
      </w:r>
    </w:p>
    <w:p w:rsidR="00F423CA" w:rsidRDefault="004E2DCE">
      <w:pPr>
        <w:pStyle w:val="BodycopyBullet"/>
      </w:pPr>
      <w:r>
        <w:t>Executive Director West Area, Leanne Barnes</w:t>
      </w:r>
    </w:p>
    <w:p w:rsidR="00F423CA" w:rsidRDefault="004E2DCE">
      <w:pPr>
        <w:pStyle w:val="BodycopyBullet"/>
      </w:pPr>
      <w:r>
        <w:t>Executive Director North Area, Jodi Henderson</w:t>
      </w:r>
    </w:p>
    <w:p w:rsidR="00F423CA" w:rsidRDefault="004E2DCE">
      <w:pPr>
        <w:pStyle w:val="BodycopyBullet"/>
      </w:pPr>
      <w:r>
        <w:t>Executive Director South Area, Gabrielle Levine</w:t>
      </w:r>
    </w:p>
    <w:p w:rsidR="00F423CA" w:rsidRDefault="004E2DCE">
      <w:pPr>
        <w:pStyle w:val="BodycopyBullet"/>
      </w:pPr>
      <w:r>
        <w:t>Executive Director Police and Crime Prevention (until 27 August 2017), Camille Kingston</w:t>
      </w:r>
    </w:p>
    <w:p w:rsidR="00F423CA" w:rsidRDefault="004E2DCE">
      <w:pPr>
        <w:pStyle w:val="BodycopyBullet"/>
      </w:pPr>
      <w:r>
        <w:t>Director Office of the Secretary, Andreas Mansour</w:t>
      </w:r>
    </w:p>
    <w:p w:rsidR="00F423CA" w:rsidRDefault="004E2DCE">
      <w:pPr>
        <w:pStyle w:val="BodycopyBullet"/>
      </w:pPr>
      <w:r>
        <w:t>Director Built Environment and Business Sustainability, Justin Sawyers</w:t>
      </w:r>
    </w:p>
    <w:p w:rsidR="00F423CA" w:rsidRDefault="004E2DCE">
      <w:pPr>
        <w:pStyle w:val="BodycopyBullet"/>
      </w:pPr>
      <w:r>
        <w:t>Chief Information Officer (from 5 February 2018), Paul Virgo</w:t>
      </w:r>
    </w:p>
    <w:p w:rsidR="00F423CA" w:rsidRDefault="004E2DCE">
      <w:pPr>
        <w:pStyle w:val="BodycopyBullet"/>
      </w:pPr>
      <w:r>
        <w:t>Chief Information Officer (until 13 October 2017), Michael Cornelius</w:t>
      </w:r>
    </w:p>
    <w:p w:rsidR="00F423CA" w:rsidRDefault="004E2DCE">
      <w:pPr>
        <w:pStyle w:val="BodycopyBullet"/>
      </w:pPr>
      <w:r>
        <w:t xml:space="preserve">Acting Chief information Officer (from 18 September 2017 to 31 January 2018), Richard </w:t>
      </w:r>
      <w:proofErr w:type="spellStart"/>
      <w:r>
        <w:t>Wittmack</w:t>
      </w:r>
      <w:proofErr w:type="spellEnd"/>
    </w:p>
    <w:p w:rsidR="00F423CA" w:rsidRDefault="004E2DCE">
      <w:pPr>
        <w:pStyle w:val="BodycopyBullet"/>
      </w:pPr>
      <w:r>
        <w:t>Chief Procurement Officer, Phillip Chalkley</w:t>
      </w:r>
    </w:p>
    <w:p w:rsidR="00F423CA" w:rsidRDefault="004E2DCE">
      <w:pPr>
        <w:pStyle w:val="BodycopyBulletspaceunder"/>
      </w:pPr>
      <w:r>
        <w:t xml:space="preserve">Chief Finance Officer, Christopher </w:t>
      </w:r>
      <w:proofErr w:type="spellStart"/>
      <w:r>
        <w:t>Breitkreuz</w:t>
      </w:r>
      <w:proofErr w:type="spellEnd"/>
    </w:p>
    <w:p w:rsidR="00F423CA" w:rsidRDefault="004E2DCE">
      <w:pPr>
        <w:pStyle w:val="Bodycopy"/>
        <w:rPr>
          <w:spacing w:val="-2"/>
        </w:rPr>
      </w:pPr>
      <w:r>
        <w:rPr>
          <w:spacing w:val="-2"/>
        </w:rPr>
        <w:t xml:space="preserve">The compensation detailed below excludes the salaries and benefits of Portfolio Ministers. The Ministers’ remuneration and allowances are set by the </w:t>
      </w:r>
      <w:r>
        <w:rPr>
          <w:rStyle w:val="italic"/>
          <w:spacing w:val="-2"/>
        </w:rPr>
        <w:t>Parliamentary Salaries and Superannuation Act 1968</w:t>
      </w:r>
      <w:r>
        <w:rPr>
          <w:spacing w:val="-2"/>
        </w:rPr>
        <w:t xml:space="preserve"> and are reported within the Department of Parliamentary Services’ Financial Report.</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F45D5C" w:rsidR="00F423CA" w:rsidTr="00F45D5C">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color w:val="542E8E"/>
              </w:rPr>
              <w:t>($ thousand)</w:t>
            </w:r>
          </w:p>
        </w:tc>
      </w:tr>
      <w:tr w:rsidRPr="00F45D5C" w:rsidR="00F423CA" w:rsidTr="00F45D5C">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rPr>
                <w:rStyle w:val="medium"/>
                <w:b/>
                <w:bCs/>
                <w:color w:val="542E8E"/>
              </w:rPr>
              <w:t xml:space="preserve">Compensation of KMPs </w:t>
            </w:r>
            <w:r w:rsidRPr="00F45D5C">
              <w:rPr>
                <w:rStyle w:val="Superscript"/>
                <w:color w:val="542E8E"/>
              </w:rPr>
              <w:t>(</w:t>
            </w:r>
            <w:proofErr w:type="spellStart"/>
            <w:r w:rsidRPr="00F45D5C">
              <w:rPr>
                <w:rStyle w:val="Superscript"/>
                <w:color w:val="542E8E"/>
              </w:rPr>
              <w:t>i</w:t>
            </w:r>
            <w:proofErr w:type="spellEnd"/>
            <w:r w:rsidRPr="00F45D5C">
              <w:rPr>
                <w:rStyle w:val="Superscript"/>
                <w:color w:val="542E8E"/>
              </w:rPr>
              <w:t>)</w:t>
            </w: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color w:val="542E8E"/>
              </w:rPr>
              <w:t>2017</w:t>
            </w:r>
          </w:p>
        </w:tc>
      </w:tr>
      <w:tr w:rsidRPr="00F45D5C" w:rsidR="00F423CA" w:rsidTr="00F45D5C">
        <w:trPr>
          <w:trHeight w:val="113"/>
        </w:trPr>
        <w:tc>
          <w:tcPr>
            <w:tcW w:w="6236"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t xml:space="preserve">Short-term employee benefits </w:t>
            </w:r>
            <w:r w:rsidRPr="00F45D5C">
              <w:rPr>
                <w:rStyle w:val="Superscript"/>
              </w:rPr>
              <w:t>(ii)</w:t>
            </w:r>
          </w:p>
        </w:tc>
        <w:tc>
          <w:tcPr>
            <w:tcW w:w="1418"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7,020 </w:t>
            </w:r>
          </w:p>
        </w:tc>
        <w:tc>
          <w:tcPr>
            <w:tcW w:w="1417"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6,419 </w:t>
            </w:r>
          </w:p>
        </w:tc>
      </w:tr>
      <w:tr w:rsidRPr="00F45D5C" w:rsidR="00F423CA" w:rsidTr="00F45D5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t>Post-employment benefits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552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491 </w:t>
            </w:r>
          </w:p>
        </w:tc>
      </w:tr>
      <w:tr w:rsidRPr="00F45D5C" w:rsidR="00F423CA" w:rsidTr="00F45D5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t xml:space="preserve">Other long-term benefits </w:t>
            </w:r>
            <w:r w:rsidRPr="00F45D5C">
              <w:rPr>
                <w:rStyle w:val="Superscript"/>
              </w:rPr>
              <w:t>(ii)</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222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312 </w:t>
            </w:r>
          </w:p>
        </w:tc>
      </w:tr>
      <w:tr w:rsidRPr="00F45D5C" w:rsidR="00F423CA" w:rsidTr="00F45D5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t>Termination benefits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301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t xml:space="preserve">370 </w:t>
            </w:r>
          </w:p>
        </w:tc>
      </w:tr>
      <w:tr w:rsidRPr="00F45D5C" w:rsidR="00F423CA" w:rsidTr="00F45D5C">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Ltable"/>
              <w:spacing w:after="0" w:line="240" w:lineRule="auto"/>
            </w:pPr>
            <w:r w:rsidRPr="00F45D5C">
              <w:rPr>
                <w:rStyle w:val="medium"/>
                <w:b/>
                <w:bCs/>
              </w:rPr>
              <w:t xml:space="preserve">Total </w:t>
            </w:r>
            <w:r w:rsidRPr="00F45D5C">
              <w:rPr>
                <w:rStyle w:val="Superscript"/>
              </w:rPr>
              <w:t>(ii)</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8,095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F45D5C" w:rsidR="00F423CA" w:rsidP="00F45D5C" w:rsidRDefault="004E2DCE">
            <w:pPr>
              <w:pStyle w:val="bodytableRtable"/>
              <w:spacing w:after="0" w:line="240" w:lineRule="auto"/>
            </w:pPr>
            <w:r w:rsidRPr="00F45D5C">
              <w:rPr>
                <w:rStyle w:val="medium"/>
                <w:b/>
                <w:bCs/>
              </w:rPr>
              <w:t xml:space="preserve">7,592 </w:t>
            </w:r>
          </w:p>
        </w:tc>
      </w:tr>
    </w:tbl>
    <w:p w:rsidR="00F423CA" w:rsidP="00296DCA" w:rsidRDefault="004E2DCE">
      <w:pPr>
        <w:pStyle w:val="notestable"/>
        <w:spacing w:before="60"/>
        <w:ind w:left="227" w:hanging="227"/>
      </w:pPr>
      <w:r>
        <w:t>(</w:t>
      </w:r>
      <w:proofErr w:type="spellStart"/>
      <w:r>
        <w:t>i</w:t>
      </w:r>
      <w:proofErr w:type="spellEnd"/>
      <w:r>
        <w:t>)</w:t>
      </w:r>
      <w:r>
        <w:tab/>
        <w:t xml:space="preserve">KMPs, excluding the Ministers and Accountable </w:t>
      </w:r>
      <w:proofErr w:type="gramStart"/>
      <w:r>
        <w:t>Officer,  are</w:t>
      </w:r>
      <w:proofErr w:type="gramEnd"/>
      <w:r>
        <w:t xml:space="preserve"> also reported in the disclosure of remuneration of executive officers (note 9.6).</w:t>
      </w:r>
    </w:p>
    <w:p w:rsidR="00F423CA" w:rsidRDefault="004E2DCE">
      <w:pPr>
        <w:pStyle w:val="notestable"/>
        <w:ind w:left="227" w:hanging="227"/>
      </w:pPr>
      <w:r>
        <w:t>(ii)</w:t>
      </w:r>
      <w:r>
        <w:tab/>
        <w:t>The 2016-17 comparative figures have changed due to clarification of the financial reporting requirements.</w:t>
      </w:r>
    </w:p>
    <w:p w:rsidR="00F423CA" w:rsidRDefault="00F423CA">
      <w:pPr>
        <w:pStyle w:val="notestable"/>
        <w:ind w:left="283" w:hanging="283"/>
      </w:pPr>
    </w:p>
    <w:p w:rsidR="00F423CA" w:rsidRDefault="004E2DCE">
      <w:pPr>
        <w:pStyle w:val="H4A"/>
      </w:pPr>
      <w:r>
        <w:t>Transactions and balances with key management personnel and other related parties</w:t>
      </w:r>
    </w:p>
    <w:p w:rsidR="00F423CA" w:rsidRDefault="004E2DCE">
      <w:pPr>
        <w:pStyle w:val="Bodycopy"/>
        <w:rPr>
          <w:spacing w:val="-1"/>
        </w:rPr>
      </w:pPr>
      <w:r>
        <w:rPr>
          <w:spacing w:val="-1"/>
        </w:rPr>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Pr>
          <w:rStyle w:val="italic"/>
          <w:spacing w:val="-1"/>
        </w:rPr>
        <w:t>Public Administration Act 2004</w:t>
      </w:r>
      <w:r>
        <w:rPr>
          <w:spacing w:val="-1"/>
        </w:rPr>
        <w:t xml:space="preserve"> and Codes of Conduct and Standards issued by the Victorian </w:t>
      </w:r>
      <w:proofErr w:type="gramStart"/>
      <w:r>
        <w:rPr>
          <w:spacing w:val="-1"/>
        </w:rPr>
        <w:t>Public Sector</w:t>
      </w:r>
      <w:proofErr w:type="gramEnd"/>
      <w:r>
        <w:rPr>
          <w:spacing w:val="-1"/>
        </w:rPr>
        <w:t xml:space="preserve"> Commission.  Procurement processes occur on terms and conditions consistent with the Victorian Government Procurement Board requirements.</w:t>
      </w:r>
    </w:p>
    <w:p w:rsidR="00F423CA" w:rsidRDefault="004E2DCE">
      <w:pPr>
        <w:pStyle w:val="Bodycopy"/>
      </w:pPr>
      <w:r>
        <w:t>Outside of normal citizen type transactions with the department, there were no related party transactions that involved key management personnel, their close family members and their personal business interests.  No provision has been required, nor any expense recognised, for impairment of receivables from related parties.</w:t>
      </w:r>
    </w:p>
    <w:p w:rsidR="00F423CA" w:rsidRDefault="004E2DCE">
      <w:pPr>
        <w:pStyle w:val="Bodycopy"/>
      </w:pPr>
      <w:r>
        <w:t>The department receives income from government such as the appropriations shown in note 2.2, and income from government-related-entities such as grant income as shown in note 2.5, and other income as shown in note 2.6.  The department pays government-related-entities grants as shown in note 3.3, the capital asset charge as shown in note 3.4, some of the technology services as shown in note 3.5 and for payments into the consolidated fund as shown in note 4.3.</w:t>
      </w:r>
    </w:p>
    <w:p w:rsidR="00296DCA" w:rsidP="00B572FB" w:rsidRDefault="00296DCA">
      <w:pPr>
        <w:pStyle w:val="Bodycopy"/>
      </w:pPr>
      <w:r>
        <w:br w:type="page"/>
      </w:r>
    </w:p>
    <w:p w:rsidR="00F423CA" w:rsidRDefault="004E2DCE">
      <w:pPr>
        <w:pStyle w:val="H3"/>
      </w:pPr>
      <w:r>
        <w:lastRenderedPageBreak/>
        <w:t>9.8 Remuneration of auditors</w:t>
      </w:r>
    </w:p>
    <w:tbl>
      <w:tblPr>
        <w:tblW w:w="0" w:type="auto"/>
        <w:tblInd w:w="57" w:type="dxa"/>
        <w:tblLayout w:type="fixed"/>
        <w:tblCellMar>
          <w:left w:w="0" w:type="dxa"/>
          <w:right w:w="0" w:type="dxa"/>
        </w:tblCellMar>
        <w:tblLook w:firstRow="0" w:lastRow="0" w:firstColumn="0" w:lastColumn="0" w:noHBand="0" w:noVBand="0" w:val="0000"/>
      </w:tblPr>
      <w:tblGrid>
        <w:gridCol w:w="6236"/>
        <w:gridCol w:w="1418"/>
        <w:gridCol w:w="1417"/>
      </w:tblGrid>
      <w:tr w:rsidRPr="00296DCA" w:rsidR="00F423CA" w:rsidTr="00296DCA">
        <w:trPr>
          <w:trHeight w:val="113"/>
          <w:tblHeader/>
        </w:trPr>
        <w:tc>
          <w:tcPr>
            <w:tcW w:w="6236"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296DCA" w:rsidR="00F423CA" w:rsidP="00296DCA" w:rsidRDefault="00F423CA">
            <w:pPr>
              <w:pStyle w:val="NoParagraphStyle"/>
              <w:spacing w:line="240" w:lineRule="auto"/>
              <w:textAlignment w:val="auto"/>
              <w:rPr>
                <w:rFonts w:ascii="Arial" w:hAnsi="Arial" w:cs="Arial"/>
                <w:color w:val="auto"/>
                <w:sz w:val="16"/>
                <w:szCs w:val="16"/>
              </w:rPr>
            </w:pPr>
          </w:p>
        </w:tc>
        <w:tc>
          <w:tcPr>
            <w:tcW w:w="1418"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296DCA" w:rsidR="00F423CA" w:rsidP="00296DCA" w:rsidRDefault="00F423CA">
            <w:pPr>
              <w:pStyle w:val="NoParagraphStyle"/>
              <w:spacing w:line="240" w:lineRule="auto"/>
              <w:textAlignment w:val="auto"/>
              <w:rPr>
                <w:rFonts w:ascii="Arial" w:hAnsi="Arial" w:cs="Arial"/>
                <w:color w:val="auto"/>
                <w:sz w:val="16"/>
                <w:szCs w:val="16"/>
              </w:rPr>
            </w:pPr>
          </w:p>
        </w:tc>
        <w:tc>
          <w:tcPr>
            <w:tcW w:w="1417" w:type="dxa"/>
            <w:tcBorders>
              <w:top w:val="dotted" w:color="000000" w:sz="6" w:space="0"/>
              <w:left w:val="nil"/>
              <w:bottom w:val="single" w:color="542E8E" w:sz="6" w:space="0"/>
              <w:right w:val="nil"/>
            </w:tcBorders>
            <w:shd w:val="solid" w:color="FFFFFF" w:fill="auto"/>
            <w:tcMar>
              <w:top w:w="57" w:type="dxa"/>
              <w:left w:w="57" w:type="dxa"/>
              <w:bottom w:w="57" w:type="dxa"/>
              <w:right w:w="57" w:type="dxa"/>
            </w:tcMar>
            <w:vAlign w:val="bottom"/>
          </w:tcPr>
          <w:p w:rsidRPr="00296DCA" w:rsidR="00F423CA" w:rsidP="00296DCA" w:rsidRDefault="004E2DCE">
            <w:pPr>
              <w:pStyle w:val="bodytableRtable"/>
              <w:spacing w:after="0" w:line="240" w:lineRule="auto"/>
            </w:pPr>
            <w:r w:rsidRPr="00296DCA">
              <w:rPr>
                <w:rStyle w:val="medium"/>
                <w:b/>
                <w:bCs/>
                <w:color w:val="542E8E"/>
              </w:rPr>
              <w:t>($ thousand)</w:t>
            </w:r>
          </w:p>
        </w:tc>
      </w:tr>
      <w:tr w:rsidRPr="00296DCA" w:rsidR="00F423CA" w:rsidTr="00296DCA">
        <w:trPr>
          <w:trHeight w:val="113"/>
          <w:tblHeader/>
        </w:trPr>
        <w:tc>
          <w:tcPr>
            <w:tcW w:w="6236"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296DCA" w:rsidR="00F423CA" w:rsidP="00296DCA" w:rsidRDefault="00F423CA">
            <w:pPr>
              <w:pStyle w:val="NoParagraphStyle"/>
              <w:spacing w:line="240" w:lineRule="auto"/>
              <w:textAlignment w:val="auto"/>
              <w:rPr>
                <w:rFonts w:ascii="Arial" w:hAnsi="Arial" w:cs="Arial"/>
                <w:color w:val="auto"/>
                <w:sz w:val="16"/>
                <w:szCs w:val="16"/>
              </w:rPr>
            </w:pPr>
          </w:p>
        </w:tc>
        <w:tc>
          <w:tcPr>
            <w:tcW w:w="1418"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296DCA" w:rsidR="00F423CA" w:rsidP="00296DCA" w:rsidRDefault="004E2DCE">
            <w:pPr>
              <w:pStyle w:val="bodytableRtable"/>
              <w:spacing w:after="0" w:line="240" w:lineRule="auto"/>
            </w:pPr>
            <w:r w:rsidRPr="00296DCA">
              <w:rPr>
                <w:rStyle w:val="medium"/>
                <w:b/>
                <w:bCs/>
                <w:color w:val="542E8E"/>
              </w:rPr>
              <w:t>2018</w:t>
            </w:r>
          </w:p>
        </w:tc>
        <w:tc>
          <w:tcPr>
            <w:tcW w:w="1417" w:type="dxa"/>
            <w:tcBorders>
              <w:top w:val="single" w:color="542E8E" w:sz="6" w:space="0"/>
              <w:left w:val="nil"/>
              <w:bottom w:val="single" w:color="542E8E" w:sz="6" w:space="0"/>
              <w:right w:val="nil"/>
            </w:tcBorders>
            <w:shd w:val="solid" w:color="FFFFFF" w:fill="auto"/>
            <w:tcMar>
              <w:top w:w="57" w:type="dxa"/>
              <w:left w:w="57" w:type="dxa"/>
              <w:bottom w:w="57" w:type="dxa"/>
              <w:right w:w="57" w:type="dxa"/>
            </w:tcMar>
            <w:vAlign w:val="bottom"/>
          </w:tcPr>
          <w:p w:rsidRPr="00296DCA" w:rsidR="00F423CA" w:rsidP="00296DCA" w:rsidRDefault="004E2DCE">
            <w:pPr>
              <w:pStyle w:val="bodytableRtable"/>
              <w:spacing w:after="0" w:line="240" w:lineRule="auto"/>
            </w:pPr>
            <w:r w:rsidRPr="00296DCA">
              <w:rPr>
                <w:rStyle w:val="medium"/>
                <w:b/>
                <w:bCs/>
                <w:color w:val="542E8E"/>
              </w:rPr>
              <w:t>2017</w:t>
            </w:r>
          </w:p>
        </w:tc>
      </w:tr>
      <w:tr w:rsidRPr="00296DCA" w:rsidR="00F423CA" w:rsidTr="00296DCA">
        <w:trPr>
          <w:trHeight w:val="113"/>
        </w:trPr>
        <w:tc>
          <w:tcPr>
            <w:tcW w:w="6236"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4E2DCE">
            <w:pPr>
              <w:pStyle w:val="bodytableLtable"/>
              <w:spacing w:after="0" w:line="240" w:lineRule="auto"/>
            </w:pPr>
            <w:r w:rsidRPr="00296DCA">
              <w:rPr>
                <w:rStyle w:val="medium"/>
                <w:b/>
                <w:bCs/>
              </w:rPr>
              <w:t>Victorian Auditor-General’s Office</w:t>
            </w:r>
          </w:p>
        </w:tc>
        <w:tc>
          <w:tcPr>
            <w:tcW w:w="1418"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F423CA">
            <w:pPr>
              <w:pStyle w:val="NoParagraphStyle"/>
              <w:spacing w:line="240" w:lineRule="auto"/>
              <w:textAlignment w:val="auto"/>
              <w:rPr>
                <w:rFonts w:ascii="Arial" w:hAnsi="Arial" w:cs="Arial"/>
                <w:color w:val="auto"/>
                <w:sz w:val="16"/>
                <w:szCs w:val="16"/>
              </w:rPr>
            </w:pPr>
          </w:p>
        </w:tc>
        <w:tc>
          <w:tcPr>
            <w:tcW w:w="1417" w:type="dxa"/>
            <w:tcBorders>
              <w:top w:val="single" w:color="000000" w:sz="8"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F423CA">
            <w:pPr>
              <w:pStyle w:val="NoParagraphStyle"/>
              <w:spacing w:line="240" w:lineRule="auto"/>
              <w:textAlignment w:val="auto"/>
              <w:rPr>
                <w:rFonts w:ascii="Arial" w:hAnsi="Arial" w:cs="Arial"/>
                <w:color w:val="auto"/>
                <w:sz w:val="16"/>
                <w:szCs w:val="16"/>
              </w:rPr>
            </w:pPr>
          </w:p>
        </w:tc>
      </w:tr>
      <w:tr w:rsidRPr="00296DCA" w:rsidR="00F423CA" w:rsidTr="00296DCA">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4E2DCE">
            <w:pPr>
              <w:pStyle w:val="bodytableLtable"/>
              <w:spacing w:after="0" w:line="240" w:lineRule="auto"/>
            </w:pPr>
            <w:r w:rsidRPr="00296DCA">
              <w:t>Audit of the financial statements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4E2DCE">
            <w:pPr>
              <w:pStyle w:val="bodytableRtable"/>
              <w:spacing w:after="0" w:line="240" w:lineRule="auto"/>
            </w:pPr>
            <w:r w:rsidRPr="00296DCA">
              <w:t xml:space="preserve">339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4E2DCE">
            <w:pPr>
              <w:pStyle w:val="bodytableRtable"/>
              <w:spacing w:after="0" w:line="240" w:lineRule="auto"/>
            </w:pPr>
            <w:r w:rsidRPr="00296DCA">
              <w:t xml:space="preserve">331 </w:t>
            </w:r>
          </w:p>
        </w:tc>
      </w:tr>
      <w:tr w:rsidRPr="00296DCA" w:rsidR="00F423CA" w:rsidTr="00296DCA">
        <w:trPr>
          <w:trHeight w:val="113"/>
        </w:trPr>
        <w:tc>
          <w:tcPr>
            <w:tcW w:w="6236"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4E2DCE">
            <w:pPr>
              <w:pStyle w:val="bodytableLtable"/>
              <w:spacing w:after="0" w:line="240" w:lineRule="auto"/>
            </w:pPr>
            <w:r w:rsidRPr="00296DCA">
              <w:rPr>
                <w:rStyle w:val="medium"/>
                <w:b/>
                <w:bCs/>
              </w:rPr>
              <w:t>Total remuneration of auditors</w:t>
            </w:r>
          </w:p>
        </w:tc>
        <w:tc>
          <w:tcPr>
            <w:tcW w:w="1418"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4E2DCE">
            <w:pPr>
              <w:pStyle w:val="bodytableRtable"/>
              <w:spacing w:after="0" w:line="240" w:lineRule="auto"/>
            </w:pPr>
            <w:r w:rsidRPr="00296DCA">
              <w:rPr>
                <w:rStyle w:val="medium"/>
                <w:b/>
                <w:bCs/>
              </w:rPr>
              <w:t xml:space="preserve">339 </w:t>
            </w:r>
          </w:p>
        </w:tc>
        <w:tc>
          <w:tcPr>
            <w:tcW w:w="1417" w:type="dxa"/>
            <w:tcBorders>
              <w:top w:val="single" w:color="000000" w:sz="6" w:space="0"/>
              <w:left w:val="nil"/>
              <w:bottom w:val="single" w:color="000000" w:sz="6" w:space="0"/>
              <w:right w:val="nil"/>
            </w:tcBorders>
            <w:tcMar>
              <w:top w:w="57" w:type="dxa"/>
              <w:left w:w="57" w:type="dxa"/>
              <w:bottom w:w="57" w:type="dxa"/>
              <w:right w:w="57" w:type="dxa"/>
            </w:tcMar>
            <w:vAlign w:val="bottom"/>
          </w:tcPr>
          <w:p w:rsidRPr="00296DCA" w:rsidR="00F423CA" w:rsidP="00296DCA" w:rsidRDefault="004E2DCE">
            <w:pPr>
              <w:pStyle w:val="bodytableRtable"/>
              <w:spacing w:after="0" w:line="240" w:lineRule="auto"/>
            </w:pPr>
            <w:r w:rsidRPr="00296DCA">
              <w:rPr>
                <w:rStyle w:val="medium"/>
                <w:b/>
                <w:bCs/>
              </w:rPr>
              <w:t xml:space="preserve">331 </w:t>
            </w:r>
          </w:p>
        </w:tc>
      </w:tr>
    </w:tbl>
    <w:p w:rsidRPr="00296DCA" w:rsidR="00F423CA" w:rsidP="00296DCA" w:rsidRDefault="00F423CA">
      <w:pPr>
        <w:pStyle w:val="Bodycopy"/>
      </w:pPr>
    </w:p>
    <w:p w:rsidR="00F423CA" w:rsidRDefault="004E2DCE">
      <w:pPr>
        <w:pStyle w:val="H3"/>
      </w:pPr>
      <w:r>
        <w:t>9.9 Australian Accounting Standards issued that are not yet effective</w:t>
      </w:r>
    </w:p>
    <w:p w:rsidR="00F423CA" w:rsidRDefault="004E2DCE">
      <w:pPr>
        <w:pStyle w:val="Bodycopy"/>
      </w:pPr>
      <w:r>
        <w:t>Certain new Australian Accounting Standards (AAS) have been published that are not mandatory for the 30 June 2018 reporting period.  The Department of Treasury and Finance (DTF) assesses the impact of these new standards and advises the department of their applicability and early adoption where applicable.</w:t>
      </w:r>
    </w:p>
    <w:p w:rsidR="00F423CA" w:rsidRDefault="004E2DCE">
      <w:pPr>
        <w:pStyle w:val="Bodycopy"/>
      </w:pPr>
      <w:r>
        <w:t>As at 30 June 2018, the following standards that are applicable to the department had been issued but were not mandatory for the financial year ending 30 June 2018.  Standards that are not applicable to the department have been omitted.  The department has not early adopted these standards.</w:t>
      </w:r>
    </w:p>
    <w:tbl>
      <w:tblPr>
        <w:tblW w:w="0" w:type="auto"/>
        <w:tblInd w:w="8" w:type="dxa"/>
        <w:tblLayout w:type="fixed"/>
        <w:tblCellMar>
          <w:left w:w="0" w:type="dxa"/>
          <w:right w:w="0" w:type="dxa"/>
        </w:tblCellMar>
        <w:tblLook w:firstRow="0" w:lastRow="0" w:firstColumn="0" w:lastColumn="0" w:noHBand="0" w:noVBand="0" w:val="0000"/>
      </w:tblPr>
      <w:tblGrid>
        <w:gridCol w:w="985"/>
        <w:gridCol w:w="3118"/>
        <w:gridCol w:w="1701"/>
        <w:gridCol w:w="4253"/>
      </w:tblGrid>
      <w:tr w:rsidRPr="00296DCA" w:rsidR="00F423CA" w:rsidTr="00296DCA">
        <w:trPr>
          <w:trHeight w:val="60"/>
          <w:tblHeader/>
        </w:trPr>
        <w:tc>
          <w:tcPr>
            <w:tcW w:w="985" w:type="dxa"/>
            <w:tcBorders>
              <w:top w:val="dotted" w:color="FFFFFF" w:themeColor="background1" w:sz="6" w:space="0"/>
              <w:bottom w:val="single" w:color="542E8E" w:sz="6" w:space="0"/>
              <w:right w:val="dotted" w:color="FFFFFF" w:themeColor="background1" w:sz="6" w:space="0"/>
            </w:tcBorders>
            <w:shd w:val="solid" w:color="FFFFFF" w:fill="auto"/>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rStyle w:val="medium"/>
                <w:b/>
                <w:bCs/>
                <w:color w:val="542E8E"/>
                <w:sz w:val="14"/>
                <w:szCs w:val="14"/>
              </w:rPr>
              <w:t>Standard</w:t>
            </w:r>
          </w:p>
        </w:tc>
        <w:tc>
          <w:tcPr>
            <w:tcW w:w="3118" w:type="dxa"/>
            <w:tcBorders>
              <w:top w:val="dotted" w:color="FFFFFF" w:themeColor="background1" w:sz="6" w:space="0"/>
              <w:left w:val="dotted" w:color="FFFFFF" w:themeColor="background1" w:sz="6" w:space="0"/>
              <w:bottom w:val="single" w:color="542E8E" w:sz="6" w:space="0"/>
              <w:right w:val="dotted" w:color="FFFFFF" w:themeColor="background1" w:sz="6" w:space="0"/>
            </w:tcBorders>
            <w:shd w:val="solid" w:color="FFFFFF" w:fill="auto"/>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rStyle w:val="medium"/>
                <w:b/>
                <w:bCs/>
                <w:color w:val="542E8E"/>
                <w:sz w:val="14"/>
                <w:szCs w:val="14"/>
              </w:rPr>
              <w:t>Summary</w:t>
            </w:r>
          </w:p>
        </w:tc>
        <w:tc>
          <w:tcPr>
            <w:tcW w:w="1701" w:type="dxa"/>
            <w:tcBorders>
              <w:top w:val="dotted" w:color="FFFFFF" w:themeColor="background1" w:sz="6" w:space="0"/>
              <w:left w:val="dotted" w:color="FFFFFF" w:themeColor="background1" w:sz="6" w:space="0"/>
              <w:bottom w:val="single" w:color="542E8E" w:sz="6" w:space="0"/>
              <w:right w:val="dotted" w:color="FFFFFF" w:themeColor="background1" w:sz="6" w:space="0"/>
            </w:tcBorders>
            <w:shd w:val="solid" w:color="FFFFFF" w:fill="auto"/>
            <w:tcMar>
              <w:top w:w="57" w:type="dxa"/>
              <w:left w:w="113" w:type="dxa"/>
              <w:bottom w:w="57" w:type="dxa"/>
              <w:right w:w="57" w:type="dxa"/>
            </w:tcMar>
          </w:tcPr>
          <w:p w:rsidRPr="00296DCA" w:rsidR="00F423CA" w:rsidP="00296DCA" w:rsidRDefault="004E2DCE">
            <w:pPr>
              <w:pStyle w:val="bodytableLtable"/>
              <w:spacing w:after="0" w:line="240" w:lineRule="auto"/>
              <w:rPr>
                <w:sz w:val="14"/>
                <w:szCs w:val="14"/>
              </w:rPr>
            </w:pPr>
            <w:r w:rsidRPr="00296DCA">
              <w:rPr>
                <w:rStyle w:val="medium"/>
                <w:b/>
                <w:bCs/>
                <w:color w:val="542E8E"/>
                <w:sz w:val="14"/>
                <w:szCs w:val="14"/>
              </w:rPr>
              <w:t xml:space="preserve">Applicable </w:t>
            </w:r>
            <w:r w:rsidRPr="00296DCA">
              <w:rPr>
                <w:rStyle w:val="medium"/>
                <w:b/>
                <w:bCs/>
                <w:color w:val="542E8E"/>
                <w:sz w:val="14"/>
                <w:szCs w:val="14"/>
              </w:rPr>
              <w:br/>
              <w:t xml:space="preserve">for </w:t>
            </w:r>
            <w:r w:rsidRPr="00296DCA">
              <w:rPr>
                <w:rStyle w:val="medium"/>
                <w:b/>
                <w:bCs/>
                <w:color w:val="542E8E"/>
                <w:spacing w:val="-4"/>
                <w:sz w:val="14"/>
                <w:szCs w:val="14"/>
              </w:rPr>
              <w:t>annual reporting periods beginning after</w:t>
            </w:r>
          </w:p>
        </w:tc>
        <w:tc>
          <w:tcPr>
            <w:tcW w:w="4253" w:type="dxa"/>
            <w:tcBorders>
              <w:top w:val="dotted" w:color="FFFFFF" w:themeColor="background1" w:sz="6" w:space="0"/>
              <w:left w:val="dotted" w:color="FFFFFF" w:themeColor="background1" w:sz="6" w:space="0"/>
              <w:bottom w:val="single" w:color="542E8E" w:sz="6" w:space="0"/>
            </w:tcBorders>
            <w:shd w:val="solid" w:color="FFFFFF" w:fill="auto"/>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rStyle w:val="medium"/>
                <w:b/>
                <w:bCs/>
                <w:color w:val="542E8E"/>
                <w:sz w:val="14"/>
                <w:szCs w:val="14"/>
              </w:rPr>
              <w:t>Impact</w:t>
            </w:r>
          </w:p>
        </w:tc>
      </w:tr>
      <w:tr w:rsidRPr="00296DCA" w:rsidR="00F423CA" w:rsidTr="00296DCA">
        <w:trPr>
          <w:trHeight w:val="60"/>
        </w:trPr>
        <w:tc>
          <w:tcPr>
            <w:tcW w:w="985" w:type="dxa"/>
            <w:tcBorders>
              <w:top w:val="single" w:color="000000" w:sz="8"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AASB 9 </w:t>
            </w:r>
            <w:r w:rsidRPr="00296DCA">
              <w:rPr>
                <w:rStyle w:val="italic"/>
                <w:sz w:val="14"/>
                <w:szCs w:val="14"/>
              </w:rPr>
              <w:t>Financial Instruments</w:t>
            </w:r>
          </w:p>
        </w:tc>
        <w:tc>
          <w:tcPr>
            <w:tcW w:w="3118" w:type="dxa"/>
            <w:tcBorders>
              <w:top w:val="single" w:color="000000" w:sz="8" w:space="0"/>
              <w:left w:val="dotted" w:color="FFFFFF" w:themeColor="background1" w:sz="6"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The key changes include the simplified requirements for the classification and measurement of financial assets, a new hedging accounting model and a revised impairment loss model to recognise expected impairment losses earlier, as opposed to the current approach that recognises impairment only when incurred.</w:t>
            </w:r>
          </w:p>
        </w:tc>
        <w:tc>
          <w:tcPr>
            <w:tcW w:w="1701" w:type="dxa"/>
            <w:tcBorders>
              <w:top w:val="single" w:color="000000" w:sz="8" w:space="0"/>
              <w:left w:val="dotted" w:color="FFFFFF" w:themeColor="background1" w:sz="6" w:space="0"/>
              <w:bottom w:val="single" w:color="542E8E" w:sz="4" w:space="0"/>
              <w:right w:val="dotted" w:color="FFFFFF" w:themeColor="background1" w:sz="6" w:space="0"/>
            </w:tcBorders>
            <w:tcMar>
              <w:top w:w="57" w:type="dxa"/>
              <w:left w:w="113"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1 January 2018</w:t>
            </w:r>
          </w:p>
        </w:tc>
        <w:tc>
          <w:tcPr>
            <w:tcW w:w="4253" w:type="dxa"/>
            <w:tcBorders>
              <w:top w:val="single" w:color="000000" w:sz="8" w:space="0"/>
              <w:left w:val="dotted" w:color="FFFFFF" w:themeColor="background1" w:sz="6" w:space="0"/>
              <w:bottom w:val="single" w:color="542E8E" w:sz="4"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The assessment has identified that the amendments are likely to result in earlier recognition of impairment losses and at more regular intervals.  The initial application of AASB 9 is not expected to significantly impact the financial </w:t>
            </w:r>
            <w:proofErr w:type="spellStart"/>
            <w:r w:rsidRPr="00296DCA">
              <w:rPr>
                <w:sz w:val="14"/>
                <w:szCs w:val="14"/>
              </w:rPr>
              <w:t>positon</w:t>
            </w:r>
            <w:proofErr w:type="spellEnd"/>
            <w:r w:rsidRPr="00296DCA">
              <w:rPr>
                <w:sz w:val="14"/>
                <w:szCs w:val="14"/>
              </w:rPr>
              <w:t xml:space="preserve"> however there will be a change to the way financial instruments are classified and new disclosure requirements.</w:t>
            </w:r>
          </w:p>
        </w:tc>
      </w:tr>
      <w:tr w:rsidRPr="00296DCA" w:rsidR="00F423CA" w:rsidTr="00296DCA">
        <w:trPr>
          <w:trHeight w:val="60"/>
        </w:trPr>
        <w:tc>
          <w:tcPr>
            <w:tcW w:w="985" w:type="dxa"/>
            <w:tcBorders>
              <w:top w:val="single" w:color="542E8E" w:sz="4"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AASB 15 </w:t>
            </w:r>
            <w:r w:rsidRPr="00296DCA">
              <w:rPr>
                <w:rStyle w:val="italic"/>
                <w:sz w:val="14"/>
                <w:szCs w:val="14"/>
              </w:rPr>
              <w:t>Revenue from Contracts with Customers</w:t>
            </w:r>
          </w:p>
        </w:tc>
        <w:tc>
          <w:tcPr>
            <w:tcW w:w="3118" w:type="dxa"/>
            <w:tcBorders>
              <w:top w:val="single" w:color="542E8E" w:sz="4" w:space="0"/>
              <w:left w:val="dotted" w:color="FFFFFF" w:themeColor="background1" w:sz="6"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The core principle of AASB 15 requires an entity to recognise revenue when the entity satisfies a performance obligation by transferring a promised good or service to a customer.</w:t>
            </w:r>
          </w:p>
        </w:tc>
        <w:tc>
          <w:tcPr>
            <w:tcW w:w="1701" w:type="dxa"/>
            <w:tcBorders>
              <w:top w:val="single" w:color="542E8E" w:sz="4" w:space="0"/>
              <w:left w:val="dotted" w:color="FFFFFF" w:themeColor="background1" w:sz="6" w:space="0"/>
              <w:bottom w:val="single" w:color="542E8E" w:sz="4" w:space="0"/>
              <w:right w:val="dotted" w:color="FFFFFF" w:themeColor="background1" w:sz="6" w:space="0"/>
            </w:tcBorders>
            <w:tcMar>
              <w:top w:w="57" w:type="dxa"/>
              <w:left w:w="113"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1 January 2019 (for not-for-profit entities)</w:t>
            </w:r>
          </w:p>
        </w:tc>
        <w:tc>
          <w:tcPr>
            <w:tcW w:w="4253" w:type="dxa"/>
            <w:tcBorders>
              <w:top w:val="single" w:color="542E8E" w:sz="4" w:space="0"/>
              <w:left w:val="dotted" w:color="FFFFFF" w:themeColor="background1" w:sz="6" w:space="0"/>
              <w:bottom w:val="single" w:color="542E8E" w:sz="4"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The changes in revenue recognition requirements in AASB 15 may result in changes to the timing and amount of revenue recorded in the financial statements. The Standard will also require additional disclosures on service revenue and contract modifications. </w:t>
            </w:r>
          </w:p>
        </w:tc>
      </w:tr>
      <w:tr w:rsidRPr="00296DCA" w:rsidR="00F423CA" w:rsidTr="00296DCA">
        <w:trPr>
          <w:trHeight w:val="60"/>
        </w:trPr>
        <w:tc>
          <w:tcPr>
            <w:tcW w:w="985" w:type="dxa"/>
            <w:tcBorders>
              <w:top w:val="single" w:color="542E8E" w:sz="4"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AASB 16 </w:t>
            </w:r>
            <w:r w:rsidRPr="00296DCA">
              <w:rPr>
                <w:rStyle w:val="italic"/>
                <w:sz w:val="14"/>
                <w:szCs w:val="14"/>
              </w:rPr>
              <w:t>Leases</w:t>
            </w:r>
          </w:p>
        </w:tc>
        <w:tc>
          <w:tcPr>
            <w:tcW w:w="3118" w:type="dxa"/>
            <w:tcBorders>
              <w:top w:val="single" w:color="542E8E" w:sz="4" w:space="0"/>
              <w:left w:val="dotted" w:color="FFFFFF" w:themeColor="background1" w:sz="6"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The key changes introduced by AASB 16 include the recognition of operating leases (which are currently not recognised) on balance sheet.</w:t>
            </w:r>
          </w:p>
        </w:tc>
        <w:tc>
          <w:tcPr>
            <w:tcW w:w="1701" w:type="dxa"/>
            <w:tcBorders>
              <w:top w:val="single" w:color="542E8E" w:sz="4" w:space="0"/>
              <w:left w:val="dotted" w:color="FFFFFF" w:themeColor="background1" w:sz="6" w:space="0"/>
              <w:bottom w:val="single" w:color="542E8E" w:sz="4" w:space="0"/>
              <w:right w:val="dotted" w:color="FFFFFF" w:themeColor="background1" w:sz="6" w:space="0"/>
            </w:tcBorders>
            <w:tcMar>
              <w:top w:w="57" w:type="dxa"/>
              <w:left w:w="113"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1 January 2019</w:t>
            </w:r>
          </w:p>
        </w:tc>
        <w:tc>
          <w:tcPr>
            <w:tcW w:w="4253" w:type="dxa"/>
            <w:tcBorders>
              <w:top w:val="single" w:color="542E8E" w:sz="4" w:space="0"/>
              <w:left w:val="dotted" w:color="FFFFFF" w:themeColor="background1" w:sz="6" w:space="0"/>
              <w:bottom w:val="single" w:color="542E8E" w:sz="4"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The assessment has indicated that most operating leases, with the exception of short term and low value leases will come on to the balance sheet and will be recognised as right of use assets with a corresponding lease liability.  In the operating statement, the operating lease expense will be replaced by depreciation expense of the asset and an interest charge.  There will be no change for lessors as the classification of operating and finance leases remains unchanged.</w:t>
            </w:r>
          </w:p>
        </w:tc>
      </w:tr>
      <w:tr w:rsidRPr="00296DCA" w:rsidR="00F423CA" w:rsidTr="00296DCA">
        <w:trPr>
          <w:trHeight w:val="60"/>
        </w:trPr>
        <w:tc>
          <w:tcPr>
            <w:tcW w:w="985" w:type="dxa"/>
            <w:tcBorders>
              <w:top w:val="single" w:color="542E8E" w:sz="4"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AASB 1058</w:t>
            </w:r>
            <w:r w:rsidRPr="00296DCA">
              <w:rPr>
                <w:rStyle w:val="italic"/>
                <w:sz w:val="14"/>
                <w:szCs w:val="14"/>
              </w:rPr>
              <w:t xml:space="preserve"> Income of </w:t>
            </w:r>
            <w:r w:rsidR="00296DCA">
              <w:rPr>
                <w:rStyle w:val="italic"/>
                <w:sz w:val="14"/>
                <w:szCs w:val="14"/>
              </w:rPr>
              <w:br/>
            </w:r>
            <w:r w:rsidRPr="00296DCA">
              <w:rPr>
                <w:rStyle w:val="italic"/>
                <w:sz w:val="14"/>
                <w:szCs w:val="14"/>
              </w:rPr>
              <w:t>Not-for-Profit Entities</w:t>
            </w:r>
          </w:p>
        </w:tc>
        <w:tc>
          <w:tcPr>
            <w:tcW w:w="3118" w:type="dxa"/>
            <w:tcBorders>
              <w:top w:val="single" w:color="542E8E" w:sz="4" w:space="0"/>
              <w:left w:val="dotted" w:color="FFFFFF" w:themeColor="background1" w:sz="6" w:space="0"/>
              <w:bottom w:val="single" w:color="542E8E" w:sz="4"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AASB 1058 standard will replace the majority of income recognition in relation to government grants and other types of contributions requirements relating to public sector not-for-profit entities, previously in AASB 1004 </w:t>
            </w:r>
            <w:r w:rsidRPr="00296DCA">
              <w:rPr>
                <w:rStyle w:val="italic"/>
                <w:sz w:val="14"/>
                <w:szCs w:val="14"/>
              </w:rPr>
              <w:t>Contributions</w:t>
            </w:r>
            <w:r w:rsidRPr="00296DCA">
              <w:rPr>
                <w:sz w:val="14"/>
                <w:szCs w:val="14"/>
              </w:rPr>
              <w:t xml:space="preserve">.  The restructure of administrative arrangement will remain under AASB 1004 and will be restricted to government entities and contributions by owners in a </w:t>
            </w:r>
            <w:proofErr w:type="gramStart"/>
            <w:r w:rsidRPr="00296DCA">
              <w:rPr>
                <w:sz w:val="14"/>
                <w:szCs w:val="14"/>
              </w:rPr>
              <w:t>public sector</w:t>
            </w:r>
            <w:proofErr w:type="gramEnd"/>
            <w:r w:rsidRPr="00296DCA">
              <w:rPr>
                <w:sz w:val="14"/>
                <w:szCs w:val="14"/>
              </w:rPr>
              <w:t xml:space="preserve"> context.  AASB 1058 establishes principles for transactions that are not within the scope of AASB 15, where the consideration to acquire an asset is significantly less than fair value to enable not-for-profit entities to further their objective.</w:t>
            </w:r>
          </w:p>
        </w:tc>
        <w:tc>
          <w:tcPr>
            <w:tcW w:w="1701" w:type="dxa"/>
            <w:tcBorders>
              <w:top w:val="single" w:color="542E8E" w:sz="4" w:space="0"/>
              <w:left w:val="dotted" w:color="FFFFFF" w:themeColor="background1" w:sz="6" w:space="0"/>
              <w:bottom w:val="single" w:color="542E8E" w:sz="4" w:space="0"/>
              <w:right w:val="dotted" w:color="FFFFFF" w:themeColor="background1" w:sz="6" w:space="0"/>
            </w:tcBorders>
            <w:tcMar>
              <w:top w:w="57" w:type="dxa"/>
              <w:left w:w="113"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1 January 2019</w:t>
            </w:r>
          </w:p>
        </w:tc>
        <w:tc>
          <w:tcPr>
            <w:tcW w:w="4253" w:type="dxa"/>
            <w:tcBorders>
              <w:top w:val="single" w:color="542E8E" w:sz="4" w:space="0"/>
              <w:left w:val="dotted" w:color="FFFFFF" w:themeColor="background1" w:sz="6" w:space="0"/>
              <w:bottom w:val="single" w:color="542E8E" w:sz="4"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pacing w:val="-2"/>
                <w:sz w:val="14"/>
                <w:szCs w:val="14"/>
              </w:rPr>
              <w:t xml:space="preserve">The current revenue recognition for grants is to recognise revenue up front upon receipt of the funds.  This may change under AASB 1058, as capital grants for the construction of assets will need to be deferred. Income will be recognised over time, upon completion and satisfaction of performance obligations for assets being constructed, or income will be recognised at a point in time for acquisition of assets.  The revenue recognition for operating grants will need to be analysed to establish whether the requirements under other applicable standards need to be considered for recognition of liabilities (which will have the effect of deferring the income associated with these grants). Only after that analysis would it be possible to conclude whether there are any changes to operating grants.  The impact on current revenue recognition of the changes is the phasing and timing of revenue recorded in the profit and loss statement.  </w:t>
            </w:r>
          </w:p>
        </w:tc>
      </w:tr>
      <w:tr w:rsidRPr="00296DCA" w:rsidR="00F423CA" w:rsidTr="00296DCA">
        <w:trPr>
          <w:trHeight w:val="60"/>
        </w:trPr>
        <w:tc>
          <w:tcPr>
            <w:tcW w:w="985" w:type="dxa"/>
            <w:tcBorders>
              <w:top w:val="single" w:color="542E8E" w:sz="4" w:space="0"/>
              <w:bottom w:val="single" w:color="542E8E" w:sz="6"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AASB 1059 </w:t>
            </w:r>
            <w:r w:rsidRPr="00296DCA">
              <w:rPr>
                <w:rStyle w:val="italic"/>
                <w:sz w:val="14"/>
                <w:szCs w:val="14"/>
              </w:rPr>
              <w:t>Service Concession Arrangements: Grantor</w:t>
            </w:r>
          </w:p>
        </w:tc>
        <w:tc>
          <w:tcPr>
            <w:tcW w:w="3118" w:type="dxa"/>
            <w:tcBorders>
              <w:top w:val="single" w:color="542E8E" w:sz="4" w:space="0"/>
              <w:left w:val="dotted" w:color="FFFFFF" w:themeColor="background1" w:sz="6" w:space="0"/>
              <w:bottom w:val="single" w:color="542E8E" w:sz="6" w:space="0"/>
              <w:right w:val="dotted" w:color="FFFFFF" w:themeColor="background1"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 xml:space="preserve">This standard applies to arrangements that involve an operator providing a public service on behalf of a </w:t>
            </w:r>
            <w:proofErr w:type="gramStart"/>
            <w:r w:rsidRPr="00296DCA">
              <w:rPr>
                <w:sz w:val="14"/>
                <w:szCs w:val="14"/>
              </w:rPr>
              <w:t>public sector</w:t>
            </w:r>
            <w:proofErr w:type="gramEnd"/>
            <w:r w:rsidRPr="00296DCA">
              <w:rPr>
                <w:sz w:val="14"/>
                <w:szCs w:val="14"/>
              </w:rPr>
              <w:t xml:space="preserve"> grantor. It involves the use of a service concession asset and where the operator manages at least some of the public service at its own direction. An arrangement within the scope of this standard typically involves an operator constructing the asset used to provide the public service or upgrading the assets and operating and maintaining the assets for a specified period of time.  The department has Social Infrastructure PPPs, that require the government to make payments to the operator upon commencement of services: </w:t>
            </w:r>
          </w:p>
          <w:p w:rsidRPr="00296DCA" w:rsidR="00F423CA" w:rsidP="00296DCA" w:rsidRDefault="004E2DCE">
            <w:pPr>
              <w:pStyle w:val="tablebullets"/>
              <w:rPr>
                <w:sz w:val="14"/>
                <w:szCs w:val="14"/>
              </w:rPr>
            </w:pPr>
            <w:r w:rsidRPr="00296DCA">
              <w:rPr>
                <w:spacing w:val="-3"/>
                <w:sz w:val="14"/>
                <w:szCs w:val="14"/>
              </w:rPr>
              <w:t>Operator finances and constructs</w:t>
            </w:r>
            <w:r w:rsidRPr="00296DCA">
              <w:rPr>
                <w:sz w:val="14"/>
                <w:szCs w:val="14"/>
              </w:rPr>
              <w:t xml:space="preserve"> the infrastructure; and</w:t>
            </w:r>
          </w:p>
          <w:p w:rsidRPr="00296DCA" w:rsidR="00F423CA" w:rsidP="00296DCA" w:rsidRDefault="004E2DCE">
            <w:pPr>
              <w:pStyle w:val="tablebullets"/>
            </w:pPr>
            <w:r w:rsidRPr="00296DCA">
              <w:rPr>
                <w:sz w:val="14"/>
                <w:szCs w:val="14"/>
              </w:rPr>
              <w:t>State pays unitary service payments over the term.</w:t>
            </w:r>
          </w:p>
        </w:tc>
        <w:tc>
          <w:tcPr>
            <w:tcW w:w="1701" w:type="dxa"/>
            <w:tcBorders>
              <w:top w:val="single" w:color="542E8E" w:sz="4" w:space="0"/>
              <w:left w:val="dotted" w:color="FFFFFF" w:themeColor="background1" w:sz="6" w:space="0"/>
              <w:bottom w:val="single" w:color="542E8E" w:sz="6" w:space="0"/>
              <w:right w:val="dotted" w:color="FFFFFF" w:themeColor="background1" w:sz="6" w:space="0"/>
            </w:tcBorders>
            <w:tcMar>
              <w:top w:w="57" w:type="dxa"/>
              <w:left w:w="113"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1 January 2019</w:t>
            </w:r>
          </w:p>
        </w:tc>
        <w:tc>
          <w:tcPr>
            <w:tcW w:w="4253" w:type="dxa"/>
            <w:tcBorders>
              <w:top w:val="single" w:color="542E8E" w:sz="4" w:space="0"/>
              <w:left w:val="dotted" w:color="FFFFFF" w:themeColor="background1" w:sz="6" w:space="0"/>
              <w:bottom w:val="single" w:color="542E8E" w:sz="6" w:space="0"/>
            </w:tcBorders>
            <w:tcMar>
              <w:top w:w="57" w:type="dxa"/>
              <w:left w:w="0" w:type="dxa"/>
              <w:bottom w:w="57" w:type="dxa"/>
              <w:right w:w="57" w:type="dxa"/>
            </w:tcMar>
          </w:tcPr>
          <w:p w:rsidRPr="00296DCA" w:rsidR="00F423CA" w:rsidP="00296DCA" w:rsidRDefault="004E2DCE">
            <w:pPr>
              <w:pStyle w:val="bodytableLtable"/>
              <w:spacing w:after="0" w:line="240" w:lineRule="auto"/>
              <w:rPr>
                <w:sz w:val="14"/>
                <w:szCs w:val="14"/>
              </w:rPr>
            </w:pPr>
            <w:r w:rsidRPr="00296DCA">
              <w:rPr>
                <w:sz w:val="14"/>
                <w:szCs w:val="14"/>
              </w:rPr>
              <w:t>For an arrangement to be in scope of AASB 1059 all of the following requirements are to be satisfied:</w:t>
            </w:r>
          </w:p>
          <w:p w:rsidRPr="00296DCA" w:rsidR="00F423CA" w:rsidP="00296DCA" w:rsidRDefault="004E2DCE">
            <w:pPr>
              <w:pStyle w:val="tablebullets"/>
              <w:rPr>
                <w:sz w:val="14"/>
                <w:szCs w:val="14"/>
              </w:rPr>
            </w:pPr>
            <w:r w:rsidRPr="00296DCA">
              <w:rPr>
                <w:sz w:val="14"/>
                <w:szCs w:val="14"/>
              </w:rPr>
              <w:t>Operator is providing public services using a service concession asset;</w:t>
            </w:r>
          </w:p>
          <w:p w:rsidRPr="00296DCA" w:rsidR="00F423CA" w:rsidP="00296DCA" w:rsidRDefault="004E2DCE">
            <w:pPr>
              <w:pStyle w:val="tablebullets"/>
              <w:rPr>
                <w:sz w:val="14"/>
                <w:szCs w:val="14"/>
              </w:rPr>
            </w:pPr>
            <w:r w:rsidRPr="00296DCA">
              <w:rPr>
                <w:sz w:val="14"/>
                <w:szCs w:val="14"/>
              </w:rPr>
              <w:t>Operator manages at ‘least some’ of public services under its own discretion;</w:t>
            </w:r>
          </w:p>
          <w:p w:rsidRPr="00296DCA" w:rsidR="00F423CA" w:rsidP="00296DCA" w:rsidRDefault="004E2DCE">
            <w:pPr>
              <w:pStyle w:val="tablebullets"/>
              <w:rPr>
                <w:sz w:val="14"/>
                <w:szCs w:val="14"/>
              </w:rPr>
            </w:pPr>
            <w:r w:rsidRPr="00296DCA">
              <w:rPr>
                <w:sz w:val="14"/>
                <w:szCs w:val="14"/>
              </w:rPr>
              <w:t>The State controls/regulates: what services are to be provided; to whom; and at what price;</w:t>
            </w:r>
          </w:p>
          <w:p w:rsidRPr="00296DCA" w:rsidR="00F423CA" w:rsidP="00296DCA" w:rsidRDefault="004E2DCE">
            <w:pPr>
              <w:pStyle w:val="bodytableLtable"/>
              <w:spacing w:after="0" w:line="240" w:lineRule="auto"/>
              <w:ind w:left="227" w:hanging="227"/>
              <w:rPr>
                <w:sz w:val="14"/>
                <w:szCs w:val="14"/>
              </w:rPr>
            </w:pPr>
            <w:r w:rsidRPr="00296DCA">
              <w:rPr>
                <w:sz w:val="14"/>
                <w:szCs w:val="14"/>
              </w:rPr>
              <w:t>State controls any significant residual interest in the asset.</w:t>
            </w:r>
          </w:p>
          <w:p w:rsidRPr="00296DCA" w:rsidR="00F423CA" w:rsidP="00296DCA" w:rsidRDefault="004E2DCE">
            <w:pPr>
              <w:pStyle w:val="bodytableLtable"/>
              <w:spacing w:after="0" w:line="240" w:lineRule="auto"/>
              <w:rPr>
                <w:sz w:val="14"/>
                <w:szCs w:val="14"/>
              </w:rPr>
            </w:pPr>
            <w:r w:rsidRPr="00296DCA">
              <w:rPr>
                <w:spacing w:val="-3"/>
                <w:sz w:val="14"/>
                <w:szCs w:val="14"/>
              </w:rPr>
              <w:t xml:space="preserve">If the arrangement does not satisfy all the above requirements the recognition will fall </w:t>
            </w:r>
            <w:r w:rsidRPr="00296DCA">
              <w:rPr>
                <w:spacing w:val="-5"/>
                <w:sz w:val="14"/>
                <w:szCs w:val="14"/>
              </w:rPr>
              <w:t xml:space="preserve">under the requirements of another applicable </w:t>
            </w:r>
            <w:r w:rsidRPr="00296DCA">
              <w:rPr>
                <w:spacing w:val="-2"/>
                <w:sz w:val="14"/>
                <w:szCs w:val="14"/>
              </w:rPr>
              <w:t xml:space="preserve">accounting standard.  Currently the social infrastructure PPPs are only recognised on the balance sheet at commercial acceptance. The arrangement will need to be progressively recognised as and when </w:t>
            </w:r>
            <w:r w:rsidRPr="00296DCA">
              <w:rPr>
                <w:spacing w:val="-5"/>
                <w:sz w:val="14"/>
                <w:szCs w:val="14"/>
              </w:rPr>
              <w:t xml:space="preserve">the asset is being constructed. This will have </w:t>
            </w:r>
            <w:r w:rsidRPr="00296DCA">
              <w:rPr>
                <w:spacing w:val="-3"/>
                <w:sz w:val="14"/>
                <w:szCs w:val="14"/>
              </w:rPr>
              <w:t xml:space="preserve">the impact of progressively recognising the </w:t>
            </w:r>
            <w:r w:rsidRPr="00296DCA">
              <w:rPr>
                <w:spacing w:val="-5"/>
                <w:sz w:val="14"/>
                <w:szCs w:val="14"/>
              </w:rPr>
              <w:t xml:space="preserve">financial liability and corresponding asset as </w:t>
            </w:r>
            <w:r w:rsidRPr="00296DCA">
              <w:rPr>
                <w:spacing w:val="-3"/>
                <w:sz w:val="14"/>
                <w:szCs w:val="14"/>
              </w:rPr>
              <w:t>the asset is being constructed.</w:t>
            </w:r>
          </w:p>
        </w:tc>
      </w:tr>
    </w:tbl>
    <w:p w:rsidRPr="00296DCA" w:rsidR="00F423CA" w:rsidP="00296DCA" w:rsidRDefault="00F423CA">
      <w:pPr>
        <w:pStyle w:val="Bodycopy"/>
      </w:pPr>
    </w:p>
    <w:p w:rsidRPr="00296DCA" w:rsidR="00F423CA" w:rsidP="00296DCA" w:rsidRDefault="00F423CA">
      <w:pPr>
        <w:pStyle w:val="Bodycopy"/>
      </w:pPr>
    </w:p>
    <w:p w:rsidR="00296DCA" w:rsidP="00B572FB" w:rsidRDefault="00296DCA">
      <w:pPr>
        <w:pStyle w:val="Bodycopy"/>
      </w:pPr>
      <w:r>
        <w:br w:type="page"/>
      </w:r>
    </w:p>
    <w:p w:rsidR="00F423CA" w:rsidRDefault="004E2DCE">
      <w:pPr>
        <w:pStyle w:val="H3"/>
      </w:pPr>
      <w:r>
        <w:lastRenderedPageBreak/>
        <w:t>9.10 Glossary of technical terms</w:t>
      </w:r>
    </w:p>
    <w:p w:rsidR="00F423CA" w:rsidRDefault="004E2DCE">
      <w:pPr>
        <w:pStyle w:val="Bodycopy"/>
        <w:rPr>
          <w:spacing w:val="2"/>
        </w:rPr>
      </w:pPr>
      <w:r>
        <w:rPr>
          <w:spacing w:val="2"/>
        </w:rPr>
        <w:t>The following is a summary of the major technical terms used in this report.</w:t>
      </w:r>
    </w:p>
    <w:p w:rsidR="00F423CA" w:rsidRDefault="004E2DCE">
      <w:pPr>
        <w:pStyle w:val="Bodycopy"/>
        <w:rPr>
          <w:spacing w:val="2"/>
        </w:rPr>
      </w:pPr>
      <w:r>
        <w:rPr>
          <w:rStyle w:val="medium"/>
          <w:b/>
          <w:bCs/>
          <w:spacing w:val="2"/>
        </w:rPr>
        <w:t>Administered item</w:t>
      </w:r>
      <w:r>
        <w:rPr>
          <w:spacing w:val="2"/>
        </w:rPr>
        <w:t xml:space="preserve"> generally refers to a department lacking the capacity to benefit from that item in the pursuit of the entity’s objectives and to deny or regulate the access of others to that benefit.</w:t>
      </w:r>
    </w:p>
    <w:p w:rsidR="00F423CA" w:rsidRDefault="004E2DCE">
      <w:pPr>
        <w:pStyle w:val="Bodycopy"/>
        <w:rPr>
          <w:spacing w:val="2"/>
        </w:rPr>
      </w:pPr>
      <w:r>
        <w:rPr>
          <w:rStyle w:val="medium"/>
          <w:b/>
          <w:bCs/>
          <w:spacing w:val="2"/>
        </w:rPr>
        <w:t>Amortisation</w:t>
      </w:r>
      <w:r>
        <w:rPr>
          <w:spacing w:val="2"/>
        </w:rPr>
        <w:t xml:space="preserve"> is the expense that results from the consumption, extraction or use over time of a non-produced physical or intangible asset. This expense is classified as </w:t>
      </w:r>
      <w:proofErr w:type="spellStart"/>
      <w:proofErr w:type="gramStart"/>
      <w:r>
        <w:rPr>
          <w:spacing w:val="2"/>
        </w:rPr>
        <w:t>an other</w:t>
      </w:r>
      <w:proofErr w:type="spellEnd"/>
      <w:proofErr w:type="gramEnd"/>
      <w:r>
        <w:rPr>
          <w:spacing w:val="2"/>
        </w:rPr>
        <w:t xml:space="preserve"> economic flow.</w:t>
      </w:r>
    </w:p>
    <w:p w:rsidR="00F423CA" w:rsidRDefault="004E2DCE">
      <w:pPr>
        <w:pStyle w:val="Bodycopy"/>
        <w:rPr>
          <w:spacing w:val="2"/>
        </w:rPr>
      </w:pPr>
      <w:r>
        <w:rPr>
          <w:rStyle w:val="medium"/>
          <w:b/>
          <w:bCs/>
          <w:spacing w:val="2"/>
        </w:rPr>
        <w:t>Borrowings</w:t>
      </w:r>
      <w:r>
        <w:rPr>
          <w:spacing w:val="2"/>
        </w:rPr>
        <w:t xml:space="preserve"> refers to interest bearing liabilities mainly raised from public borrowings raised through the Treasury Corporation of Victoria, finance leases and other interest-bearing arrangements.  Borrowings also include non-</w:t>
      </w:r>
      <w:proofErr w:type="gramStart"/>
      <w:r>
        <w:rPr>
          <w:spacing w:val="2"/>
        </w:rPr>
        <w:t>interest bearing</w:t>
      </w:r>
      <w:proofErr w:type="gramEnd"/>
      <w:r>
        <w:rPr>
          <w:spacing w:val="2"/>
        </w:rPr>
        <w:t xml:space="preserve"> advances from government that are acquired for policy purposes.</w:t>
      </w:r>
    </w:p>
    <w:p w:rsidR="00F423CA" w:rsidRDefault="004E2DCE">
      <w:pPr>
        <w:pStyle w:val="Bodycopy"/>
        <w:rPr>
          <w:spacing w:val="2"/>
        </w:rPr>
      </w:pPr>
      <w:r>
        <w:rPr>
          <w:rStyle w:val="medium"/>
          <w:b/>
          <w:bCs/>
          <w:spacing w:val="2"/>
        </w:rPr>
        <w:t>Commitments</w:t>
      </w:r>
      <w:r>
        <w:rPr>
          <w:spacing w:val="2"/>
        </w:rPr>
        <w:t xml:space="preserve"> include those operating, capital and other outsourcing commitments arising from non-cancellable contractual or statutory sources.</w:t>
      </w:r>
    </w:p>
    <w:p w:rsidR="00F423CA" w:rsidRDefault="004E2DCE">
      <w:pPr>
        <w:pStyle w:val="Bodycopy"/>
        <w:rPr>
          <w:spacing w:val="2"/>
        </w:rPr>
      </w:pPr>
      <w:r>
        <w:rPr>
          <w:rStyle w:val="medium"/>
          <w:b/>
          <w:bCs/>
          <w:spacing w:val="2"/>
        </w:rPr>
        <w:t>Comprehensive result</w:t>
      </w:r>
      <w:r>
        <w:rPr>
          <w:spacing w:val="2"/>
        </w:rPr>
        <w:t xml:space="preserve"> is the amount included in the operating statement representing total change in net worth other than transactions with owners.</w:t>
      </w:r>
    </w:p>
    <w:p w:rsidR="00F423CA" w:rsidRDefault="004E2DCE">
      <w:pPr>
        <w:pStyle w:val="Bodycopy"/>
        <w:rPr>
          <w:spacing w:val="2"/>
        </w:rPr>
      </w:pPr>
      <w:r>
        <w:rPr>
          <w:rStyle w:val="medium"/>
          <w:b/>
          <w:bCs/>
          <w:spacing w:val="2"/>
        </w:rPr>
        <w:t>Controlled item</w:t>
      </w:r>
      <w:r>
        <w:rPr>
          <w:spacing w:val="2"/>
        </w:rPr>
        <w:t xml:space="preserve"> generally refers to the capacity of a department to benefit from that item in the pursuit of the entity’s objectives and to deny or regulate the access of others to that benefit.</w:t>
      </w:r>
    </w:p>
    <w:p w:rsidR="00F423CA" w:rsidRDefault="004E2DCE">
      <w:pPr>
        <w:pStyle w:val="Bodycopy"/>
        <w:rPr>
          <w:spacing w:val="2"/>
        </w:rPr>
      </w:pPr>
      <w:r>
        <w:rPr>
          <w:rStyle w:val="medium"/>
          <w:b/>
          <w:bCs/>
          <w:spacing w:val="2"/>
        </w:rPr>
        <w:t>Current grants</w:t>
      </w:r>
      <w:r>
        <w:rPr>
          <w:spacing w:val="2"/>
        </w:rPr>
        <w:t xml:space="preserve"> are amounts payable or receivable for current purposes for which no economic benefits of equal value are receivable or payable in return.</w:t>
      </w:r>
    </w:p>
    <w:p w:rsidR="00F423CA" w:rsidRDefault="004E2DCE">
      <w:pPr>
        <w:pStyle w:val="Bodycopy"/>
        <w:rPr>
          <w:spacing w:val="2"/>
        </w:rPr>
      </w:pPr>
      <w:r>
        <w:rPr>
          <w:rStyle w:val="medium"/>
          <w:b/>
          <w:bCs/>
          <w:spacing w:val="2"/>
        </w:rPr>
        <w:t>Depreciation</w:t>
      </w:r>
      <w:r>
        <w:rPr>
          <w:spacing w:val="2"/>
        </w:rPr>
        <w:t xml:space="preserve"> is an expense that arises from the consumption through wear or time of a produced physical or intangible asset. This expense is classified as a ‘transaction’ and so reduces the ‘net result from transactions’.</w:t>
      </w:r>
    </w:p>
    <w:p w:rsidR="00F423CA" w:rsidRDefault="004E2DCE">
      <w:pPr>
        <w:pStyle w:val="Bodycopy"/>
        <w:rPr>
          <w:spacing w:val="2"/>
        </w:rPr>
      </w:pPr>
      <w:r>
        <w:rPr>
          <w:rStyle w:val="medium"/>
          <w:b/>
          <w:bCs/>
          <w:spacing w:val="2"/>
        </w:rPr>
        <w:t>Effective interest method</w:t>
      </w:r>
      <w:r>
        <w:rPr>
          <w:spacing w:val="2"/>
        </w:rPr>
        <w:t xml:space="preserve"> is used to calculate the amortised cost of a financial asset or liability and of allocating interest income over the relevant period. The effective interest rate is the rate that exactly discounts estimated future cash receipts through the expected life of the financial instrument, or, where appropriate, a shorter period.</w:t>
      </w:r>
    </w:p>
    <w:p w:rsidR="00F423CA" w:rsidRDefault="004E2DCE">
      <w:pPr>
        <w:pStyle w:val="Bodycopy"/>
        <w:rPr>
          <w:spacing w:val="2"/>
        </w:rPr>
      </w:pPr>
      <w:r>
        <w:rPr>
          <w:rStyle w:val="medium"/>
          <w:b/>
          <w:bCs/>
          <w:spacing w:val="2"/>
        </w:rPr>
        <w:t>Employee benefits expenses</w:t>
      </w:r>
      <w:r>
        <w:rPr>
          <w:spacing w:val="2"/>
        </w:rPr>
        <w:t xml:space="preserve"> include all costs related to employment including wages and salaries, fringe benefits tax, leave entitlements, redundancy payments and superannuation contributions.</w:t>
      </w:r>
    </w:p>
    <w:p w:rsidR="00F423CA" w:rsidRDefault="004E2DCE">
      <w:pPr>
        <w:pStyle w:val="Bodycopy"/>
        <w:rPr>
          <w:spacing w:val="2"/>
        </w:rPr>
      </w:pPr>
      <w:r>
        <w:rPr>
          <w:rStyle w:val="medium"/>
          <w:b/>
          <w:bCs/>
          <w:spacing w:val="2"/>
        </w:rPr>
        <w:t>Ex-gratia expenses</w:t>
      </w:r>
      <w:r>
        <w:rPr>
          <w:spacing w:val="2"/>
        </w:rPr>
        <w:t xml:space="preserve"> mean the voluntary payment of money or other non-monetary benefit (e.g. a write off) that is not made either to acquire goods, services or other benefits for the entity or to meet a legal liability, or to settle or resolve a possible legal liability or claim against the entity.</w:t>
      </w:r>
    </w:p>
    <w:p w:rsidR="00F423CA" w:rsidRDefault="004E2DCE">
      <w:pPr>
        <w:pStyle w:val="Bodycopy"/>
        <w:rPr>
          <w:spacing w:val="2"/>
        </w:rPr>
      </w:pPr>
      <w:r>
        <w:rPr>
          <w:rStyle w:val="medium"/>
          <w:b/>
          <w:bCs/>
          <w:spacing w:val="2"/>
        </w:rPr>
        <w:t>Financial asset</w:t>
      </w:r>
      <w:r>
        <w:rPr>
          <w:spacing w:val="2"/>
        </w:rPr>
        <w:t xml:space="preserve"> is any asset that is:</w:t>
      </w:r>
    </w:p>
    <w:p w:rsidR="00F423CA" w:rsidRDefault="004E2DCE">
      <w:pPr>
        <w:pStyle w:val="BodycopyBullet"/>
        <w:rPr>
          <w:spacing w:val="2"/>
        </w:rPr>
      </w:pPr>
      <w:r>
        <w:rPr>
          <w:spacing w:val="2"/>
        </w:rPr>
        <w:t>cash;</w:t>
      </w:r>
    </w:p>
    <w:p w:rsidR="00F423CA" w:rsidRDefault="004E2DCE">
      <w:pPr>
        <w:pStyle w:val="BodycopyBullet"/>
        <w:rPr>
          <w:spacing w:val="2"/>
        </w:rPr>
      </w:pPr>
      <w:r>
        <w:rPr>
          <w:spacing w:val="2"/>
        </w:rPr>
        <w:t>an equity instrument of another entity;</w:t>
      </w:r>
    </w:p>
    <w:p w:rsidR="00F423CA" w:rsidRDefault="004E2DCE">
      <w:pPr>
        <w:pStyle w:val="BodycopyBullet"/>
        <w:rPr>
          <w:spacing w:val="2"/>
        </w:rPr>
      </w:pPr>
      <w:r>
        <w:rPr>
          <w:spacing w:val="2"/>
        </w:rPr>
        <w:t>a contractual right: to receive cash or another financial asset from another entity; or to exchange financial assets or financial liabilities with another entity under conditions that are potentially favourable to the entity; or</w:t>
      </w:r>
    </w:p>
    <w:p w:rsidR="00F423CA" w:rsidRDefault="004E2DCE">
      <w:pPr>
        <w:pStyle w:val="BodycopyBulletspaceunder"/>
        <w:rPr>
          <w:spacing w:val="2"/>
        </w:rPr>
      </w:pPr>
      <w:r>
        <w:rPr>
          <w:spacing w:val="2"/>
        </w:rPr>
        <w:t>a contract that will or may be settled in the entity’s own equity instruments and is: a non-derivative for which the entity is or may be obliged to receive a variable number of the entity’s own equity instruments; or a derivative that will or may be settled other than by the exchange of a fixed amount of cash or another financial asset for a fixed number of the entity’s own equity instruments.</w:t>
      </w:r>
    </w:p>
    <w:p w:rsidR="00F423CA" w:rsidRDefault="004E2DCE">
      <w:pPr>
        <w:pStyle w:val="Bodycopy"/>
        <w:rPr>
          <w:spacing w:val="2"/>
        </w:rPr>
      </w:pPr>
      <w:r>
        <w:rPr>
          <w:rStyle w:val="medium"/>
          <w:b/>
          <w:bCs/>
          <w:spacing w:val="2"/>
        </w:rPr>
        <w:t>Financial instrument</w:t>
      </w:r>
      <w:r>
        <w:rPr>
          <w:spacing w:val="2"/>
        </w:rPr>
        <w:t xml:space="preserve">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w:t>
      </w:r>
    </w:p>
    <w:p w:rsidR="00F423CA" w:rsidRDefault="004E2DCE">
      <w:pPr>
        <w:pStyle w:val="Bodycopy"/>
        <w:rPr>
          <w:spacing w:val="2"/>
        </w:rPr>
      </w:pPr>
      <w:r>
        <w:rPr>
          <w:rStyle w:val="medium"/>
          <w:b/>
          <w:bCs/>
          <w:spacing w:val="2"/>
        </w:rPr>
        <w:t>Financial liability</w:t>
      </w:r>
      <w:r>
        <w:rPr>
          <w:spacing w:val="2"/>
        </w:rPr>
        <w:t xml:space="preserve"> is any liability that is:</w:t>
      </w:r>
    </w:p>
    <w:p w:rsidR="00F423CA" w:rsidRDefault="004E2DCE">
      <w:pPr>
        <w:pStyle w:val="BodycopyBullet"/>
        <w:rPr>
          <w:spacing w:val="2"/>
        </w:rPr>
      </w:pPr>
      <w:r>
        <w:rPr>
          <w:spacing w:val="2"/>
        </w:rPr>
        <w:t>a contractual obligation: to deliver cash or another financial asset to another entity; or to exchange financial assets or financial liabilities with another entity under conditions that are potentially unfavourable to the entity; or</w:t>
      </w:r>
    </w:p>
    <w:p w:rsidR="00F423CA" w:rsidRDefault="004E2DCE">
      <w:pPr>
        <w:pStyle w:val="BodycopyBulletspaceunder"/>
        <w:rPr>
          <w:spacing w:val="2"/>
        </w:rPr>
      </w:pPr>
      <w:r>
        <w:rPr>
          <w:spacing w:val="2"/>
        </w:rPr>
        <w:t>a contract that will or may be settled in the entity’s own equity instruments and is: a non-derivative for which the entity is or may be obliged to deliver a variable number of the entity’s own equity instruments; or 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rsidR="00F423CA" w:rsidRDefault="004E2DCE">
      <w:pPr>
        <w:pStyle w:val="Bodycopy"/>
        <w:rPr>
          <w:spacing w:val="2"/>
        </w:rPr>
      </w:pPr>
      <w:r>
        <w:rPr>
          <w:rStyle w:val="medium"/>
          <w:b/>
          <w:bCs/>
          <w:spacing w:val="2"/>
        </w:rPr>
        <w:t>Financial statements</w:t>
      </w:r>
      <w:r>
        <w:rPr>
          <w:spacing w:val="2"/>
        </w:rPr>
        <w:t xml:space="preserve"> </w:t>
      </w:r>
      <w:proofErr w:type="gramStart"/>
      <w:r>
        <w:rPr>
          <w:spacing w:val="2"/>
        </w:rPr>
        <w:t>comprises</w:t>
      </w:r>
      <w:proofErr w:type="gramEnd"/>
      <w:r>
        <w:rPr>
          <w:spacing w:val="2"/>
        </w:rPr>
        <w:t>:</w:t>
      </w:r>
    </w:p>
    <w:p w:rsidR="00F423CA" w:rsidRDefault="004E2DCE">
      <w:pPr>
        <w:pStyle w:val="BodycopyBullet"/>
        <w:rPr>
          <w:spacing w:val="2"/>
        </w:rPr>
      </w:pPr>
      <w:r>
        <w:rPr>
          <w:spacing w:val="2"/>
        </w:rPr>
        <w:t>a comprehensive operating statement for the period;</w:t>
      </w:r>
    </w:p>
    <w:p w:rsidR="00F423CA" w:rsidRDefault="004E2DCE">
      <w:pPr>
        <w:pStyle w:val="BodycopyBullet"/>
        <w:rPr>
          <w:spacing w:val="2"/>
        </w:rPr>
      </w:pPr>
      <w:r>
        <w:rPr>
          <w:spacing w:val="2"/>
        </w:rPr>
        <w:t>a balance sheet as at the end of the period;</w:t>
      </w:r>
    </w:p>
    <w:p w:rsidR="00F423CA" w:rsidRDefault="004E2DCE">
      <w:pPr>
        <w:pStyle w:val="BodycopyBullet"/>
        <w:rPr>
          <w:spacing w:val="2"/>
        </w:rPr>
      </w:pPr>
      <w:r>
        <w:rPr>
          <w:spacing w:val="2"/>
        </w:rPr>
        <w:t>a cash flow statement for the period;</w:t>
      </w:r>
    </w:p>
    <w:p w:rsidR="00F423CA" w:rsidRDefault="004E2DCE">
      <w:pPr>
        <w:pStyle w:val="BodycopyBullet"/>
        <w:rPr>
          <w:spacing w:val="2"/>
        </w:rPr>
      </w:pPr>
      <w:r>
        <w:rPr>
          <w:spacing w:val="2"/>
        </w:rPr>
        <w:t>a statement of changes in equity for the period;</w:t>
      </w:r>
    </w:p>
    <w:p w:rsidR="00F423CA" w:rsidRDefault="004E2DCE">
      <w:pPr>
        <w:pStyle w:val="BodycopyBullet"/>
        <w:rPr>
          <w:spacing w:val="2"/>
        </w:rPr>
      </w:pPr>
      <w:r>
        <w:rPr>
          <w:spacing w:val="2"/>
        </w:rPr>
        <w:t>notes, comprising a summary of significant accounting policies and other explanatory information;</w:t>
      </w:r>
    </w:p>
    <w:p w:rsidR="00F423CA" w:rsidRDefault="004E2DCE">
      <w:pPr>
        <w:pStyle w:val="BodycopyBullet"/>
        <w:rPr>
          <w:spacing w:val="2"/>
        </w:rPr>
      </w:pPr>
      <w:r>
        <w:rPr>
          <w:spacing w:val="2"/>
        </w:rPr>
        <w:t xml:space="preserve">comparative information in respect of the preceding period as specified in paragraph 38 of AASB 101 </w:t>
      </w:r>
      <w:r>
        <w:rPr>
          <w:rStyle w:val="italic"/>
          <w:spacing w:val="2"/>
        </w:rPr>
        <w:t>Presentation of Financial Statements</w:t>
      </w:r>
      <w:r>
        <w:rPr>
          <w:spacing w:val="2"/>
        </w:rPr>
        <w:t>; and</w:t>
      </w:r>
    </w:p>
    <w:p w:rsidR="00F423CA" w:rsidRDefault="004E2DCE">
      <w:pPr>
        <w:pStyle w:val="BodycopyBulletspaceunder"/>
        <w:rPr>
          <w:spacing w:val="2"/>
        </w:rPr>
      </w:pPr>
      <w:r>
        <w:rPr>
          <w:spacing w:val="2"/>
        </w:rPr>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 41 of AASB 101.</w:t>
      </w:r>
    </w:p>
    <w:p w:rsidR="00F423CA" w:rsidRDefault="004E2DCE">
      <w:pPr>
        <w:pStyle w:val="Bodycopy"/>
        <w:rPr>
          <w:spacing w:val="2"/>
        </w:rPr>
      </w:pPr>
      <w:r>
        <w:rPr>
          <w:rStyle w:val="medium"/>
          <w:b/>
          <w:bCs/>
          <w:spacing w:val="2"/>
        </w:rPr>
        <w:lastRenderedPageBreak/>
        <w:t>Grant expenses and other transfers</w:t>
      </w:r>
      <w:r>
        <w:rPr>
          <w:spacing w:val="2"/>
        </w:rPr>
        <w:t xml:space="preserve"> are transactions in which one unit provides goods, services, assets (or extinguishes a liability) or labour to another unit without receiving approximately equal value in return. Grants can be either operating or capital in nature.</w:t>
      </w:r>
    </w:p>
    <w:p w:rsidR="00F423CA" w:rsidRDefault="004E2DCE">
      <w:pPr>
        <w:pStyle w:val="Bodycopy"/>
        <w:rPr>
          <w:spacing w:val="2"/>
        </w:rPr>
      </w:pPr>
      <w:r>
        <w:rPr>
          <w:spacing w:val="2"/>
        </w:rPr>
        <w:t>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non-reciprocal transfers.  Receipt and sacrifice of approximately equal value may occur, but only by coincidence.  For example, governments are not obliged to provide commensurate benefits, in the form of goods or services, to particular taxpayers in return for their taxes.</w:t>
      </w:r>
    </w:p>
    <w:p w:rsidR="00F423CA" w:rsidRDefault="004E2DCE">
      <w:pPr>
        <w:pStyle w:val="Bodycopy"/>
        <w:rPr>
          <w:spacing w:val="2"/>
        </w:rPr>
      </w:pPr>
      <w:r>
        <w:rPr>
          <w:spacing w:val="2"/>
        </w:rPr>
        <w:t xml:space="preserve">Grants can be paid as </w:t>
      </w:r>
      <w:proofErr w:type="gramStart"/>
      <w:r>
        <w:rPr>
          <w:spacing w:val="2"/>
        </w:rPr>
        <w:t>general purpose</w:t>
      </w:r>
      <w:proofErr w:type="gramEnd"/>
      <w:r>
        <w:rPr>
          <w:spacing w:val="2"/>
        </w:rPr>
        <w:t xml:space="preserve"> grants which refer to grants that are not subject to conditions regarding their use.  Alternatively, they may be paid as specific purpose grants which are paid for a particular purpose and/or have conditions attached regarding their use.</w:t>
      </w:r>
    </w:p>
    <w:p w:rsidR="00F423CA" w:rsidRDefault="004E2DCE">
      <w:pPr>
        <w:pStyle w:val="Bodycopy"/>
        <w:rPr>
          <w:spacing w:val="2"/>
        </w:rPr>
      </w:pPr>
      <w:r>
        <w:rPr>
          <w:rStyle w:val="medium"/>
          <w:b/>
          <w:bCs/>
          <w:spacing w:val="2"/>
        </w:rPr>
        <w:t>Grants for on-passing</w:t>
      </w:r>
      <w:r>
        <w:rPr>
          <w:spacing w:val="2"/>
        </w:rPr>
        <w:t xml:space="preserve"> are grants paid to one institutional sector (e.g. a State general government entity) to be passed on to another institutional sector (e.g. local government or a private non-profit institution).</w:t>
      </w:r>
    </w:p>
    <w:p w:rsidR="00F423CA" w:rsidRDefault="004E2DCE">
      <w:pPr>
        <w:pStyle w:val="Bodycopy"/>
        <w:rPr>
          <w:spacing w:val="2"/>
        </w:rPr>
      </w:pPr>
      <w:r>
        <w:rPr>
          <w:rStyle w:val="medium"/>
          <w:b/>
          <w:bCs/>
          <w:spacing w:val="2"/>
        </w:rPr>
        <w:t>Interest expense</w:t>
      </w:r>
      <w:r>
        <w:rPr>
          <w:spacing w:val="2"/>
        </w:rPr>
        <w:t xml:space="preserve"> represents costs incurred in connection with borrowings and includes the interest component of finance lease repayments.</w:t>
      </w:r>
    </w:p>
    <w:p w:rsidR="00F423CA" w:rsidRDefault="004E2DCE">
      <w:pPr>
        <w:pStyle w:val="Bodycopy"/>
        <w:rPr>
          <w:spacing w:val="2"/>
        </w:rPr>
      </w:pPr>
      <w:r>
        <w:rPr>
          <w:rStyle w:val="medium"/>
          <w:b/>
          <w:bCs/>
          <w:spacing w:val="2"/>
        </w:rPr>
        <w:t>Interest income</w:t>
      </w:r>
      <w:r>
        <w:rPr>
          <w:spacing w:val="2"/>
        </w:rPr>
        <w:t xml:space="preserve"> includes interest received on bank term deposits, interest from investments, and other interest received.</w:t>
      </w:r>
    </w:p>
    <w:p w:rsidR="00F423CA" w:rsidRDefault="004E2DCE">
      <w:pPr>
        <w:pStyle w:val="Bodycopy"/>
        <w:rPr>
          <w:spacing w:val="2"/>
        </w:rPr>
      </w:pPr>
      <w:r>
        <w:rPr>
          <w:rStyle w:val="medium"/>
          <w:b/>
          <w:bCs/>
          <w:spacing w:val="2"/>
        </w:rPr>
        <w:t>Leases</w:t>
      </w:r>
      <w:r>
        <w:rPr>
          <w:spacing w:val="2"/>
        </w:rPr>
        <w:t xml:space="preserve"> are rights to use an asset for an agreed period of time in exchange for payment.  Leases are classified at their inception as either operating or finance leases based on the economic substance of the agreement so as to reflect the risks and rewards incidental to ownership.  Leases of property, plant and equipment are classified as finance leases whenever the terms of the lease transfer substantially all the risks and rewards of ownership from the lessor to the lessee.  All other leases are classified as operating leases.</w:t>
      </w:r>
    </w:p>
    <w:p w:rsidR="00F423CA" w:rsidRDefault="004E2DCE">
      <w:pPr>
        <w:pStyle w:val="Bodycopy"/>
        <w:rPr>
          <w:spacing w:val="2"/>
        </w:rPr>
      </w:pPr>
      <w:r>
        <w:rPr>
          <w:rStyle w:val="medium"/>
          <w:b/>
          <w:bCs/>
          <w:spacing w:val="2"/>
        </w:rPr>
        <w:t>Net result</w:t>
      </w:r>
      <w:r>
        <w:rPr>
          <w:spacing w:val="2"/>
        </w:rPr>
        <w:t xml:space="preserve"> is a measure of financial performance of the operations for the period.  It is the net result of items of income, gains and expenses (including losses) recognised for the period, excluding those that are classified as ‘other economic flows - other comprehensive income’.</w:t>
      </w:r>
    </w:p>
    <w:p w:rsidR="00F423CA" w:rsidRDefault="004E2DCE">
      <w:pPr>
        <w:pStyle w:val="Bodycopy"/>
        <w:rPr>
          <w:spacing w:val="2"/>
        </w:rPr>
      </w:pPr>
      <w:r>
        <w:rPr>
          <w:rStyle w:val="medium"/>
          <w:b/>
          <w:bCs/>
          <w:spacing w:val="2"/>
        </w:rPr>
        <w:t>Net result from transactions or net operating balance</w:t>
      </w:r>
      <w:r>
        <w:rPr>
          <w:spacing w:val="2"/>
        </w:rPr>
        <w:t xml:space="preserv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F423CA" w:rsidRDefault="004E2DCE">
      <w:pPr>
        <w:pStyle w:val="Bodycopy"/>
        <w:rPr>
          <w:spacing w:val="2"/>
        </w:rPr>
      </w:pPr>
      <w:r>
        <w:rPr>
          <w:rStyle w:val="medium"/>
          <w:b/>
          <w:bCs/>
          <w:spacing w:val="2"/>
        </w:rPr>
        <w:t>Net worth</w:t>
      </w:r>
      <w:r>
        <w:rPr>
          <w:spacing w:val="2"/>
        </w:rPr>
        <w:t xml:space="preserve"> is calculated as assets less liabilities, which is an economic measure of wealth.</w:t>
      </w:r>
    </w:p>
    <w:p w:rsidR="00F423CA" w:rsidRDefault="004E2DCE">
      <w:pPr>
        <w:pStyle w:val="Bodycopy"/>
        <w:rPr>
          <w:spacing w:val="2"/>
        </w:rPr>
      </w:pPr>
      <w:r>
        <w:rPr>
          <w:rStyle w:val="medium"/>
          <w:b/>
          <w:bCs/>
          <w:spacing w:val="2"/>
        </w:rPr>
        <w:t>Non-financial assets</w:t>
      </w:r>
      <w:r>
        <w:rPr>
          <w:spacing w:val="2"/>
        </w:rPr>
        <w:t xml:space="preserve"> are all assets that are not financial </w:t>
      </w:r>
      <w:proofErr w:type="gramStart"/>
      <w:r>
        <w:rPr>
          <w:spacing w:val="2"/>
        </w:rPr>
        <w:t>assets .</w:t>
      </w:r>
      <w:proofErr w:type="gramEnd"/>
      <w:r>
        <w:rPr>
          <w:spacing w:val="2"/>
        </w:rPr>
        <w:t xml:space="preserve"> It includes inventories, land, buildings, plant and equipment, cultural and heritage assets and intangible assets.</w:t>
      </w:r>
    </w:p>
    <w:p w:rsidR="00F423CA" w:rsidRDefault="004E2DCE">
      <w:pPr>
        <w:pStyle w:val="Bodycopy"/>
        <w:rPr>
          <w:spacing w:val="2"/>
        </w:rPr>
      </w:pPr>
      <w:r>
        <w:rPr>
          <w:rStyle w:val="medium"/>
          <w:b/>
          <w:bCs/>
          <w:spacing w:val="2"/>
        </w:rPr>
        <w:t>Non-produced assets</w:t>
      </w:r>
      <w:r>
        <w:rPr>
          <w:spacing w:val="2"/>
        </w:rPr>
        <w:t xml:space="preserve"> are assets needed for production that have not themselves been produced. They include land, subsoil assets, and certain intangible assets such as patents.</w:t>
      </w:r>
    </w:p>
    <w:p w:rsidR="00F423CA" w:rsidRDefault="004E2DCE">
      <w:pPr>
        <w:pStyle w:val="Bodycopy"/>
        <w:rPr>
          <w:spacing w:val="2"/>
        </w:rPr>
      </w:pPr>
      <w:r>
        <w:rPr>
          <w:rStyle w:val="medium"/>
          <w:b/>
          <w:bCs/>
          <w:spacing w:val="2"/>
        </w:rPr>
        <w:t>Other economic flows included in net result</w:t>
      </w:r>
      <w:r>
        <w:rPr>
          <w:spacing w:val="2"/>
        </w:rPr>
        <w:t xml:space="preserve"> are changes in the volume or value of an asset or liability that do not result from transactions.  In simple terms, other economic flows are changes arising from market remeasurements.  They include gains and losses from disposals, revaluations and impairments of non-financial physical and intangible assets; and fair value changes of financial instruments.</w:t>
      </w:r>
    </w:p>
    <w:p w:rsidR="00F423CA" w:rsidRDefault="004E2DCE">
      <w:pPr>
        <w:pStyle w:val="Bodycopy"/>
        <w:rPr>
          <w:spacing w:val="2"/>
        </w:rPr>
      </w:pPr>
      <w:r>
        <w:rPr>
          <w:rStyle w:val="medium"/>
          <w:b/>
          <w:bCs/>
          <w:spacing w:val="2"/>
        </w:rPr>
        <w:t>Other economic flows - other comprehensive income</w:t>
      </w:r>
      <w:r>
        <w:rPr>
          <w:spacing w:val="2"/>
        </w:rPr>
        <w:t xml:space="preserve"> comprises items (including reclassification adjustments) that are not recognised in net result as required or permitted by other Australian Accounting Standards.  They include changes in physical asset revaluation surplus.</w:t>
      </w:r>
    </w:p>
    <w:p w:rsidR="00F423CA" w:rsidRDefault="004E2DCE">
      <w:pPr>
        <w:pStyle w:val="Bodycopy"/>
        <w:rPr>
          <w:spacing w:val="2"/>
        </w:rPr>
      </w:pPr>
      <w:r>
        <w:rPr>
          <w:rStyle w:val="medium"/>
          <w:b/>
          <w:bCs/>
          <w:spacing w:val="2"/>
        </w:rPr>
        <w:t>Payables</w:t>
      </w:r>
      <w:r>
        <w:rPr>
          <w:spacing w:val="2"/>
        </w:rPr>
        <w:t xml:space="preserve"> include short and long-term trade debt and accounts payable, grants and interest payable.</w:t>
      </w:r>
    </w:p>
    <w:p w:rsidR="00F423CA" w:rsidRDefault="004E2DCE">
      <w:pPr>
        <w:pStyle w:val="Bodycopy"/>
        <w:rPr>
          <w:spacing w:val="2"/>
        </w:rPr>
      </w:pPr>
      <w:r>
        <w:rPr>
          <w:rStyle w:val="medium"/>
          <w:b/>
          <w:bCs/>
          <w:spacing w:val="2"/>
        </w:rPr>
        <w:t>Produced assets</w:t>
      </w:r>
      <w:r>
        <w:rPr>
          <w:spacing w:val="2"/>
        </w:rPr>
        <w:t xml:space="preserve"> include buildings, plant and equipment, inventories, cultivated assets and certain intangible assets. Intangible produced assets may include computer software, and research and development costs (which does not include the start-up costs associated with capital projects).</w:t>
      </w:r>
    </w:p>
    <w:p w:rsidR="00F423CA" w:rsidRDefault="004E2DCE">
      <w:pPr>
        <w:pStyle w:val="Bodycopy"/>
        <w:rPr>
          <w:spacing w:val="2"/>
        </w:rPr>
      </w:pPr>
      <w:r>
        <w:rPr>
          <w:rStyle w:val="medium"/>
          <w:b/>
          <w:bCs/>
          <w:spacing w:val="2"/>
        </w:rPr>
        <w:t>Receivables</w:t>
      </w:r>
      <w:r>
        <w:rPr>
          <w:spacing w:val="2"/>
        </w:rPr>
        <w:t xml:space="preserve"> include amounts owing from government through appropriation receivable, short and long-term trade credit and accounts receivable, accrued investment income, grants, taxes and interest receivable.</w:t>
      </w:r>
    </w:p>
    <w:p w:rsidR="00F423CA" w:rsidRDefault="004E2DCE">
      <w:pPr>
        <w:pStyle w:val="Bodycopy"/>
        <w:rPr>
          <w:spacing w:val="2"/>
        </w:rPr>
      </w:pPr>
      <w:r>
        <w:rPr>
          <w:rStyle w:val="medium"/>
          <w:b/>
          <w:bCs/>
          <w:spacing w:val="2"/>
        </w:rPr>
        <w:t>Sales of goods and services</w:t>
      </w:r>
      <w:r>
        <w:rPr>
          <w:spacing w:val="2"/>
        </w:rPr>
        <w:t xml:space="preserve"> refers to income from the direct provision of goods and services and includes fees and charges for services rendered, sales of goods and services, fees from regulatory services, and work done as an agent for private enterprises. User charges includes sale of goods and services income.</w:t>
      </w:r>
    </w:p>
    <w:p w:rsidR="00F423CA" w:rsidRDefault="004E2DCE">
      <w:pPr>
        <w:pStyle w:val="Bodycopy"/>
        <w:rPr>
          <w:spacing w:val="2"/>
        </w:rPr>
      </w:pPr>
      <w:r>
        <w:rPr>
          <w:rStyle w:val="medium"/>
          <w:b/>
          <w:bCs/>
          <w:spacing w:val="2"/>
        </w:rPr>
        <w:t>Supplies and services</w:t>
      </w:r>
      <w:r>
        <w:rPr>
          <w:spacing w:val="2"/>
        </w:rPr>
        <w:t xml:space="preserve"> generally represent cost of goods sold and the day-to-day running costs, including maintenance costs, incurred in the normal operations of the department.</w:t>
      </w:r>
    </w:p>
    <w:p w:rsidR="00F423CA" w:rsidRDefault="004E2DCE">
      <w:pPr>
        <w:pStyle w:val="Bodycopy"/>
        <w:rPr>
          <w:spacing w:val="2"/>
        </w:rPr>
      </w:pPr>
      <w:r>
        <w:rPr>
          <w:rStyle w:val="medium"/>
          <w:b/>
          <w:bCs/>
          <w:spacing w:val="2"/>
        </w:rPr>
        <w:t>Taxation income</w:t>
      </w:r>
      <w:r>
        <w:rPr>
          <w:spacing w:val="2"/>
        </w:rPr>
        <w:t xml:space="preserve"> represents income received from the State’s taxpayers and includes: gambling taxes levied mainly on private lotteries, electronic gaming machines, casino operations and racing; and other taxes, including licence fees.</w:t>
      </w:r>
    </w:p>
    <w:p w:rsidR="00F423CA" w:rsidRDefault="004E2DCE">
      <w:pPr>
        <w:pStyle w:val="Bodycopy"/>
        <w:rPr>
          <w:spacing w:val="2"/>
        </w:rPr>
      </w:pPr>
      <w:r>
        <w:rPr>
          <w:rStyle w:val="medium"/>
          <w:b/>
          <w:bCs/>
          <w:spacing w:val="2"/>
        </w:rPr>
        <w:t>Transactions</w:t>
      </w:r>
      <w:r>
        <w:rPr>
          <w:spacing w:val="2"/>
        </w:rPr>
        <w:t xml:space="preserve">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00B572FB" w:rsidRDefault="00B572FB">
      <w:pPr>
        <w:rPr>
          <w:rFonts w:ascii="Arial" w:hAnsi="Arial" w:cs="Arial"/>
          <w:b/>
          <w:bCs/>
          <w:color w:val="542E8E"/>
          <w:lang w:val="en-GB"/>
        </w:rPr>
      </w:pPr>
      <w:r>
        <w:br w:type="page"/>
      </w:r>
    </w:p>
    <w:p w:rsidR="00F423CA" w:rsidRDefault="004E2DCE">
      <w:pPr>
        <w:pStyle w:val="H3"/>
      </w:pPr>
      <w:r>
        <w:lastRenderedPageBreak/>
        <w:t>9.11 Style conventions</w:t>
      </w:r>
    </w:p>
    <w:p w:rsidR="00F423CA" w:rsidRDefault="004E2DCE">
      <w:pPr>
        <w:pStyle w:val="Bodycopy"/>
      </w:pPr>
      <w:r>
        <w:t>Figures in the tables and text have been rounded.  Discrepancies in tables between totals and sums of components reflect rounding.  Percentage variations in all tables are based on the underlying unrounded amounts.</w:t>
      </w:r>
    </w:p>
    <w:p w:rsidR="00F423CA" w:rsidRDefault="004E2DCE">
      <w:pPr>
        <w:pStyle w:val="Bodycopy"/>
      </w:pPr>
      <w:r>
        <w:t>The notation used in the tables is as follows:</w:t>
      </w:r>
    </w:p>
    <w:p w:rsidR="00F423CA" w:rsidRDefault="004E2DCE">
      <w:pPr>
        <w:pStyle w:val="Bodycopy"/>
        <w:tabs>
          <w:tab w:val="left" w:pos="1701"/>
        </w:tabs>
        <w:spacing w:after="0"/>
      </w:pPr>
      <w:r>
        <w:t>(</w:t>
      </w:r>
      <w:proofErr w:type="spellStart"/>
      <w:r>
        <w:t>xxx.x</w:t>
      </w:r>
      <w:proofErr w:type="spellEnd"/>
      <w:r>
        <w:t xml:space="preserve">) </w:t>
      </w:r>
      <w:r>
        <w:tab/>
        <w:t>negative numbers</w:t>
      </w:r>
    </w:p>
    <w:p w:rsidR="00F423CA" w:rsidRDefault="004E2DCE">
      <w:pPr>
        <w:pStyle w:val="Bodycopy"/>
        <w:tabs>
          <w:tab w:val="left" w:pos="1701"/>
        </w:tabs>
        <w:spacing w:after="0"/>
      </w:pPr>
      <w:r>
        <w:t>201x</w:t>
      </w:r>
      <w:r>
        <w:tab/>
        <w:t>year period</w:t>
      </w:r>
    </w:p>
    <w:p w:rsidR="00F423CA" w:rsidRDefault="004E2DCE">
      <w:pPr>
        <w:pStyle w:val="Bodycopy"/>
        <w:tabs>
          <w:tab w:val="left" w:pos="1701"/>
        </w:tabs>
      </w:pPr>
      <w:r>
        <w:t>201x-1x</w:t>
      </w:r>
      <w:r>
        <w:tab/>
        <w:t>year period</w:t>
      </w:r>
    </w:p>
    <w:p w:rsidR="004E2DCE" w:rsidRDefault="004E2DCE">
      <w:pPr>
        <w:pStyle w:val="Bodycopy"/>
      </w:pPr>
      <w:r>
        <w:t>The financial statements and notes are presented based on the illustration for a government department in the 2017-18 Model Report for Victorian Government Departments.</w:t>
      </w:r>
    </w:p>
    <w:sectPr w:rsidR="004E2DCE">
      <w:pgSz w:w="11906" w:h="16838"/>
      <w:pgMar w:top="850" w:right="850" w:bottom="850" w:left="850" w:header="720" w:footer="720" w:gutter="0"/>
      <w:cols w:space="720"/>
      <w:noEndnote/>
    </w:sectPr>
  </w:body>
</w:document>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C">
    <w:panose1 w:val="00000500000000000000"/>
    <w:charset w:val="4D"/>
    <w:family w:val="auto"/>
    <w:pitch w:val="variable"/>
    <w:sig w:usb0="00000007" w:usb1="00000000" w:usb2="00000000" w:usb3="00000000" w:csb0="00000093" w:csb1="00000000"/>
  </w:font>
</w:font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3E4C2A39"/>
    <w:multiLevelType w:val="multilevel"/>
    <w:tmpl w:val="3BF2FDFC"/>
    <w:lvl w:ilvl="0">
      <w:start w:val="1"/>
      <w:numFmt w:val="bullet"/>
      <w:lvlText w:val=""/>
      <w:lvlJc w:val="left"/>
      <w:pPr>
        <w:ind w:left="454" w:hanging="17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nsid w:val="451208F3"/>
    <w:multiLevelType w:val="hybridMultilevel"/>
    <w:tmpl w:val="7A188466"/>
    <w:lvl w:ilvl="0" w:tplc="0DCCD10C">
      <w:start w:val="1"/>
      <w:numFmt w:val="bullet"/>
      <w:pStyle w:val="BodycopyBulletspaceunder"/>
      <w:lvlText w:val=""/>
      <w:lvlJc w:val="left"/>
      <w:pPr>
        <w:ind w:left="284" w:hanging="284"/>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4A1A1166"/>
    <w:multiLevelType w:val="hybridMultilevel"/>
    <w:tmpl w:val="4AF2B5D2"/>
    <w:lvl w:ilvl="0" w:tplc="8E1ADCC8">
      <w:start w:val="1"/>
      <w:numFmt w:val="bullet"/>
      <w:pStyle w:val="tablebullets"/>
      <w:lvlText w:val=""/>
      <w:lvlJc w:val="left"/>
      <w:pPr>
        <w:ind w:left="284" w:hanging="284"/>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5B8849B9"/>
    <w:multiLevelType w:val="hybridMultilevel"/>
    <w:tmpl w:val="233AC19C"/>
    <w:lvl w:ilvl="0" w:tplc="92DEC5C6">
      <w:start w:val="1"/>
      <w:numFmt w:val="bullet"/>
      <w:pStyle w:val="Bodycopy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66953427"/>
    <w:multiLevelType w:val="hybridMultilevel"/>
    <w:tmpl w:val="51E89B0A"/>
    <w:lvl w:ilvl="0" w:tplc="55425988">
      <w:start w:val="1"/>
      <w:numFmt w:val="lowerRoman"/>
      <w:lvlText w:val="(%1)"/>
      <w:lvlJc w:val="left"/>
      <w:pPr>
        <w:ind w:left="800" w:hanging="720"/>
      </w:pPr>
      <w:rPr>
        <w:rFonts w:hint="default"/>
      </w:rPr>
    </w:lvl>
    <w:lvl w:ilvl="1" w:tplc="04090019" w:tentative="true">
      <w:start w:val="1"/>
      <w:numFmt w:val="lowerLetter"/>
      <w:lvlText w:val="%2."/>
      <w:lvlJc w:val="left"/>
      <w:pPr>
        <w:ind w:left="1160" w:hanging="360"/>
      </w:pPr>
    </w:lvl>
    <w:lvl w:ilvl="2" w:tplc="0409001B" w:tentative="true">
      <w:start w:val="1"/>
      <w:numFmt w:val="lowerRoman"/>
      <w:lvlText w:val="%3."/>
      <w:lvlJc w:val="right"/>
      <w:pPr>
        <w:ind w:left="1880" w:hanging="180"/>
      </w:pPr>
    </w:lvl>
    <w:lvl w:ilvl="3" w:tplc="0409000F" w:tentative="true">
      <w:start w:val="1"/>
      <w:numFmt w:val="decimal"/>
      <w:lvlText w:val="%4."/>
      <w:lvlJc w:val="left"/>
      <w:pPr>
        <w:ind w:left="2600" w:hanging="360"/>
      </w:pPr>
    </w:lvl>
    <w:lvl w:ilvl="4" w:tplc="04090019" w:tentative="true">
      <w:start w:val="1"/>
      <w:numFmt w:val="lowerLetter"/>
      <w:lvlText w:val="%5."/>
      <w:lvlJc w:val="left"/>
      <w:pPr>
        <w:ind w:left="3320" w:hanging="360"/>
      </w:pPr>
    </w:lvl>
    <w:lvl w:ilvl="5" w:tplc="0409001B" w:tentative="true">
      <w:start w:val="1"/>
      <w:numFmt w:val="lowerRoman"/>
      <w:lvlText w:val="%6."/>
      <w:lvlJc w:val="right"/>
      <w:pPr>
        <w:ind w:left="4040" w:hanging="180"/>
      </w:pPr>
    </w:lvl>
    <w:lvl w:ilvl="6" w:tplc="0409000F" w:tentative="true">
      <w:start w:val="1"/>
      <w:numFmt w:val="decimal"/>
      <w:lvlText w:val="%7."/>
      <w:lvlJc w:val="left"/>
      <w:pPr>
        <w:ind w:left="4760" w:hanging="360"/>
      </w:pPr>
    </w:lvl>
    <w:lvl w:ilvl="7" w:tplc="04090019" w:tentative="true">
      <w:start w:val="1"/>
      <w:numFmt w:val="lowerLetter"/>
      <w:lvlText w:val="%8."/>
      <w:lvlJc w:val="left"/>
      <w:pPr>
        <w:ind w:left="5480" w:hanging="360"/>
      </w:pPr>
    </w:lvl>
    <w:lvl w:ilvl="8" w:tplc="0409001B" w:tentative="true">
      <w:start w:val="1"/>
      <w:numFmt w:val="lowerRoman"/>
      <w:lvlText w:val="%9."/>
      <w:lvlJc w:val="right"/>
      <w:pPr>
        <w:ind w:left="6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97"/>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A5"/>
    <w:rsid w:val="0000204B"/>
    <w:rsid w:val="001415B5"/>
    <w:rsid w:val="001A7BA2"/>
    <w:rsid w:val="00296DCA"/>
    <w:rsid w:val="002B34F8"/>
    <w:rsid w:val="00362A15"/>
    <w:rsid w:val="003D05EC"/>
    <w:rsid w:val="003D47AE"/>
    <w:rsid w:val="003E0B8E"/>
    <w:rsid w:val="004E2DCE"/>
    <w:rsid w:val="00566F7C"/>
    <w:rsid w:val="005C5E17"/>
    <w:rsid w:val="00666023"/>
    <w:rsid w:val="007708AA"/>
    <w:rsid w:val="008514DF"/>
    <w:rsid w:val="00925BBD"/>
    <w:rsid w:val="009A22A7"/>
    <w:rsid w:val="009D502C"/>
    <w:rsid w:val="00A044F4"/>
    <w:rsid w:val="00A7036C"/>
    <w:rsid w:val="00A83547"/>
    <w:rsid w:val="00A96FCB"/>
    <w:rsid w:val="00B52859"/>
    <w:rsid w:val="00B572FB"/>
    <w:rsid w:val="00B66290"/>
    <w:rsid w:val="00C12C7E"/>
    <w:rsid w:val="00CB07E8"/>
    <w:rsid w:val="00CC37FD"/>
    <w:rsid w:val="00CD2811"/>
    <w:rsid w:val="00D670CB"/>
    <w:rsid w:val="00DE5DA7"/>
    <w:rsid w:val="00E406CB"/>
    <w:rsid w:val="00E65D93"/>
    <w:rsid w:val="00EE1882"/>
    <w:rsid w:val="00F30FA5"/>
    <w:rsid w:val="00F423CA"/>
    <w:rsid w:val="00F45D5C"/>
    <w:rsid w:val="00FA3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DECD83"/>
  <w15:docId w15:val="{46E83645-1730-AE43-8EC5-5DFCE6971185}"/>
  <w14:defaultImageDpi w14:val="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EastAsia" w:cstheme="minorBidi"/>
        <w:sz w:val="24"/>
        <w:szCs w:val="24"/>
        <w:lang w:val="en-AU" w:eastAsia="en-US" w:bidi="ar-SA"/>
      </w:rPr>
    </w:rPrDefault>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rsid w:val="00E65D93"/>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5D93"/>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5D93"/>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E65D93"/>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ParagraphStyle" w:customStyle="true">
    <w:name w:val="[No Paragraph Style]"/>
    <w:pPr>
      <w:widowControl w:val="false"/>
      <w:autoSpaceDE w:val="false"/>
      <w:autoSpaceDN w:val="false"/>
      <w:adjustRightInd w:val="false"/>
      <w:spacing w:line="288" w:lineRule="auto"/>
      <w:textAlignment w:val="center"/>
    </w:pPr>
    <w:rPr>
      <w:rFonts w:ascii="MinionPro-Regular" w:hAnsi="MinionPro-Regular" w:cs="MinionPro-Regular"/>
      <w:color w:val="000000"/>
      <w:lang w:val="en-US"/>
    </w:rPr>
  </w:style>
  <w:style w:type="paragraph" w:styleId="H1" w:customStyle="true">
    <w:name w:val="H1"/>
    <w:basedOn w:val="NoParagraphStyle"/>
    <w:uiPriority w:val="99"/>
    <w:rsid w:val="00A044F4"/>
    <w:pPr>
      <w:suppressAutoHyphens/>
      <w:spacing w:after="120" w:line="240" w:lineRule="auto"/>
    </w:pPr>
    <w:rPr>
      <w:rFonts w:ascii="Arial" w:hAnsi="Arial" w:cs="Arial"/>
      <w:b/>
      <w:bCs/>
      <w:color w:val="542E8E"/>
      <w:sz w:val="36"/>
      <w:szCs w:val="36"/>
      <w:lang w:val="en-GB"/>
    </w:rPr>
  </w:style>
  <w:style w:type="paragraph" w:styleId="Bodycopy" w:customStyle="true">
    <w:name w:val="Body copy"/>
    <w:basedOn w:val="NoParagraphStyle"/>
    <w:uiPriority w:val="99"/>
    <w:rsid w:val="001415B5"/>
    <w:pPr>
      <w:suppressAutoHyphens/>
      <w:spacing w:after="120" w:line="240" w:lineRule="auto"/>
    </w:pPr>
    <w:rPr>
      <w:rFonts w:ascii="Arial" w:hAnsi="Arial" w:cs="Arial"/>
      <w:sz w:val="18"/>
      <w:szCs w:val="18"/>
      <w:lang w:val="en-GB"/>
    </w:rPr>
  </w:style>
  <w:style w:type="paragraph" w:styleId="H4" w:customStyle="true">
    <w:name w:val="H4"/>
    <w:basedOn w:val="NoParagraphStyle"/>
    <w:uiPriority w:val="99"/>
    <w:rsid w:val="003D05EC"/>
    <w:pPr>
      <w:suppressAutoHyphens/>
      <w:spacing w:after="120" w:line="240" w:lineRule="auto"/>
    </w:pPr>
    <w:rPr>
      <w:rFonts w:ascii="Arial" w:hAnsi="Arial" w:cs="Arial"/>
      <w:color w:val="542E8E"/>
      <w:sz w:val="20"/>
      <w:szCs w:val="21"/>
      <w:lang w:val="en-GB"/>
    </w:rPr>
  </w:style>
  <w:style w:type="paragraph" w:styleId="H2" w:customStyle="true">
    <w:name w:val="H2"/>
    <w:basedOn w:val="NoParagraphStyle"/>
    <w:uiPriority w:val="99"/>
    <w:rsid w:val="003D05EC"/>
    <w:pPr>
      <w:suppressAutoHyphens/>
      <w:spacing w:before="120" w:after="120" w:line="240" w:lineRule="auto"/>
    </w:pPr>
    <w:rPr>
      <w:rFonts w:ascii="Arial" w:hAnsi="Arial" w:cs="Arial"/>
      <w:b/>
      <w:bCs/>
      <w:color w:val="542E8E"/>
      <w:sz w:val="27"/>
      <w:szCs w:val="27"/>
      <w:lang w:val="en-GB"/>
    </w:rPr>
  </w:style>
  <w:style w:type="paragraph" w:styleId="BodycopyBullet" w:customStyle="true">
    <w:name w:val="Body copy Bullet"/>
    <w:basedOn w:val="NoParagraphStyle"/>
    <w:uiPriority w:val="99"/>
    <w:rsid w:val="001415B5"/>
    <w:pPr>
      <w:numPr>
        <w:numId w:val="1"/>
      </w:numPr>
      <w:tabs>
        <w:tab w:val="left" w:pos="283"/>
      </w:tabs>
      <w:suppressAutoHyphens/>
      <w:spacing w:after="60" w:line="240" w:lineRule="auto"/>
    </w:pPr>
    <w:rPr>
      <w:rFonts w:ascii="Arial" w:hAnsi="Arial" w:cs="Arial"/>
      <w:sz w:val="18"/>
      <w:szCs w:val="18"/>
      <w:lang w:val="en-GB"/>
    </w:rPr>
  </w:style>
  <w:style w:type="paragraph" w:styleId="BodycopyBulletspaceunder" w:customStyle="true">
    <w:name w:val="Body copy Bullet space under"/>
    <w:basedOn w:val="BodycopyBullet"/>
    <w:uiPriority w:val="99"/>
    <w:rsid w:val="00925BBD"/>
    <w:pPr>
      <w:numPr>
        <w:numId w:val="2"/>
      </w:numPr>
      <w:spacing w:after="120"/>
    </w:pPr>
  </w:style>
  <w:style w:type="paragraph" w:styleId="H3" w:customStyle="true">
    <w:name w:val="H3"/>
    <w:basedOn w:val="NoParagraphStyle"/>
    <w:uiPriority w:val="99"/>
    <w:rsid w:val="00925BBD"/>
    <w:pPr>
      <w:suppressAutoHyphens/>
      <w:spacing w:before="120" w:after="120" w:line="240" w:lineRule="auto"/>
    </w:pPr>
    <w:rPr>
      <w:rFonts w:ascii="Arial" w:hAnsi="Arial" w:cs="Arial"/>
      <w:b/>
      <w:bCs/>
      <w:color w:val="542E8E"/>
      <w:lang w:val="en-GB"/>
    </w:rPr>
  </w:style>
  <w:style w:type="paragraph" w:styleId="notestable" w:customStyle="true">
    <w:name w:val="notes (table)"/>
    <w:basedOn w:val="NoParagraphStyle"/>
    <w:uiPriority w:val="99"/>
    <w:rsid w:val="00A044F4"/>
    <w:pPr>
      <w:tabs>
        <w:tab w:val="left" w:pos="283"/>
      </w:tabs>
      <w:suppressAutoHyphens/>
      <w:spacing w:after="28" w:line="240" w:lineRule="auto"/>
    </w:pPr>
    <w:rPr>
      <w:rFonts w:ascii="Arial" w:hAnsi="Arial" w:cs="Arial"/>
      <w:sz w:val="14"/>
      <w:szCs w:val="14"/>
      <w:lang w:val="en-GB"/>
    </w:rPr>
  </w:style>
  <w:style w:type="paragraph" w:styleId="H5" w:customStyle="true">
    <w:name w:val="H5"/>
    <w:basedOn w:val="NoParagraphStyle"/>
    <w:uiPriority w:val="99"/>
    <w:pPr>
      <w:suppressAutoHyphens/>
      <w:spacing w:before="57" w:after="28" w:line="220" w:lineRule="atLeast"/>
    </w:pPr>
    <w:rPr>
      <w:rFonts w:ascii="VIC" w:hAnsi="VIC" w:cs="VIC"/>
      <w:i/>
      <w:iCs/>
      <w:color w:val="542E8E"/>
      <w:sz w:val="18"/>
      <w:szCs w:val="18"/>
      <w:lang w:val="en-GB"/>
    </w:rPr>
  </w:style>
  <w:style w:type="paragraph" w:styleId="H4A" w:customStyle="true">
    <w:name w:val="H4A"/>
    <w:basedOn w:val="H5"/>
    <w:uiPriority w:val="99"/>
    <w:pPr>
      <w:spacing w:line="240" w:lineRule="atLeast"/>
    </w:pPr>
    <w:rPr>
      <w:rFonts w:ascii="Arial" w:hAnsi="Arial" w:cs="Arial"/>
      <w:sz w:val="20"/>
      <w:szCs w:val="20"/>
    </w:rPr>
  </w:style>
  <w:style w:type="paragraph" w:styleId="bodytableLtable" w:customStyle="true">
    <w:name w:val="body table L (table)"/>
    <w:basedOn w:val="Bodycopy"/>
    <w:uiPriority w:val="99"/>
    <w:pPr>
      <w:spacing w:line="200" w:lineRule="atLeast"/>
    </w:pPr>
    <w:rPr>
      <w:sz w:val="16"/>
      <w:szCs w:val="16"/>
    </w:rPr>
  </w:style>
  <w:style w:type="paragraph" w:styleId="bodytableCtable" w:customStyle="true">
    <w:name w:val="body table C (table)"/>
    <w:basedOn w:val="bodytableLtable"/>
    <w:uiPriority w:val="99"/>
    <w:pPr>
      <w:jc w:val="center"/>
    </w:pPr>
  </w:style>
  <w:style w:type="paragraph" w:styleId="bodytableRtable" w:customStyle="true">
    <w:name w:val="body table R (table)"/>
    <w:basedOn w:val="bodytableLtable"/>
    <w:uiPriority w:val="99"/>
    <w:pPr>
      <w:jc w:val="right"/>
    </w:pPr>
  </w:style>
  <w:style w:type="character" w:styleId="italic" w:customStyle="true">
    <w:name w:val="italic"/>
    <w:uiPriority w:val="99"/>
    <w:rPr>
      <w:i/>
      <w:iCs/>
    </w:rPr>
  </w:style>
  <w:style w:type="character" w:styleId="medium" w:customStyle="true">
    <w:name w:val="medium"/>
    <w:uiPriority w:val="99"/>
    <w:rPr>
      <w:color w:val="000000"/>
    </w:rPr>
  </w:style>
  <w:style w:type="character" w:styleId="bold" w:customStyle="true">
    <w:name w:val="bold"/>
    <w:uiPriority w:val="99"/>
    <w:rPr>
      <w:b/>
      <w:bCs/>
    </w:rPr>
  </w:style>
  <w:style w:type="character" w:styleId="Superscript" w:customStyle="true">
    <w:name w:val="Superscript"/>
    <w:uiPriority w:val="99"/>
    <w:rPr>
      <w:vertAlign w:val="superscript"/>
    </w:rPr>
  </w:style>
  <w:style w:type="character" w:styleId="mediumpurple" w:customStyle="true">
    <w:name w:val="medium purple"/>
    <w:basedOn w:val="medium"/>
    <w:uiPriority w:val="99"/>
    <w:rPr>
      <w:color w:val="542E8E"/>
    </w:rPr>
  </w:style>
  <w:style w:type="paragraph" w:styleId="tablebullets" w:customStyle="true">
    <w:name w:val="table bullets"/>
    <w:basedOn w:val="bodytableLtable"/>
    <w:qFormat/>
    <w:rsid w:val="002B34F8"/>
    <w:pPr>
      <w:numPr>
        <w:numId w:val="3"/>
      </w:numPr>
      <w:spacing w:after="0" w:line="240" w:lineRule="auto"/>
    </w:pPr>
  </w:style>
  <w:style w:type="character" w:styleId="Heading1Char" w:customStyle="true">
    <w:name w:val="Heading 1 Char"/>
    <w:basedOn w:val="DefaultParagraphFont"/>
    <w:link w:val="Heading1"/>
    <w:uiPriority w:val="9"/>
    <w:rsid w:val="00E65D93"/>
    <w:rPr>
      <w:rFonts w:asciiTheme="majorHAnsi" w:hAnsiTheme="majorHAnsi" w:eastAsiaTheme="majorEastAsia" w:cstheme="majorBidi"/>
      <w:color w:val="2F5496" w:themeColor="accent1" w:themeShade="BF"/>
      <w:sz w:val="32"/>
      <w:szCs w:val="32"/>
    </w:rPr>
  </w:style>
  <w:style w:type="character" w:styleId="Heading2Char" w:customStyle="true">
    <w:name w:val="Heading 2 Char"/>
    <w:basedOn w:val="DefaultParagraphFont"/>
    <w:link w:val="Heading2"/>
    <w:uiPriority w:val="9"/>
    <w:semiHidden/>
    <w:rsid w:val="00E65D93"/>
    <w:rPr>
      <w:rFonts w:asciiTheme="majorHAnsi" w:hAnsiTheme="majorHAnsi" w:eastAsiaTheme="majorEastAsia" w:cstheme="majorBidi"/>
      <w:color w:val="2F5496" w:themeColor="accent1" w:themeShade="BF"/>
      <w:sz w:val="26"/>
      <w:szCs w:val="26"/>
    </w:rPr>
  </w:style>
  <w:style w:type="character" w:styleId="Heading3Char" w:customStyle="true">
    <w:name w:val="Heading 3 Char"/>
    <w:basedOn w:val="DefaultParagraphFont"/>
    <w:link w:val="Heading3"/>
    <w:uiPriority w:val="9"/>
    <w:semiHidden/>
    <w:rsid w:val="00E65D93"/>
    <w:rPr>
      <w:rFonts w:asciiTheme="majorHAnsi" w:hAnsiTheme="majorHAnsi" w:eastAsiaTheme="majorEastAsia" w:cstheme="majorBidi"/>
      <w:color w:val="1F3763" w:themeColor="accent1" w:themeShade="7F"/>
    </w:rPr>
  </w:style>
  <w:style w:type="character" w:styleId="Heading4Char" w:customStyle="true">
    <w:name w:val="Heading 4 Char"/>
    <w:basedOn w:val="DefaultParagraphFont"/>
    <w:link w:val="Heading4"/>
    <w:uiPriority w:val="9"/>
    <w:semiHidden/>
    <w:rsid w:val="00E65D93"/>
    <w:rPr>
      <w:rFonts w:asciiTheme="majorHAnsi" w:hAnsiTheme="majorHAnsi" w:eastAsiaTheme="majorEastAsia" w:cstheme="majorBidi"/>
      <w:i/>
      <w:iCs/>
      <w:color w:val="2F5496" w:themeColor="accent1" w:themeShade="BF"/>
    </w:rPr>
  </w:style>
  <w:style w:type="paragraph" w:styleId="TOC2">
    <w:name w:val="toc 2"/>
    <w:basedOn w:val="Normal"/>
    <w:next w:val="Normal"/>
    <w:autoRedefine/>
    <w:uiPriority w:val="39"/>
    <w:unhideWhenUsed/>
    <w:rsid w:val="00E65D93"/>
    <w:pPr>
      <w:spacing w:after="100"/>
      <w:ind w:left="240"/>
    </w:pPr>
  </w:style>
  <w:style w:type="paragraph" w:styleId="TOC1">
    <w:name w:val="toc 1"/>
    <w:basedOn w:val="Normal"/>
    <w:next w:val="Normal"/>
    <w:autoRedefine/>
    <w:uiPriority w:val="39"/>
    <w:unhideWhenUsed/>
    <w:rsid w:val="00E65D93"/>
    <w:pPr>
      <w:spacing w:after="60"/>
    </w:pPr>
    <w:rPr>
      <w:rFonts w:ascii="Arial" w:hAnsi="Arial"/>
      <w:sz w:val="18"/>
    </w:rPr>
  </w:style>
  <w:style w:type="character" w:styleId="Hyperlink">
    <w:name w:val="Hyperlink"/>
    <w:basedOn w:val="DefaultParagraphFont"/>
    <w:uiPriority w:val="99"/>
    <w:unhideWhenUsed/>
    <w:rsid w:val="00E65D93"/>
    <w:rPr>
      <w:color w:val="0563C1" w:themeColor="hyperlink"/>
      <w:u w:val="single"/>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_rels/document.xml.rels><?xml version="1.0" encoding="UTF-8"?>
<Relationships xmlns="http://schemas.openxmlformats.org/package/2006/relationships">
   <Relationship Target="settings.xml" Type="http://schemas.openxmlformats.org/officeDocument/2006/relationships/settings" Id="rId3"/>
   <Relationship Target="theme/theme1.xml" Type="http://schemas.openxmlformats.org/officeDocument/2006/relationships/theme" Id="rId7"/>
   <Relationship Target="styles.xml" Type="http://schemas.openxmlformats.org/officeDocument/2006/relationships/styles" Id="rId2"/>
   <Relationship Target="numbering.xml" Type="http://schemas.openxmlformats.org/officeDocument/2006/relationships/numbering" Id="rId1"/>
   <Relationship Target="fontTable.xml" Type="http://schemas.openxmlformats.org/officeDocument/2006/relationships/fontTable" Id="rId6"/>
   <Relationship Target="media/image1.jpg" Type="http://schemas.openxmlformats.org/officeDocument/2006/relationships/image" Id="rId5"/>
   <Relationship Target="webSettings.xml" Type="http://schemas.openxmlformats.org/officeDocument/2006/relationships/webSettings" Id="rId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Manager/>
  <properties:Company/>
  <properties:Pages>46</properties:Pages>
  <properties:Words>22477</properties:Words>
  <properties:Characters>127321</properties:Characters>
  <properties:Lines>6048</properties:Lines>
  <properties:Paragraphs>4269</properties:Paragraphs>
  <properties:TotalTime>165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148363</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
  <dcterms:created xmlns:xsi="http://www.w3.org/2001/XMLSchema-instance" xsi:type="dcterms:W3CDTF">2018-09-20T00:09:00Z</dcterms:created>
  <dc:creator/>
  <dc:description/>
  <cp:keywords/>
  <cp:lastModifiedBy/>
  <dcterms:modified xmlns:xsi="http://www.w3.org/2001/XMLSchema-instance" xsi:type="dcterms:W3CDTF">2018-09-21T00:49:00Z</dcterms:modified>
  <cp:revision>24</cp:revision>
  <dc:subject/>
  <dc:title>Department of Justice and Regulation Annual Report 2017-18</dc:title>
</cp:coreProperties>
</file>