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body>
    <!-- Modified by docx4j 8.1.4 (Apache licensed) using ECLIPSELINK_MOXy JAXB in Oracle Java 1.8.0_161 on Linux -->
    <w:p w:rsidR="00F12C4C" w:rsidP="00F12C4C" w:rsidRDefault="00F12C4C">
      <w:pPr>
        <w:pStyle w:val="Bodycopy"/>
        <w:rPr>
          <w:color w:val="542F8E"/>
          <w:sz w:val="36"/>
          <w:szCs w:val="36"/>
        </w:rPr>
      </w:pPr>
      <w:bookmarkStart w:id="0" w:name="_Toc525290058"/>
      <w:r w:rsidRPr="00C12C7E">
        <w:rPr>
          <w:color w:val="542F8E"/>
          <w:sz w:val="36"/>
          <w:szCs w:val="36"/>
        </w:rPr>
        <w:t>Department of Justice and Regulation</w:t>
      </w:r>
      <w:r>
        <w:rPr>
          <w:color w:val="542F8E"/>
          <w:sz w:val="36"/>
          <w:szCs w:val="36"/>
        </w:rPr>
        <w:br/>
        <w:t>Annual Report 2017-18</w:t>
      </w:r>
    </w:p>
    <w:p w:rsidRPr="00C12C7E" w:rsidR="00F12C4C" w:rsidP="00F12C4C" w:rsidRDefault="00F12C4C">
      <w:pPr>
        <w:pStyle w:val="Bodycopy"/>
        <w:rPr>
          <w:color w:val="542F8E"/>
          <w:sz w:val="36"/>
          <w:szCs w:val="36"/>
        </w:rPr>
      </w:pPr>
    </w:p>
    <w:p w:rsidRPr="001415B5" w:rsidR="002A3D56" w:rsidP="002A3D56" w:rsidRDefault="002A3D56">
      <w:pPr>
        <w:pStyle w:val="H1"/>
        <w:spacing w:after="0"/>
        <w:ind w:right="51"/>
        <w:rPr>
          <w:sz w:val="56"/>
          <w:szCs w:val="56"/>
        </w:rPr>
      </w:pPr>
      <w:bookmarkStart w:id="1" w:name="_Toc525300088"/>
      <w:bookmarkEnd w:id="0"/>
      <w:r w:rsidRPr="001415B5">
        <w:rPr>
          <w:sz w:val="56"/>
          <w:szCs w:val="56"/>
        </w:rPr>
        <w:t>A</w:t>
      </w:r>
      <w:r>
        <w:rPr>
          <w:sz w:val="56"/>
          <w:szCs w:val="56"/>
        </w:rPr>
        <w:t>ppendices</w:t>
      </w:r>
      <w:bookmarkEnd w:id="1"/>
    </w:p>
    <w:p w:rsidR="00F12C4C" w:rsidP="00F12C4C" w:rsidRDefault="00F12C4C">
      <w:pPr>
        <w:pStyle w:val="Bodycopy"/>
      </w:pPr>
    </w:p>
    <w:p w:rsidR="00F12C4C" w:rsidP="00F12C4C" w:rsidRDefault="00F12C4C">
      <w:pPr>
        <w:pStyle w:val="Bodycopy"/>
      </w:pPr>
      <w:r>
        <w:rPr>
          <w:noProof/>
        </w:rPr>
        <w:drawing>
          <wp:inline distT="0" distB="0" distL="0" distR="0">
            <wp:extent cx="1137765" cy="651462"/>
            <wp:effectExtent l="0" t="0" r="5715" b="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 name="Picture 1" descr="Department of Justice and Regulation"/>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1" name="vic gov logo.jpg"/>
                    <pic:cNvPicPr/>
                  </pic:nvPicPr>
                  <pic:blipFill>
                    <a:blip r:embed="rId8"/>
                    <a:stretch>
                      <a:fillRect/>
                    </a:stretch>
                  </pic:blipFill>
                  <pic:spPr>
                    <a:xfrm>
                      <a:off x="0" y="0"/>
                      <a:ext cx="1151781" cy="659487"/>
                    </a:xfrm>
                    <a:prstGeom prst="rect">
                      <a:avLst/>
                    </a:prstGeom>
                  </pic:spPr>
                </pic:pic>
              </a:graphicData>
            </a:graphic>
          </wp:inline>
        </w:drawing>
      </w:r>
    </w:p>
    <w:p w:rsidR="00F12C4C" w:rsidRDefault="00F12C4C">
      <w:r>
        <w:br w:type="page"/>
      </w:r>
    </w:p>
    <w:p w:rsidR="002A3D56" w:rsidRDefault="002A3D56">
      <w:pPr>
        <w:pStyle w:val="TOC1"/>
        <w:tabs>
          <w:tab w:val="right" w:leader="dot" w:pos="10196"/>
        </w:tabs>
        <w:rPr>
          <w:rFonts w:asciiTheme="minorHAnsi" w:hAnsiTheme="minorHAnsi" w:cstheme="minorBidi"/>
          <w:noProof/>
          <w:color w:val="auto"/>
          <w:sz w:val="24"/>
          <w:szCs w:val="24"/>
          <w:lang w:val="en-AU"/>
        </w:rPr>
      </w:pPr>
      <w:r>
        <w:lastRenderedPageBreak/>
        <w:fldChar w:fldCharType="begin"/>
      </w:r>
      <w:r>
        <w:instrText xml:space="preserve"> TOC \o "1-3" \h \z \t "H1,1" </w:instrText>
      </w:r>
      <w:r>
        <w:fldChar w:fldCharType="separate"/>
      </w:r>
      <w:hyperlink w:history="true" w:anchor="_Toc525300158">
        <w:r w:rsidRPr="00924955">
          <w:rPr>
            <w:rStyle w:val="Hyperlink"/>
            <w:noProof/>
          </w:rPr>
          <w:t>1. Disclosure index</w:t>
        </w:r>
        <w:r>
          <w:rPr>
            <w:noProof/>
            <w:webHidden/>
          </w:rPr>
          <w:tab/>
        </w:r>
        <w:r>
          <w:rPr>
            <w:noProof/>
            <w:webHidden/>
          </w:rPr>
          <w:fldChar w:fldCharType="begin"/>
        </w:r>
        <w:r>
          <w:rPr>
            <w:noProof/>
            <w:webHidden/>
          </w:rPr>
          <w:instrText xml:space="preserve"> PAGEREF _Toc525300158 \h </w:instrText>
        </w:r>
        <w:r>
          <w:rPr>
            <w:noProof/>
            <w:webHidden/>
          </w:rPr>
        </w:r>
        <w:r>
          <w:rPr>
            <w:noProof/>
            <w:webHidden/>
          </w:rPr>
          <w:fldChar w:fldCharType="separate"/>
        </w:r>
        <w:r>
          <w:rPr>
            <w:noProof/>
            <w:webHidden/>
          </w:rPr>
          <w:t>3</w:t>
        </w:r>
        <w:r>
          <w:rPr>
            <w:noProof/>
            <w:webHidden/>
          </w:rPr>
          <w:fldChar w:fldCharType="end"/>
        </w:r>
      </w:hyperlink>
    </w:p>
    <w:p w:rsidR="002A3D56" w:rsidRDefault="002A3D56">
      <w:pPr>
        <w:pStyle w:val="TOC1"/>
        <w:tabs>
          <w:tab w:val="right" w:leader="dot" w:pos="10196"/>
        </w:tabs>
        <w:rPr>
          <w:rFonts w:asciiTheme="minorHAnsi" w:hAnsiTheme="minorHAnsi" w:cstheme="minorBidi"/>
          <w:noProof/>
          <w:color w:val="auto"/>
          <w:sz w:val="24"/>
          <w:szCs w:val="24"/>
          <w:lang w:val="en-AU"/>
        </w:rPr>
      </w:pPr>
      <w:hyperlink w:history="true" w:anchor="_Toc525300159">
        <w:r w:rsidRPr="00924955">
          <w:rPr>
            <w:rStyle w:val="Hyperlink"/>
            <w:noProof/>
          </w:rPr>
          <w:t>2. Budget Portfolio Outcomes</w:t>
        </w:r>
        <w:r>
          <w:rPr>
            <w:noProof/>
            <w:webHidden/>
          </w:rPr>
          <w:tab/>
        </w:r>
        <w:r>
          <w:rPr>
            <w:noProof/>
            <w:webHidden/>
          </w:rPr>
          <w:fldChar w:fldCharType="begin"/>
        </w:r>
        <w:r>
          <w:rPr>
            <w:noProof/>
            <w:webHidden/>
          </w:rPr>
          <w:instrText xml:space="preserve"> PAGEREF _Toc525300159 \h </w:instrText>
        </w:r>
        <w:r>
          <w:rPr>
            <w:noProof/>
            <w:webHidden/>
          </w:rPr>
        </w:r>
        <w:r>
          <w:rPr>
            <w:noProof/>
            <w:webHidden/>
          </w:rPr>
          <w:fldChar w:fldCharType="separate"/>
        </w:r>
        <w:r>
          <w:rPr>
            <w:noProof/>
            <w:webHidden/>
          </w:rPr>
          <w:t>5</w:t>
        </w:r>
        <w:r>
          <w:rPr>
            <w:noProof/>
            <w:webHidden/>
          </w:rPr>
          <w:fldChar w:fldCharType="end"/>
        </w:r>
      </w:hyperlink>
    </w:p>
    <w:p w:rsidR="002A3D56" w:rsidRDefault="002A3D56">
      <w:pPr>
        <w:pStyle w:val="TOC1"/>
        <w:tabs>
          <w:tab w:val="right" w:leader="dot" w:pos="10196"/>
        </w:tabs>
        <w:rPr>
          <w:rFonts w:asciiTheme="minorHAnsi" w:hAnsiTheme="minorHAnsi" w:cstheme="minorBidi"/>
          <w:noProof/>
          <w:color w:val="auto"/>
          <w:sz w:val="24"/>
          <w:szCs w:val="24"/>
          <w:lang w:val="en-AU"/>
        </w:rPr>
      </w:pPr>
      <w:hyperlink w:history="true" w:anchor="_Toc525300160">
        <w:r w:rsidRPr="00924955">
          <w:rPr>
            <w:rStyle w:val="Hyperlink"/>
            <w:noProof/>
          </w:rPr>
          <w:t>3. Statutory authorities and offices by ministerial portfolio 2017–18</w:t>
        </w:r>
        <w:r>
          <w:rPr>
            <w:noProof/>
            <w:webHidden/>
          </w:rPr>
          <w:tab/>
        </w:r>
        <w:r>
          <w:rPr>
            <w:noProof/>
            <w:webHidden/>
          </w:rPr>
          <w:fldChar w:fldCharType="begin"/>
        </w:r>
        <w:r>
          <w:rPr>
            <w:noProof/>
            <w:webHidden/>
          </w:rPr>
          <w:instrText xml:space="preserve"> PAGEREF _Toc525300160 \h </w:instrText>
        </w:r>
        <w:r>
          <w:rPr>
            <w:noProof/>
            <w:webHidden/>
          </w:rPr>
        </w:r>
        <w:r>
          <w:rPr>
            <w:noProof/>
            <w:webHidden/>
          </w:rPr>
          <w:fldChar w:fldCharType="separate"/>
        </w:r>
        <w:r>
          <w:rPr>
            <w:noProof/>
            <w:webHidden/>
          </w:rPr>
          <w:t>10</w:t>
        </w:r>
        <w:r>
          <w:rPr>
            <w:noProof/>
            <w:webHidden/>
          </w:rPr>
          <w:fldChar w:fldCharType="end"/>
        </w:r>
      </w:hyperlink>
    </w:p>
    <w:p w:rsidR="002A3D56" w:rsidRDefault="002A3D56">
      <w:pPr>
        <w:pStyle w:val="TOC1"/>
        <w:tabs>
          <w:tab w:val="right" w:leader="dot" w:pos="10196"/>
        </w:tabs>
        <w:rPr>
          <w:rFonts w:asciiTheme="minorHAnsi" w:hAnsiTheme="minorHAnsi" w:cstheme="minorBidi"/>
          <w:noProof/>
          <w:color w:val="auto"/>
          <w:sz w:val="24"/>
          <w:szCs w:val="24"/>
          <w:lang w:val="en-AU"/>
        </w:rPr>
      </w:pPr>
      <w:hyperlink w:history="true" w:anchor="_Toc525300161">
        <w:r w:rsidRPr="00924955">
          <w:rPr>
            <w:rStyle w:val="Hyperlink"/>
            <w:noProof/>
          </w:rPr>
          <w:t>4. Acts administered by justice and regulation portfolios as at 30 June 2018</w:t>
        </w:r>
        <w:r>
          <w:rPr>
            <w:noProof/>
            <w:webHidden/>
          </w:rPr>
          <w:tab/>
        </w:r>
        <w:r>
          <w:rPr>
            <w:noProof/>
            <w:webHidden/>
          </w:rPr>
          <w:fldChar w:fldCharType="begin"/>
        </w:r>
        <w:r>
          <w:rPr>
            <w:noProof/>
            <w:webHidden/>
          </w:rPr>
          <w:instrText xml:space="preserve"> PAGEREF _Toc525300161 \h </w:instrText>
        </w:r>
        <w:r>
          <w:rPr>
            <w:noProof/>
            <w:webHidden/>
          </w:rPr>
        </w:r>
        <w:r>
          <w:rPr>
            <w:noProof/>
            <w:webHidden/>
          </w:rPr>
          <w:fldChar w:fldCharType="separate"/>
        </w:r>
        <w:r>
          <w:rPr>
            <w:noProof/>
            <w:webHidden/>
          </w:rPr>
          <w:t>13</w:t>
        </w:r>
        <w:r>
          <w:rPr>
            <w:noProof/>
            <w:webHidden/>
          </w:rPr>
          <w:fldChar w:fldCharType="end"/>
        </w:r>
      </w:hyperlink>
    </w:p>
    <w:p w:rsidR="002A3D56" w:rsidRDefault="002A3D56">
      <w:pPr>
        <w:pStyle w:val="TOC1"/>
        <w:tabs>
          <w:tab w:val="right" w:leader="dot" w:pos="10196"/>
        </w:tabs>
        <w:rPr>
          <w:rFonts w:asciiTheme="minorHAnsi" w:hAnsiTheme="minorHAnsi" w:cstheme="minorBidi"/>
          <w:noProof/>
          <w:color w:val="auto"/>
          <w:sz w:val="24"/>
          <w:szCs w:val="24"/>
          <w:lang w:val="en-AU"/>
        </w:rPr>
      </w:pPr>
      <w:hyperlink w:history="true" w:anchor="_Toc525300162">
        <w:r w:rsidRPr="00924955">
          <w:rPr>
            <w:rStyle w:val="Hyperlink"/>
            <w:noProof/>
          </w:rPr>
          <w:t>5. Legislation enacted in 2017–18 (passed between 1 July 2017 and 30 June 2018)</w:t>
        </w:r>
        <w:r>
          <w:rPr>
            <w:noProof/>
            <w:webHidden/>
          </w:rPr>
          <w:tab/>
        </w:r>
        <w:r>
          <w:rPr>
            <w:noProof/>
            <w:webHidden/>
          </w:rPr>
          <w:fldChar w:fldCharType="begin"/>
        </w:r>
        <w:r>
          <w:rPr>
            <w:noProof/>
            <w:webHidden/>
          </w:rPr>
          <w:instrText xml:space="preserve"> PAGEREF _Toc525300162 \h </w:instrText>
        </w:r>
        <w:r>
          <w:rPr>
            <w:noProof/>
            <w:webHidden/>
          </w:rPr>
        </w:r>
        <w:r>
          <w:rPr>
            <w:noProof/>
            <w:webHidden/>
          </w:rPr>
          <w:fldChar w:fldCharType="separate"/>
        </w:r>
        <w:r>
          <w:rPr>
            <w:noProof/>
            <w:webHidden/>
          </w:rPr>
          <w:t>21</w:t>
        </w:r>
        <w:r>
          <w:rPr>
            <w:noProof/>
            <w:webHidden/>
          </w:rPr>
          <w:fldChar w:fldCharType="end"/>
        </w:r>
      </w:hyperlink>
    </w:p>
    <w:p w:rsidR="002A3D56" w:rsidRDefault="002A3D56">
      <w:pPr>
        <w:pStyle w:val="TOC1"/>
        <w:tabs>
          <w:tab w:val="right" w:leader="dot" w:pos="10196"/>
        </w:tabs>
        <w:rPr>
          <w:rFonts w:asciiTheme="minorHAnsi" w:hAnsiTheme="minorHAnsi" w:cstheme="minorBidi"/>
          <w:noProof/>
          <w:color w:val="auto"/>
          <w:sz w:val="24"/>
          <w:szCs w:val="24"/>
          <w:lang w:val="en-AU"/>
        </w:rPr>
      </w:pPr>
      <w:hyperlink w:history="true" w:anchor="_Toc525300163">
        <w:r w:rsidRPr="00924955">
          <w:rPr>
            <w:rStyle w:val="Hyperlink"/>
            <w:noProof/>
          </w:rPr>
          <w:t>People management</w:t>
        </w:r>
        <w:r>
          <w:rPr>
            <w:noProof/>
            <w:webHidden/>
          </w:rPr>
          <w:tab/>
        </w:r>
        <w:r>
          <w:rPr>
            <w:noProof/>
            <w:webHidden/>
          </w:rPr>
          <w:fldChar w:fldCharType="begin"/>
        </w:r>
        <w:r>
          <w:rPr>
            <w:noProof/>
            <w:webHidden/>
          </w:rPr>
          <w:instrText xml:space="preserve"> PAGEREF _Toc525300163 \h </w:instrText>
        </w:r>
        <w:r>
          <w:rPr>
            <w:noProof/>
            <w:webHidden/>
          </w:rPr>
        </w:r>
        <w:r>
          <w:rPr>
            <w:noProof/>
            <w:webHidden/>
          </w:rPr>
          <w:fldChar w:fldCharType="separate"/>
        </w:r>
        <w:r>
          <w:rPr>
            <w:noProof/>
            <w:webHidden/>
          </w:rPr>
          <w:t>22</w:t>
        </w:r>
        <w:r>
          <w:rPr>
            <w:noProof/>
            <w:webHidden/>
          </w:rPr>
          <w:fldChar w:fldCharType="end"/>
        </w:r>
      </w:hyperlink>
    </w:p>
    <w:p w:rsidR="002A3D56" w:rsidRDefault="002A3D56">
      <w:pPr>
        <w:pStyle w:val="TOC1"/>
        <w:tabs>
          <w:tab w:val="right" w:leader="dot" w:pos="10196"/>
        </w:tabs>
        <w:rPr>
          <w:rFonts w:asciiTheme="minorHAnsi" w:hAnsiTheme="minorHAnsi" w:cstheme="minorBidi"/>
          <w:noProof/>
          <w:color w:val="auto"/>
          <w:sz w:val="24"/>
          <w:szCs w:val="24"/>
          <w:lang w:val="en-AU"/>
        </w:rPr>
      </w:pPr>
      <w:hyperlink w:history="true" w:anchor="_Toc525300164">
        <w:r w:rsidRPr="00924955">
          <w:rPr>
            <w:rStyle w:val="Hyperlink"/>
            <w:noProof/>
          </w:rPr>
          <w:t>6. Health, safety and wellbeing</w:t>
        </w:r>
        <w:r>
          <w:rPr>
            <w:noProof/>
            <w:webHidden/>
          </w:rPr>
          <w:tab/>
        </w:r>
        <w:r>
          <w:rPr>
            <w:noProof/>
            <w:webHidden/>
          </w:rPr>
          <w:fldChar w:fldCharType="begin"/>
        </w:r>
        <w:r>
          <w:rPr>
            <w:noProof/>
            <w:webHidden/>
          </w:rPr>
          <w:instrText xml:space="preserve"> PAGEREF _Toc525300164 \h </w:instrText>
        </w:r>
        <w:r>
          <w:rPr>
            <w:noProof/>
            <w:webHidden/>
          </w:rPr>
        </w:r>
        <w:r>
          <w:rPr>
            <w:noProof/>
            <w:webHidden/>
          </w:rPr>
          <w:fldChar w:fldCharType="separate"/>
        </w:r>
        <w:r>
          <w:rPr>
            <w:noProof/>
            <w:webHidden/>
          </w:rPr>
          <w:t>33</w:t>
        </w:r>
        <w:r>
          <w:rPr>
            <w:noProof/>
            <w:webHidden/>
          </w:rPr>
          <w:fldChar w:fldCharType="end"/>
        </w:r>
      </w:hyperlink>
    </w:p>
    <w:p w:rsidR="002A3D56" w:rsidRDefault="002A3D56">
      <w:pPr>
        <w:pStyle w:val="TOC1"/>
        <w:tabs>
          <w:tab w:val="right" w:leader="dot" w:pos="10196"/>
        </w:tabs>
        <w:rPr>
          <w:rFonts w:asciiTheme="minorHAnsi" w:hAnsiTheme="minorHAnsi" w:cstheme="minorBidi"/>
          <w:noProof/>
          <w:color w:val="auto"/>
          <w:sz w:val="24"/>
          <w:szCs w:val="24"/>
          <w:lang w:val="en-AU"/>
        </w:rPr>
      </w:pPr>
      <w:hyperlink w:history="true" w:anchor="_Toc525300165">
        <w:r w:rsidRPr="00924955">
          <w:rPr>
            <w:rStyle w:val="Hyperlink"/>
            <w:noProof/>
          </w:rPr>
          <w:t>7. Environmental performance and targets</w:t>
        </w:r>
        <w:r>
          <w:rPr>
            <w:noProof/>
            <w:webHidden/>
          </w:rPr>
          <w:tab/>
        </w:r>
        <w:r>
          <w:rPr>
            <w:noProof/>
            <w:webHidden/>
          </w:rPr>
          <w:fldChar w:fldCharType="begin"/>
        </w:r>
        <w:r>
          <w:rPr>
            <w:noProof/>
            <w:webHidden/>
          </w:rPr>
          <w:instrText xml:space="preserve"> PAGEREF _Toc525300165 \h </w:instrText>
        </w:r>
        <w:r>
          <w:rPr>
            <w:noProof/>
            <w:webHidden/>
          </w:rPr>
        </w:r>
        <w:r>
          <w:rPr>
            <w:noProof/>
            <w:webHidden/>
          </w:rPr>
          <w:fldChar w:fldCharType="separate"/>
        </w:r>
        <w:r>
          <w:rPr>
            <w:noProof/>
            <w:webHidden/>
          </w:rPr>
          <w:t>41</w:t>
        </w:r>
        <w:r>
          <w:rPr>
            <w:noProof/>
            <w:webHidden/>
          </w:rPr>
          <w:fldChar w:fldCharType="end"/>
        </w:r>
      </w:hyperlink>
    </w:p>
    <w:p w:rsidR="002A3D56" w:rsidRDefault="002A3D56">
      <w:pPr>
        <w:pStyle w:val="TOC1"/>
        <w:tabs>
          <w:tab w:val="right" w:leader="dot" w:pos="10196"/>
        </w:tabs>
        <w:rPr>
          <w:rFonts w:asciiTheme="minorHAnsi" w:hAnsiTheme="minorHAnsi" w:cstheme="minorBidi"/>
          <w:noProof/>
          <w:color w:val="auto"/>
          <w:sz w:val="24"/>
          <w:szCs w:val="24"/>
          <w:lang w:val="en-AU"/>
        </w:rPr>
      </w:pPr>
      <w:hyperlink w:history="true" w:anchor="_Toc525300166">
        <w:r w:rsidRPr="00924955">
          <w:rPr>
            <w:rStyle w:val="Hyperlink"/>
            <w:noProof/>
          </w:rPr>
          <w:t>8. Assurance</w:t>
        </w:r>
        <w:r>
          <w:rPr>
            <w:noProof/>
            <w:webHidden/>
          </w:rPr>
          <w:tab/>
        </w:r>
        <w:r>
          <w:rPr>
            <w:noProof/>
            <w:webHidden/>
          </w:rPr>
          <w:fldChar w:fldCharType="begin"/>
        </w:r>
        <w:r>
          <w:rPr>
            <w:noProof/>
            <w:webHidden/>
          </w:rPr>
          <w:instrText xml:space="preserve"> PAGEREF _Toc525300166 \h </w:instrText>
        </w:r>
        <w:r>
          <w:rPr>
            <w:noProof/>
            <w:webHidden/>
          </w:rPr>
        </w:r>
        <w:r>
          <w:rPr>
            <w:noProof/>
            <w:webHidden/>
          </w:rPr>
          <w:fldChar w:fldCharType="separate"/>
        </w:r>
        <w:r>
          <w:rPr>
            <w:noProof/>
            <w:webHidden/>
          </w:rPr>
          <w:t>48</w:t>
        </w:r>
        <w:r>
          <w:rPr>
            <w:noProof/>
            <w:webHidden/>
          </w:rPr>
          <w:fldChar w:fldCharType="end"/>
        </w:r>
      </w:hyperlink>
    </w:p>
    <w:p w:rsidR="002A3D56" w:rsidRDefault="002A3D56">
      <w:pPr>
        <w:pStyle w:val="TOC1"/>
        <w:tabs>
          <w:tab w:val="right" w:leader="dot" w:pos="10196"/>
        </w:tabs>
        <w:rPr>
          <w:rFonts w:asciiTheme="minorHAnsi" w:hAnsiTheme="minorHAnsi" w:cstheme="minorBidi"/>
          <w:noProof/>
          <w:color w:val="auto"/>
          <w:sz w:val="24"/>
          <w:szCs w:val="24"/>
          <w:lang w:val="en-AU"/>
        </w:rPr>
      </w:pPr>
      <w:hyperlink w:history="true" w:anchor="_Toc525300167">
        <w:r w:rsidRPr="00924955">
          <w:rPr>
            <w:rStyle w:val="Hyperlink"/>
            <w:noProof/>
          </w:rPr>
          <w:t>9. Statutory compliance</w:t>
        </w:r>
        <w:r>
          <w:rPr>
            <w:noProof/>
            <w:webHidden/>
          </w:rPr>
          <w:tab/>
        </w:r>
        <w:r>
          <w:rPr>
            <w:noProof/>
            <w:webHidden/>
          </w:rPr>
          <w:fldChar w:fldCharType="begin"/>
        </w:r>
        <w:r>
          <w:rPr>
            <w:noProof/>
            <w:webHidden/>
          </w:rPr>
          <w:instrText xml:space="preserve"> PAGEREF _Toc525300167 \h </w:instrText>
        </w:r>
        <w:r>
          <w:rPr>
            <w:noProof/>
            <w:webHidden/>
          </w:rPr>
        </w:r>
        <w:r>
          <w:rPr>
            <w:noProof/>
            <w:webHidden/>
          </w:rPr>
          <w:fldChar w:fldCharType="separate"/>
        </w:r>
        <w:r>
          <w:rPr>
            <w:noProof/>
            <w:webHidden/>
          </w:rPr>
          <w:t>54</w:t>
        </w:r>
        <w:r>
          <w:rPr>
            <w:noProof/>
            <w:webHidden/>
          </w:rPr>
          <w:fldChar w:fldCharType="end"/>
        </w:r>
      </w:hyperlink>
    </w:p>
    <w:p w:rsidR="002A3D56" w:rsidRDefault="002A3D56">
      <w:pPr>
        <w:pStyle w:val="TOC1"/>
        <w:tabs>
          <w:tab w:val="right" w:leader="dot" w:pos="10196"/>
        </w:tabs>
        <w:rPr>
          <w:rFonts w:asciiTheme="minorHAnsi" w:hAnsiTheme="minorHAnsi" w:cstheme="minorBidi"/>
          <w:noProof/>
          <w:color w:val="auto"/>
          <w:sz w:val="24"/>
          <w:szCs w:val="24"/>
          <w:lang w:val="en-AU"/>
        </w:rPr>
      </w:pPr>
      <w:hyperlink w:history="true" w:anchor="_Toc525300168">
        <w:r w:rsidRPr="00924955">
          <w:rPr>
            <w:rStyle w:val="Hyperlink"/>
            <w:noProof/>
          </w:rPr>
          <w:t>10. Additional information available on request</w:t>
        </w:r>
        <w:r>
          <w:rPr>
            <w:noProof/>
            <w:webHidden/>
          </w:rPr>
          <w:tab/>
        </w:r>
        <w:r>
          <w:rPr>
            <w:noProof/>
            <w:webHidden/>
          </w:rPr>
          <w:fldChar w:fldCharType="begin"/>
        </w:r>
        <w:r>
          <w:rPr>
            <w:noProof/>
            <w:webHidden/>
          </w:rPr>
          <w:instrText xml:space="preserve"> PAGEREF _Toc525300168 \h </w:instrText>
        </w:r>
        <w:r>
          <w:rPr>
            <w:noProof/>
            <w:webHidden/>
          </w:rPr>
        </w:r>
        <w:r>
          <w:rPr>
            <w:noProof/>
            <w:webHidden/>
          </w:rPr>
          <w:fldChar w:fldCharType="separate"/>
        </w:r>
        <w:r>
          <w:rPr>
            <w:noProof/>
            <w:webHidden/>
          </w:rPr>
          <w:t>64</w:t>
        </w:r>
        <w:r>
          <w:rPr>
            <w:noProof/>
            <w:webHidden/>
          </w:rPr>
          <w:fldChar w:fldCharType="end"/>
        </w:r>
      </w:hyperlink>
    </w:p>
    <w:p w:rsidR="002A3D56" w:rsidRDefault="002A3D56">
      <w:pPr>
        <w:pStyle w:val="TOC1"/>
        <w:tabs>
          <w:tab w:val="right" w:leader="dot" w:pos="10196"/>
        </w:tabs>
        <w:rPr>
          <w:rFonts w:asciiTheme="minorHAnsi" w:hAnsiTheme="minorHAnsi" w:cstheme="minorBidi"/>
          <w:noProof/>
          <w:color w:val="auto"/>
          <w:sz w:val="24"/>
          <w:szCs w:val="24"/>
          <w:lang w:val="en-AU"/>
        </w:rPr>
      </w:pPr>
      <w:hyperlink w:history="true" w:anchor="_Toc525300169">
        <w:r w:rsidRPr="00924955">
          <w:rPr>
            <w:rStyle w:val="Hyperlink"/>
            <w:noProof/>
          </w:rPr>
          <w:t>Glossary</w:t>
        </w:r>
        <w:r>
          <w:rPr>
            <w:noProof/>
            <w:webHidden/>
          </w:rPr>
          <w:tab/>
        </w:r>
        <w:r>
          <w:rPr>
            <w:noProof/>
            <w:webHidden/>
          </w:rPr>
          <w:fldChar w:fldCharType="begin"/>
        </w:r>
        <w:r>
          <w:rPr>
            <w:noProof/>
            <w:webHidden/>
          </w:rPr>
          <w:instrText xml:space="preserve"> PAGEREF _Toc525300169 \h </w:instrText>
        </w:r>
        <w:r>
          <w:rPr>
            <w:noProof/>
            <w:webHidden/>
          </w:rPr>
        </w:r>
        <w:r>
          <w:rPr>
            <w:noProof/>
            <w:webHidden/>
          </w:rPr>
          <w:fldChar w:fldCharType="separate"/>
        </w:r>
        <w:r>
          <w:rPr>
            <w:noProof/>
            <w:webHidden/>
          </w:rPr>
          <w:t>65</w:t>
        </w:r>
        <w:r>
          <w:rPr>
            <w:noProof/>
            <w:webHidden/>
          </w:rPr>
          <w:fldChar w:fldCharType="end"/>
        </w:r>
      </w:hyperlink>
    </w:p>
    <w:p w:rsidR="00F12C4C" w:rsidP="00F12C4C" w:rsidRDefault="002A3D56">
      <w:pPr>
        <w:pStyle w:val="Bodycopy"/>
      </w:pPr>
      <w:r>
        <w:fldChar w:fldCharType="end"/>
      </w:r>
    </w:p>
    <w:p w:rsidR="00F12C4C" w:rsidP="00F12C4C" w:rsidRDefault="00F12C4C">
      <w:pPr>
        <w:pStyle w:val="Bodycopy"/>
      </w:pPr>
      <w:r>
        <w:br w:type="page"/>
      </w:r>
      <w:bookmarkStart w:id="2" w:name="_GoBack"/>
      <w:bookmarkEnd w:id="2"/>
    </w:p>
    <w:p w:rsidR="000D6E6A" w:rsidRDefault="000D6E6A">
      <w:pPr>
        <w:pStyle w:val="H1"/>
      </w:pPr>
      <w:bookmarkStart w:id="3" w:name="_Toc525300158"/>
      <w:r>
        <w:lastRenderedPageBreak/>
        <w:t>1. Disclosure index</w:t>
      </w:r>
      <w:bookmarkEnd w:id="3"/>
    </w:p>
    <w:p w:rsidR="000D6E6A" w:rsidRDefault="000D6E6A">
      <w:pPr>
        <w:pStyle w:val="Bodycopy"/>
      </w:pPr>
      <w:r>
        <w:t>The annual report of the department is prepared in accordance with all relevant Victorian legislation and pronouncements. This index has been prepared to facilitate identification of the department’s compliance with statutory disclosure requirements.</w:t>
      </w:r>
    </w:p>
    <w:tbl>
      <w:tblPr>
        <w:tblW w:w="0" w:type="auto"/>
        <w:tblInd w:w="57" w:type="dxa"/>
        <w:tblLayout w:type="fixed"/>
        <w:tblCellMar>
          <w:left w:w="0" w:type="dxa"/>
          <w:right w:w="0" w:type="dxa"/>
        </w:tblCellMar>
        <w:tblLook w:firstRow="0" w:lastRow="0" w:firstColumn="0" w:lastColumn="0" w:noHBand="0" w:noVBand="0" w:val="0000"/>
      </w:tblPr>
      <w:tblGrid>
        <w:gridCol w:w="1134"/>
        <w:gridCol w:w="3061"/>
        <w:gridCol w:w="3459"/>
        <w:gridCol w:w="1417"/>
      </w:tblGrid>
      <w:tr w:rsidRPr="000D6E6A" w:rsidR="000D6E6A" w:rsidTr="000D6E6A">
        <w:tblPrEx>
          <w:tblCellMar>
            <w:top w:w="0" w:type="dxa"/>
            <w:left w:w="0" w:type="dxa"/>
            <w:bottom w:w="0" w:type="dxa"/>
            <w:right w:w="0" w:type="dxa"/>
          </w:tblCellMar>
        </w:tblPrEx>
        <w:trPr>
          <w:trHeight w:val="113"/>
          <w:tblHeader/>
        </w:trPr>
        <w:tc>
          <w:tcPr>
            <w:tcW w:w="1134"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pPr>
            <w:r w:rsidRPr="000D6E6A">
              <w:rPr>
                <w:rStyle w:val="mediumpurple"/>
                <w:b/>
                <w:bCs/>
              </w:rPr>
              <w:t>Legislation</w:t>
            </w:r>
          </w:p>
        </w:tc>
        <w:tc>
          <w:tcPr>
            <w:tcW w:w="6520" w:type="dxa"/>
            <w:gridSpan w:val="2"/>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pPr>
            <w:r w:rsidRPr="000D6E6A">
              <w:rPr>
                <w:rStyle w:val="mediumpurple"/>
                <w:b/>
                <w:bCs/>
              </w:rPr>
              <w:t>Requirement</w:t>
            </w:r>
          </w:p>
        </w:tc>
        <w:tc>
          <w:tcPr>
            <w:tcW w:w="1417"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jc w:val="right"/>
            </w:pPr>
            <w:r w:rsidRPr="000D6E6A">
              <w:rPr>
                <w:rStyle w:val="mediumpurple"/>
                <w:b/>
                <w:bCs/>
              </w:rPr>
              <w:t>Page reference</w:t>
            </w:r>
          </w:p>
        </w:tc>
      </w:tr>
      <w:tr w:rsidRPr="000D6E6A" w:rsidR="000D6E6A" w:rsidTr="000D6E6A">
        <w:tblPrEx>
          <w:tblCellMar>
            <w:top w:w="0" w:type="dxa"/>
            <w:left w:w="0" w:type="dxa"/>
            <w:bottom w:w="0" w:type="dxa"/>
            <w:right w:w="0" w:type="dxa"/>
          </w:tblCellMar>
        </w:tblPrEx>
        <w:trPr>
          <w:trHeight w:val="113"/>
        </w:trPr>
        <w:tc>
          <w:tcPr>
            <w:tcW w:w="9071" w:type="dxa"/>
            <w:gridSpan w:val="4"/>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rPr>
                <w:rStyle w:val="medium"/>
                <w:b/>
                <w:bCs/>
              </w:rPr>
              <w:t>Charter and purpose</w:t>
            </w:r>
          </w:p>
        </w:tc>
      </w:tr>
      <w:tr w:rsidRPr="000D6E6A" w:rsidR="000D6E6A" w:rsidTr="000D6E6A">
        <w:tblPrEx>
          <w:tblCellMar>
            <w:top w:w="0" w:type="dxa"/>
            <w:left w:w="0" w:type="dxa"/>
            <w:bottom w:w="0" w:type="dxa"/>
            <w:right w:w="0" w:type="dxa"/>
          </w:tblCellMar>
        </w:tblPrEx>
        <w:trPr>
          <w:trHeight w:val="113"/>
        </w:trPr>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FRD 22H</w:t>
            </w:r>
          </w:p>
        </w:tc>
        <w:tc>
          <w:tcPr>
            <w:tcW w:w="6520"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Manner of establishment and the relevant Ministers</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2</w:t>
            </w:r>
          </w:p>
        </w:tc>
      </w:tr>
      <w:tr w:rsidRPr="000D6E6A" w:rsidR="000D6E6A" w:rsidTr="000D6E6A">
        <w:tblPrEx>
          <w:tblCellMar>
            <w:top w:w="0" w:type="dxa"/>
            <w:left w:w="0" w:type="dxa"/>
            <w:bottom w:w="0" w:type="dxa"/>
            <w:right w:w="0" w:type="dxa"/>
          </w:tblCellMar>
        </w:tblPrEx>
        <w:trPr>
          <w:trHeight w:val="113"/>
        </w:trPr>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FRD 22H</w:t>
            </w:r>
          </w:p>
        </w:tc>
        <w:tc>
          <w:tcPr>
            <w:tcW w:w="6520"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 xml:space="preserve">Purpose, functions, powers and duties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4</w:t>
            </w:r>
          </w:p>
        </w:tc>
      </w:tr>
      <w:tr w:rsidRPr="000D6E6A" w:rsidR="000D6E6A" w:rsidTr="000D6E6A">
        <w:tblPrEx>
          <w:tblCellMar>
            <w:top w:w="0" w:type="dxa"/>
            <w:left w:w="0" w:type="dxa"/>
            <w:bottom w:w="0" w:type="dxa"/>
            <w:right w:w="0" w:type="dxa"/>
          </w:tblCellMar>
        </w:tblPrEx>
        <w:trPr>
          <w:trHeight w:val="113"/>
        </w:trPr>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 xml:space="preserve">FRD 8D </w:t>
            </w:r>
          </w:p>
        </w:tc>
        <w:tc>
          <w:tcPr>
            <w:tcW w:w="6520"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Departmental objectives, indicators and outputs</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15</w:t>
            </w:r>
          </w:p>
        </w:tc>
      </w:tr>
      <w:tr w:rsidRPr="000D6E6A" w:rsidR="000D6E6A" w:rsidTr="000D6E6A">
        <w:tblPrEx>
          <w:tblCellMar>
            <w:top w:w="0" w:type="dxa"/>
            <w:left w:w="0" w:type="dxa"/>
            <w:bottom w:w="0" w:type="dxa"/>
            <w:right w:w="0" w:type="dxa"/>
          </w:tblCellMar>
        </w:tblPrEx>
        <w:trPr>
          <w:trHeight w:val="113"/>
        </w:trPr>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FRD 22H</w:t>
            </w:r>
          </w:p>
        </w:tc>
        <w:tc>
          <w:tcPr>
            <w:tcW w:w="6520"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Key initiatives and projects</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15</w:t>
            </w:r>
          </w:p>
        </w:tc>
      </w:tr>
      <w:tr w:rsidRPr="000D6E6A" w:rsidR="000D6E6A" w:rsidTr="000D6E6A">
        <w:tblPrEx>
          <w:tblCellMar>
            <w:top w:w="0" w:type="dxa"/>
            <w:left w:w="0" w:type="dxa"/>
            <w:bottom w:w="0" w:type="dxa"/>
            <w:right w:w="0" w:type="dxa"/>
          </w:tblCellMar>
        </w:tblPrEx>
        <w:trPr>
          <w:trHeight w:val="113"/>
        </w:trPr>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FRD 22H</w:t>
            </w:r>
          </w:p>
        </w:tc>
        <w:tc>
          <w:tcPr>
            <w:tcW w:w="6520"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Nature and range of services provided</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7</w:t>
            </w:r>
          </w:p>
        </w:tc>
      </w:tr>
      <w:tr w:rsidRPr="000D6E6A" w:rsidR="000D6E6A" w:rsidTr="000D6E6A">
        <w:tblPrEx>
          <w:tblCellMar>
            <w:top w:w="0" w:type="dxa"/>
            <w:left w:w="0" w:type="dxa"/>
            <w:bottom w:w="0" w:type="dxa"/>
            <w:right w:w="0" w:type="dxa"/>
          </w:tblCellMar>
        </w:tblPrEx>
        <w:trPr>
          <w:trHeight w:val="113"/>
        </w:trPr>
        <w:tc>
          <w:tcPr>
            <w:tcW w:w="9071" w:type="dxa"/>
            <w:gridSpan w:val="4"/>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rPr>
                <w:rStyle w:val="medium"/>
                <w:b/>
                <w:bCs/>
              </w:rPr>
              <w:t>Management and structure</w:t>
            </w:r>
          </w:p>
        </w:tc>
      </w:tr>
      <w:tr w:rsidRPr="000D6E6A" w:rsidR="000D6E6A" w:rsidTr="000D6E6A">
        <w:tblPrEx>
          <w:tblCellMar>
            <w:top w:w="0" w:type="dxa"/>
            <w:left w:w="0" w:type="dxa"/>
            <w:bottom w:w="0" w:type="dxa"/>
            <w:right w:w="0" w:type="dxa"/>
          </w:tblCellMar>
        </w:tblPrEx>
        <w:trPr>
          <w:trHeight w:val="113"/>
        </w:trPr>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FRD 22H</w:t>
            </w:r>
          </w:p>
        </w:tc>
        <w:tc>
          <w:tcPr>
            <w:tcW w:w="6520"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 xml:space="preserve">Organisational structure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6</w:t>
            </w:r>
          </w:p>
        </w:tc>
      </w:tr>
      <w:tr w:rsidRPr="000D6E6A" w:rsidR="000D6E6A" w:rsidTr="000D6E6A">
        <w:tblPrEx>
          <w:tblCellMar>
            <w:top w:w="0" w:type="dxa"/>
            <w:left w:w="0" w:type="dxa"/>
            <w:bottom w:w="0" w:type="dxa"/>
            <w:right w:w="0" w:type="dxa"/>
          </w:tblCellMar>
        </w:tblPrEx>
        <w:trPr>
          <w:trHeight w:val="113"/>
        </w:trPr>
        <w:tc>
          <w:tcPr>
            <w:tcW w:w="9071" w:type="dxa"/>
            <w:gridSpan w:val="4"/>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rPr>
                <w:rStyle w:val="medium"/>
                <w:b/>
                <w:bCs/>
              </w:rPr>
              <w:t>Financial and other information</w:t>
            </w:r>
          </w:p>
        </w:tc>
      </w:tr>
      <w:tr w:rsidRPr="000D6E6A" w:rsidR="000D6E6A" w:rsidTr="000D6E6A">
        <w:tblPrEx>
          <w:tblCellMar>
            <w:top w:w="0" w:type="dxa"/>
            <w:left w:w="0" w:type="dxa"/>
            <w:bottom w:w="0" w:type="dxa"/>
            <w:right w:w="0" w:type="dxa"/>
          </w:tblCellMar>
        </w:tblPrEx>
        <w:trPr>
          <w:trHeight w:val="113"/>
        </w:trPr>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FRD 8D</w:t>
            </w:r>
          </w:p>
        </w:tc>
        <w:tc>
          <w:tcPr>
            <w:tcW w:w="6520"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 xml:space="preserve">Performance against output performance measures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15-93</w:t>
            </w:r>
          </w:p>
        </w:tc>
      </w:tr>
      <w:tr w:rsidRPr="000D6E6A" w:rsidR="000D6E6A" w:rsidTr="000D6E6A">
        <w:tblPrEx>
          <w:tblCellMar>
            <w:top w:w="0" w:type="dxa"/>
            <w:left w:w="0" w:type="dxa"/>
            <w:bottom w:w="0" w:type="dxa"/>
            <w:right w:w="0" w:type="dxa"/>
          </w:tblCellMar>
        </w:tblPrEx>
        <w:trPr>
          <w:trHeight w:val="113"/>
        </w:trPr>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 xml:space="preserve">FRD 8D </w:t>
            </w:r>
          </w:p>
        </w:tc>
        <w:tc>
          <w:tcPr>
            <w:tcW w:w="6520"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Budget portfolio outcomes</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158</w:t>
            </w:r>
          </w:p>
        </w:tc>
      </w:tr>
      <w:tr w:rsidRPr="000D6E6A" w:rsidR="000D6E6A" w:rsidTr="000D6E6A">
        <w:tblPrEx>
          <w:tblCellMar>
            <w:top w:w="0" w:type="dxa"/>
            <w:left w:w="0" w:type="dxa"/>
            <w:bottom w:w="0" w:type="dxa"/>
            <w:right w:w="0" w:type="dxa"/>
          </w:tblCellMar>
        </w:tblPrEx>
        <w:trPr>
          <w:trHeight w:val="113"/>
        </w:trPr>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 xml:space="preserve">FRD 10A </w:t>
            </w:r>
          </w:p>
        </w:tc>
        <w:tc>
          <w:tcPr>
            <w:tcW w:w="6520"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Disclosure index</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156</w:t>
            </w:r>
          </w:p>
        </w:tc>
      </w:tr>
      <w:tr w:rsidRPr="000D6E6A" w:rsidR="000D6E6A" w:rsidTr="000D6E6A">
        <w:tblPrEx>
          <w:tblCellMar>
            <w:top w:w="0" w:type="dxa"/>
            <w:left w:w="0" w:type="dxa"/>
            <w:bottom w:w="0" w:type="dxa"/>
            <w:right w:w="0" w:type="dxa"/>
          </w:tblCellMar>
        </w:tblPrEx>
        <w:trPr>
          <w:trHeight w:val="113"/>
        </w:trPr>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FRD 12B</w:t>
            </w:r>
          </w:p>
        </w:tc>
        <w:tc>
          <w:tcPr>
            <w:tcW w:w="6520"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Disclosure of major contracts</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217</w:t>
            </w:r>
          </w:p>
        </w:tc>
      </w:tr>
      <w:tr w:rsidRPr="000D6E6A" w:rsidR="000D6E6A" w:rsidTr="000D6E6A">
        <w:tblPrEx>
          <w:tblCellMar>
            <w:top w:w="0" w:type="dxa"/>
            <w:left w:w="0" w:type="dxa"/>
            <w:bottom w:w="0" w:type="dxa"/>
            <w:right w:w="0" w:type="dxa"/>
          </w:tblCellMar>
        </w:tblPrEx>
        <w:trPr>
          <w:trHeight w:val="113"/>
        </w:trPr>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 xml:space="preserve">FRD 15E </w:t>
            </w:r>
          </w:p>
        </w:tc>
        <w:tc>
          <w:tcPr>
            <w:tcW w:w="6520"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Executive officer disclosures</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180</w:t>
            </w:r>
          </w:p>
        </w:tc>
      </w:tr>
      <w:tr w:rsidRPr="000D6E6A" w:rsidR="000D6E6A" w:rsidTr="000D6E6A">
        <w:tblPrEx>
          <w:tblCellMar>
            <w:top w:w="0" w:type="dxa"/>
            <w:left w:w="0" w:type="dxa"/>
            <w:bottom w:w="0" w:type="dxa"/>
            <w:right w:w="0" w:type="dxa"/>
          </w:tblCellMar>
        </w:tblPrEx>
        <w:trPr>
          <w:trHeight w:val="113"/>
        </w:trPr>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FRD 22H</w:t>
            </w:r>
          </w:p>
        </w:tc>
        <w:tc>
          <w:tcPr>
            <w:tcW w:w="6520"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Employment and conduct principles</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184</w:t>
            </w:r>
          </w:p>
        </w:tc>
      </w:tr>
      <w:tr w:rsidRPr="000D6E6A" w:rsidR="000D6E6A" w:rsidTr="000D6E6A">
        <w:tblPrEx>
          <w:tblCellMar>
            <w:top w:w="0" w:type="dxa"/>
            <w:left w:w="0" w:type="dxa"/>
            <w:bottom w:w="0" w:type="dxa"/>
            <w:right w:w="0" w:type="dxa"/>
          </w:tblCellMar>
        </w:tblPrEx>
        <w:trPr>
          <w:trHeight w:val="113"/>
        </w:trPr>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FRD 22H</w:t>
            </w:r>
          </w:p>
        </w:tc>
        <w:tc>
          <w:tcPr>
            <w:tcW w:w="6520"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Occupational health and safety policy</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187</w:t>
            </w:r>
          </w:p>
        </w:tc>
      </w:tr>
      <w:tr w:rsidRPr="000D6E6A" w:rsidR="000D6E6A" w:rsidTr="000D6E6A">
        <w:tblPrEx>
          <w:tblCellMar>
            <w:top w:w="0" w:type="dxa"/>
            <w:left w:w="0" w:type="dxa"/>
            <w:bottom w:w="0" w:type="dxa"/>
            <w:right w:w="0" w:type="dxa"/>
          </w:tblCellMar>
        </w:tblPrEx>
        <w:trPr>
          <w:trHeight w:val="113"/>
        </w:trPr>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FRD 22H</w:t>
            </w:r>
          </w:p>
        </w:tc>
        <w:tc>
          <w:tcPr>
            <w:tcW w:w="6520"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 xml:space="preserve">Summary of the financial results for the year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90</w:t>
            </w:r>
          </w:p>
        </w:tc>
      </w:tr>
      <w:tr w:rsidRPr="000D6E6A" w:rsidR="000D6E6A" w:rsidTr="000D6E6A">
        <w:tblPrEx>
          <w:tblCellMar>
            <w:top w:w="0" w:type="dxa"/>
            <w:left w:w="0" w:type="dxa"/>
            <w:bottom w:w="0" w:type="dxa"/>
            <w:right w:w="0" w:type="dxa"/>
          </w:tblCellMar>
        </w:tblPrEx>
        <w:trPr>
          <w:trHeight w:val="113"/>
        </w:trPr>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FRD 22H</w:t>
            </w:r>
          </w:p>
        </w:tc>
        <w:tc>
          <w:tcPr>
            <w:tcW w:w="6520"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 xml:space="preserve">Significant changes in financial position during the year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90</w:t>
            </w:r>
          </w:p>
        </w:tc>
      </w:tr>
      <w:tr w:rsidRPr="000D6E6A" w:rsidR="000D6E6A" w:rsidTr="000D6E6A">
        <w:tblPrEx>
          <w:tblCellMar>
            <w:top w:w="0" w:type="dxa"/>
            <w:left w:w="0" w:type="dxa"/>
            <w:bottom w:w="0" w:type="dxa"/>
            <w:right w:w="0" w:type="dxa"/>
          </w:tblCellMar>
        </w:tblPrEx>
        <w:trPr>
          <w:trHeight w:val="113"/>
        </w:trPr>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FRD 22H</w:t>
            </w:r>
          </w:p>
        </w:tc>
        <w:tc>
          <w:tcPr>
            <w:tcW w:w="6520"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 xml:space="preserve">Major changes or factors affecting performance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15-93</w:t>
            </w:r>
          </w:p>
        </w:tc>
      </w:tr>
      <w:tr w:rsidRPr="000D6E6A" w:rsidR="000D6E6A" w:rsidTr="000D6E6A">
        <w:tblPrEx>
          <w:tblCellMar>
            <w:top w:w="0" w:type="dxa"/>
            <w:left w:w="0" w:type="dxa"/>
            <w:bottom w:w="0" w:type="dxa"/>
            <w:right w:w="0" w:type="dxa"/>
          </w:tblCellMar>
        </w:tblPrEx>
        <w:trPr>
          <w:trHeight w:val="113"/>
        </w:trPr>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FRD 22H</w:t>
            </w:r>
          </w:p>
        </w:tc>
        <w:tc>
          <w:tcPr>
            <w:tcW w:w="6520"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Subsequent events</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90</w:t>
            </w:r>
          </w:p>
        </w:tc>
      </w:tr>
      <w:tr w:rsidRPr="000D6E6A" w:rsidR="000D6E6A" w:rsidTr="000D6E6A">
        <w:tblPrEx>
          <w:tblCellMar>
            <w:top w:w="0" w:type="dxa"/>
            <w:left w:w="0" w:type="dxa"/>
            <w:bottom w:w="0" w:type="dxa"/>
            <w:right w:w="0" w:type="dxa"/>
          </w:tblCellMar>
        </w:tblPrEx>
        <w:trPr>
          <w:trHeight w:val="113"/>
        </w:trPr>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FRD 22H</w:t>
            </w:r>
          </w:p>
        </w:tc>
        <w:tc>
          <w:tcPr>
            <w:tcW w:w="6520"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 xml:space="preserve">Application and operation of </w:t>
            </w:r>
            <w:r w:rsidRPr="000D6E6A">
              <w:rPr>
                <w:rStyle w:val="italic"/>
              </w:rPr>
              <w:t>Freedom of Information Act 1982</w:t>
            </w:r>
            <w:r w:rsidRPr="000D6E6A">
              <w:t xml:space="preserve">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222</w:t>
            </w:r>
          </w:p>
        </w:tc>
      </w:tr>
      <w:tr w:rsidRPr="000D6E6A" w:rsidR="000D6E6A" w:rsidTr="000D6E6A">
        <w:tblPrEx>
          <w:tblCellMar>
            <w:top w:w="0" w:type="dxa"/>
            <w:left w:w="0" w:type="dxa"/>
            <w:bottom w:w="0" w:type="dxa"/>
            <w:right w:w="0" w:type="dxa"/>
          </w:tblCellMar>
        </w:tblPrEx>
        <w:trPr>
          <w:trHeight w:val="113"/>
        </w:trPr>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FRD 22H</w:t>
            </w:r>
          </w:p>
        </w:tc>
        <w:tc>
          <w:tcPr>
            <w:tcW w:w="6520"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 xml:space="preserve">Compliance with building and maintenance provisions of </w:t>
            </w:r>
            <w:r w:rsidRPr="000D6E6A">
              <w:rPr>
                <w:rStyle w:val="italic"/>
              </w:rPr>
              <w:t>Building Act 1993</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214</w:t>
            </w:r>
          </w:p>
        </w:tc>
      </w:tr>
      <w:tr w:rsidRPr="000D6E6A" w:rsidR="000D6E6A" w:rsidTr="000D6E6A">
        <w:tblPrEx>
          <w:tblCellMar>
            <w:top w:w="0" w:type="dxa"/>
            <w:left w:w="0" w:type="dxa"/>
            <w:bottom w:w="0" w:type="dxa"/>
            <w:right w:w="0" w:type="dxa"/>
          </w:tblCellMar>
        </w:tblPrEx>
        <w:trPr>
          <w:trHeight w:val="113"/>
        </w:trPr>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FRD 22H</w:t>
            </w:r>
          </w:p>
        </w:tc>
        <w:tc>
          <w:tcPr>
            <w:tcW w:w="6520"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 xml:space="preserve">Statement on Competitive Neutrality Policy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217</w:t>
            </w:r>
          </w:p>
        </w:tc>
      </w:tr>
      <w:tr w:rsidRPr="000D6E6A" w:rsidR="000D6E6A" w:rsidTr="000D6E6A">
        <w:tblPrEx>
          <w:tblCellMar>
            <w:top w:w="0" w:type="dxa"/>
            <w:left w:w="0" w:type="dxa"/>
            <w:bottom w:w="0" w:type="dxa"/>
            <w:right w:w="0" w:type="dxa"/>
          </w:tblCellMar>
        </w:tblPrEx>
        <w:trPr>
          <w:trHeight w:val="113"/>
        </w:trPr>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FRD 22H</w:t>
            </w:r>
          </w:p>
        </w:tc>
        <w:tc>
          <w:tcPr>
            <w:tcW w:w="6520"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 xml:space="preserve">Application and operation of the </w:t>
            </w:r>
            <w:r w:rsidRPr="000D6E6A">
              <w:rPr>
                <w:rStyle w:val="italic"/>
              </w:rPr>
              <w:t>Protected Disclosure Act 2012</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223</w:t>
            </w:r>
          </w:p>
        </w:tc>
      </w:tr>
      <w:tr w:rsidRPr="000D6E6A" w:rsidR="000D6E6A" w:rsidTr="000D6E6A">
        <w:tblPrEx>
          <w:tblCellMar>
            <w:top w:w="0" w:type="dxa"/>
            <w:left w:w="0" w:type="dxa"/>
            <w:bottom w:w="0" w:type="dxa"/>
            <w:right w:w="0" w:type="dxa"/>
          </w:tblCellMar>
        </w:tblPrEx>
        <w:trPr>
          <w:trHeight w:val="113"/>
        </w:trPr>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FRD 22H</w:t>
            </w:r>
          </w:p>
        </w:tc>
        <w:tc>
          <w:tcPr>
            <w:tcW w:w="6520"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 xml:space="preserve">Application and operation of the </w:t>
            </w:r>
            <w:r w:rsidRPr="000D6E6A">
              <w:rPr>
                <w:rStyle w:val="italic"/>
              </w:rPr>
              <w:t>Carers Recognition Act 2012</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194</w:t>
            </w:r>
          </w:p>
        </w:tc>
      </w:tr>
      <w:tr w:rsidRPr="000D6E6A" w:rsidR="000D6E6A" w:rsidTr="000D6E6A">
        <w:tblPrEx>
          <w:tblCellMar>
            <w:top w:w="0" w:type="dxa"/>
            <w:left w:w="0" w:type="dxa"/>
            <w:bottom w:w="0" w:type="dxa"/>
            <w:right w:w="0" w:type="dxa"/>
          </w:tblCellMar>
        </w:tblPrEx>
        <w:trPr>
          <w:trHeight w:val="113"/>
        </w:trPr>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FRD 22H</w:t>
            </w:r>
          </w:p>
        </w:tc>
        <w:tc>
          <w:tcPr>
            <w:tcW w:w="6520"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 xml:space="preserve">Details of consultancies over $10 000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217</w:t>
            </w:r>
          </w:p>
        </w:tc>
      </w:tr>
      <w:tr w:rsidRPr="000D6E6A" w:rsidR="000D6E6A" w:rsidTr="000D6E6A">
        <w:tblPrEx>
          <w:tblCellMar>
            <w:top w:w="0" w:type="dxa"/>
            <w:left w:w="0" w:type="dxa"/>
            <w:bottom w:w="0" w:type="dxa"/>
            <w:right w:w="0" w:type="dxa"/>
          </w:tblCellMar>
        </w:tblPrEx>
        <w:trPr>
          <w:trHeight w:val="113"/>
        </w:trPr>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FRD 22H</w:t>
            </w:r>
          </w:p>
        </w:tc>
        <w:tc>
          <w:tcPr>
            <w:tcW w:w="6520"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 xml:space="preserve">Details of consultancies under $10 000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221</w:t>
            </w:r>
          </w:p>
        </w:tc>
      </w:tr>
      <w:tr w:rsidRPr="000D6E6A" w:rsidR="000D6E6A" w:rsidTr="000D6E6A">
        <w:tblPrEx>
          <w:tblCellMar>
            <w:top w:w="0" w:type="dxa"/>
            <w:left w:w="0" w:type="dxa"/>
            <w:bottom w:w="0" w:type="dxa"/>
            <w:right w:w="0" w:type="dxa"/>
          </w:tblCellMar>
        </w:tblPrEx>
        <w:trPr>
          <w:trHeight w:val="113"/>
        </w:trPr>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FRD 22H</w:t>
            </w:r>
          </w:p>
        </w:tc>
        <w:tc>
          <w:tcPr>
            <w:tcW w:w="6520"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Disclosure of government advertising expenditure</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222</w:t>
            </w:r>
          </w:p>
        </w:tc>
      </w:tr>
      <w:tr w:rsidRPr="000D6E6A" w:rsidR="000D6E6A" w:rsidTr="000D6E6A">
        <w:tblPrEx>
          <w:tblCellMar>
            <w:top w:w="0" w:type="dxa"/>
            <w:left w:w="0" w:type="dxa"/>
            <w:bottom w:w="0" w:type="dxa"/>
            <w:right w:w="0" w:type="dxa"/>
          </w:tblCellMar>
        </w:tblPrEx>
        <w:trPr>
          <w:trHeight w:val="113"/>
        </w:trPr>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FRD 22H</w:t>
            </w:r>
          </w:p>
        </w:tc>
        <w:tc>
          <w:tcPr>
            <w:tcW w:w="6520"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Disclosure of ICT expenditure</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216</w:t>
            </w:r>
          </w:p>
        </w:tc>
      </w:tr>
      <w:tr w:rsidRPr="000D6E6A" w:rsidR="000D6E6A" w:rsidTr="000D6E6A">
        <w:tblPrEx>
          <w:tblCellMar>
            <w:top w:w="0" w:type="dxa"/>
            <w:left w:w="0" w:type="dxa"/>
            <w:bottom w:w="0" w:type="dxa"/>
            <w:right w:w="0" w:type="dxa"/>
          </w:tblCellMar>
        </w:tblPrEx>
        <w:trPr>
          <w:trHeight w:val="113"/>
        </w:trPr>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FRD 22H</w:t>
            </w:r>
          </w:p>
        </w:tc>
        <w:tc>
          <w:tcPr>
            <w:tcW w:w="6520"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 xml:space="preserve">Statement of availability of other information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225</w:t>
            </w:r>
          </w:p>
        </w:tc>
      </w:tr>
      <w:tr w:rsidRPr="000D6E6A" w:rsidR="000D6E6A" w:rsidTr="000D6E6A">
        <w:tblPrEx>
          <w:tblCellMar>
            <w:top w:w="0" w:type="dxa"/>
            <w:left w:w="0" w:type="dxa"/>
            <w:bottom w:w="0" w:type="dxa"/>
            <w:right w:w="0" w:type="dxa"/>
          </w:tblCellMar>
        </w:tblPrEx>
        <w:trPr>
          <w:trHeight w:val="113"/>
        </w:trPr>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FRD 24D</w:t>
            </w:r>
          </w:p>
        </w:tc>
        <w:tc>
          <w:tcPr>
            <w:tcW w:w="6520"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Reporting of office</w:t>
            </w:r>
            <w:r w:rsidRPr="000D6E6A">
              <w:rPr>
                <w:rFonts w:ascii="Cambria Math" w:hAnsi="Cambria Math" w:cs="Cambria Math"/>
              </w:rPr>
              <w:t>‑</w:t>
            </w:r>
            <w:r w:rsidRPr="000D6E6A">
              <w:t>based environmental impacts</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196</w:t>
            </w:r>
          </w:p>
        </w:tc>
      </w:tr>
      <w:tr w:rsidRPr="000D6E6A" w:rsidR="000D6E6A" w:rsidTr="000D6E6A">
        <w:tblPrEx>
          <w:tblCellMar>
            <w:top w:w="0" w:type="dxa"/>
            <w:left w:w="0" w:type="dxa"/>
            <w:bottom w:w="0" w:type="dxa"/>
            <w:right w:w="0" w:type="dxa"/>
          </w:tblCellMar>
        </w:tblPrEx>
        <w:trPr>
          <w:trHeight w:val="113"/>
        </w:trPr>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FRD 25C</w:t>
            </w:r>
          </w:p>
        </w:tc>
        <w:tc>
          <w:tcPr>
            <w:tcW w:w="6520"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Victorian Industry Participation Policy disclosures</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216</w:t>
            </w:r>
          </w:p>
        </w:tc>
      </w:tr>
      <w:tr w:rsidRPr="000D6E6A" w:rsidR="000D6E6A" w:rsidTr="000D6E6A">
        <w:tblPrEx>
          <w:tblCellMar>
            <w:top w:w="0" w:type="dxa"/>
            <w:left w:w="0" w:type="dxa"/>
            <w:bottom w:w="0" w:type="dxa"/>
            <w:right w:w="0" w:type="dxa"/>
          </w:tblCellMar>
        </w:tblPrEx>
        <w:trPr>
          <w:trHeight w:val="113"/>
        </w:trPr>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FRD 29C</w:t>
            </w:r>
          </w:p>
        </w:tc>
        <w:tc>
          <w:tcPr>
            <w:tcW w:w="6520"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Workforce data disclosures</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173</w:t>
            </w:r>
          </w:p>
        </w:tc>
      </w:tr>
      <w:tr w:rsidRPr="000D6E6A" w:rsidR="000D6E6A" w:rsidTr="000D6E6A">
        <w:tblPrEx>
          <w:tblCellMar>
            <w:top w:w="0" w:type="dxa"/>
            <w:left w:w="0" w:type="dxa"/>
            <w:bottom w:w="0" w:type="dxa"/>
            <w:right w:w="0" w:type="dxa"/>
          </w:tblCellMar>
        </w:tblPrEx>
        <w:trPr>
          <w:trHeight w:val="113"/>
        </w:trPr>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SD 5.2</w:t>
            </w:r>
          </w:p>
        </w:tc>
        <w:tc>
          <w:tcPr>
            <w:tcW w:w="6520"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Specific requirements under Standing Direction 5.2</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15</w:t>
            </w:r>
          </w:p>
        </w:tc>
      </w:tr>
      <w:tr w:rsidRPr="000D6E6A" w:rsidR="000D6E6A" w:rsidTr="000D6E6A">
        <w:tblPrEx>
          <w:tblCellMar>
            <w:top w:w="0" w:type="dxa"/>
            <w:left w:w="0" w:type="dxa"/>
            <w:bottom w:w="0" w:type="dxa"/>
            <w:right w:w="0" w:type="dxa"/>
          </w:tblCellMar>
        </w:tblPrEx>
        <w:trPr>
          <w:trHeight w:val="113"/>
        </w:trPr>
        <w:tc>
          <w:tcPr>
            <w:tcW w:w="9071" w:type="dxa"/>
            <w:gridSpan w:val="4"/>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rPr>
                <w:rStyle w:val="medium"/>
                <w:b/>
                <w:bCs/>
              </w:rPr>
              <w:t>Compliance attestation and declaration</w:t>
            </w:r>
          </w:p>
        </w:tc>
      </w:tr>
      <w:tr w:rsidRPr="000D6E6A" w:rsidR="000D6E6A" w:rsidTr="000D6E6A">
        <w:tblPrEx>
          <w:tblCellMar>
            <w:top w:w="0" w:type="dxa"/>
            <w:left w:w="0" w:type="dxa"/>
            <w:bottom w:w="0" w:type="dxa"/>
            <w:right w:w="0" w:type="dxa"/>
          </w:tblCellMar>
        </w:tblPrEx>
        <w:trPr>
          <w:trHeight w:val="113"/>
        </w:trPr>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SD 5.1.4</w:t>
            </w:r>
          </w:p>
        </w:tc>
        <w:tc>
          <w:tcPr>
            <w:tcW w:w="6520"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Attestation for compliance with Ministerial Standing Direction</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212</w:t>
            </w:r>
          </w:p>
        </w:tc>
      </w:tr>
      <w:tr w:rsidRPr="000D6E6A" w:rsidR="000D6E6A" w:rsidTr="000D6E6A">
        <w:tblPrEx>
          <w:tblCellMar>
            <w:top w:w="0" w:type="dxa"/>
            <w:left w:w="0" w:type="dxa"/>
            <w:bottom w:w="0" w:type="dxa"/>
            <w:right w:w="0" w:type="dxa"/>
          </w:tblCellMar>
        </w:tblPrEx>
        <w:trPr>
          <w:trHeight w:val="113"/>
        </w:trPr>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SD 5.2.3</w:t>
            </w:r>
          </w:p>
        </w:tc>
        <w:tc>
          <w:tcPr>
            <w:tcW w:w="6520"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Declaration in report of operations</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2</w:t>
            </w:r>
          </w:p>
        </w:tc>
      </w:tr>
      <w:tr w:rsidRPr="000D6E6A" w:rsidR="000D6E6A" w:rsidTr="000D6E6A">
        <w:tblPrEx>
          <w:tblCellMar>
            <w:top w:w="0" w:type="dxa"/>
            <w:left w:w="0" w:type="dxa"/>
            <w:bottom w:w="0" w:type="dxa"/>
            <w:right w:w="0" w:type="dxa"/>
          </w:tblCellMar>
        </w:tblPrEx>
        <w:trPr>
          <w:trHeight w:val="113"/>
        </w:trPr>
        <w:tc>
          <w:tcPr>
            <w:tcW w:w="4195"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Financial statements</w:t>
            </w:r>
          </w:p>
        </w:tc>
        <w:tc>
          <w:tcPr>
            <w:tcW w:w="4876"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NoParagraphStyle"/>
              <w:spacing w:line="240" w:lineRule="auto"/>
              <w:textAlignment w:val="auto"/>
              <w:rPr>
                <w:color w:val="auto"/>
                <w:sz w:val="16"/>
                <w:szCs w:val="16"/>
              </w:rPr>
            </w:pPr>
          </w:p>
        </w:tc>
      </w:tr>
      <w:tr w:rsidRPr="000D6E6A" w:rsidR="000D6E6A" w:rsidTr="000D6E6A">
        <w:tblPrEx>
          <w:tblCellMar>
            <w:top w:w="0" w:type="dxa"/>
            <w:left w:w="0" w:type="dxa"/>
            <w:bottom w:w="0" w:type="dxa"/>
            <w:right w:w="0" w:type="dxa"/>
          </w:tblCellMar>
        </w:tblPrEx>
        <w:trPr>
          <w:trHeight w:val="113"/>
        </w:trPr>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Declaration</w:t>
            </w:r>
          </w:p>
        </w:tc>
        <w:tc>
          <w:tcPr>
            <w:tcW w:w="6520"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NoParagraphStyle"/>
              <w:spacing w:line="240" w:lineRule="auto"/>
              <w:textAlignment w:val="auto"/>
              <w:rPr>
                <w:color w:val="auto"/>
                <w:sz w:val="16"/>
                <w:szCs w:val="16"/>
              </w:rPr>
            </w:pP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NoParagraphStyle"/>
              <w:spacing w:line="240" w:lineRule="auto"/>
              <w:textAlignment w:val="auto"/>
              <w:rPr>
                <w:color w:val="auto"/>
                <w:sz w:val="16"/>
                <w:szCs w:val="16"/>
              </w:rPr>
            </w:pPr>
          </w:p>
        </w:tc>
      </w:tr>
      <w:tr w:rsidRPr="000D6E6A" w:rsidR="000D6E6A" w:rsidTr="000D6E6A">
        <w:tblPrEx>
          <w:tblCellMar>
            <w:top w:w="0" w:type="dxa"/>
            <w:left w:w="0" w:type="dxa"/>
            <w:bottom w:w="0" w:type="dxa"/>
            <w:right w:w="0" w:type="dxa"/>
          </w:tblCellMar>
        </w:tblPrEx>
        <w:trPr>
          <w:trHeight w:val="113"/>
        </w:trPr>
        <w:tc>
          <w:tcPr>
            <w:tcW w:w="1134"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pPr>
            <w:r w:rsidRPr="000D6E6A">
              <w:t>SD 5.2.2</w:t>
            </w:r>
          </w:p>
        </w:tc>
        <w:tc>
          <w:tcPr>
            <w:tcW w:w="6520" w:type="dxa"/>
            <w:gridSpan w:val="2"/>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pPr>
            <w:r w:rsidRPr="000D6E6A">
              <w:t>Declaration in financial statements</w:t>
            </w:r>
          </w:p>
        </w:tc>
        <w:tc>
          <w:tcPr>
            <w:tcW w:w="1417"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jc w:val="right"/>
            </w:pPr>
            <w:r w:rsidRPr="000D6E6A">
              <w:t>96</w:t>
            </w:r>
          </w:p>
        </w:tc>
      </w:tr>
      <w:tr w:rsidRPr="000D6E6A" w:rsidR="000D6E6A" w:rsidTr="000D6E6A">
        <w:tblPrEx>
          <w:tblCellMar>
            <w:top w:w="0" w:type="dxa"/>
            <w:left w:w="0" w:type="dxa"/>
            <w:bottom w:w="0" w:type="dxa"/>
            <w:right w:w="0" w:type="dxa"/>
          </w:tblCellMar>
        </w:tblPrEx>
        <w:trPr>
          <w:trHeight w:val="113"/>
        </w:trPr>
        <w:tc>
          <w:tcPr>
            <w:tcW w:w="1134" w:type="dxa"/>
            <w:tcBorders>
              <w:top w:val="single"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SD 5.2.1</w:t>
            </w:r>
          </w:p>
        </w:tc>
        <w:tc>
          <w:tcPr>
            <w:tcW w:w="6520" w:type="dxa"/>
            <w:gridSpan w:val="2"/>
            <w:tcBorders>
              <w:top w:val="single"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Compliance with Australian accounting standards and other authoritative pronouncements</w:t>
            </w:r>
          </w:p>
        </w:tc>
        <w:tc>
          <w:tcPr>
            <w:tcW w:w="1417" w:type="dxa"/>
            <w:tcBorders>
              <w:top w:val="single"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96</w:t>
            </w:r>
          </w:p>
        </w:tc>
      </w:tr>
      <w:tr w:rsidRPr="000D6E6A" w:rsidR="000D6E6A" w:rsidTr="000D6E6A">
        <w:tblPrEx>
          <w:tblCellMar>
            <w:top w:w="0" w:type="dxa"/>
            <w:left w:w="0" w:type="dxa"/>
            <w:bottom w:w="0" w:type="dxa"/>
            <w:right w:w="0" w:type="dxa"/>
          </w:tblCellMar>
        </w:tblPrEx>
        <w:trPr>
          <w:trHeight w:val="113"/>
        </w:trPr>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SD 5.2.1</w:t>
            </w:r>
          </w:p>
        </w:tc>
        <w:tc>
          <w:tcPr>
            <w:tcW w:w="6520"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Compliance with Ministerial Directions</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96</w:t>
            </w:r>
          </w:p>
        </w:tc>
      </w:tr>
      <w:tr w:rsidRPr="000D6E6A" w:rsidR="000D6E6A" w:rsidTr="000D6E6A">
        <w:tblPrEx>
          <w:tblCellMar>
            <w:top w:w="0" w:type="dxa"/>
            <w:left w:w="0" w:type="dxa"/>
            <w:bottom w:w="0" w:type="dxa"/>
            <w:right w:w="0" w:type="dxa"/>
          </w:tblCellMar>
        </w:tblPrEx>
        <w:trPr>
          <w:trHeight w:val="113"/>
        </w:trPr>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SD 5.2.1</w:t>
            </w:r>
          </w:p>
        </w:tc>
        <w:tc>
          <w:tcPr>
            <w:tcW w:w="6520"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Compliance with Model Financial Report</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94</w:t>
            </w:r>
          </w:p>
        </w:tc>
      </w:tr>
      <w:tr w:rsidRPr="000D6E6A" w:rsidR="000D6E6A" w:rsidTr="000D6E6A">
        <w:tblPrEx>
          <w:tblCellMar>
            <w:top w:w="0" w:type="dxa"/>
            <w:left w:w="0" w:type="dxa"/>
            <w:bottom w:w="0" w:type="dxa"/>
            <w:right w:w="0" w:type="dxa"/>
          </w:tblCellMar>
        </w:tblPrEx>
        <w:trPr>
          <w:trHeight w:val="113"/>
        </w:trPr>
        <w:tc>
          <w:tcPr>
            <w:tcW w:w="9071" w:type="dxa"/>
            <w:gridSpan w:val="4"/>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rPr>
                <w:rStyle w:val="medium"/>
                <w:b/>
                <w:bCs/>
              </w:rPr>
              <w:t xml:space="preserve">Other disclosures as required by FRDs in notes to the financial statements </w:t>
            </w:r>
          </w:p>
        </w:tc>
      </w:tr>
      <w:tr w:rsidRPr="000D6E6A" w:rsidR="000D6E6A" w:rsidTr="000D6E6A">
        <w:tblPrEx>
          <w:tblCellMar>
            <w:top w:w="0" w:type="dxa"/>
            <w:left w:w="0" w:type="dxa"/>
            <w:bottom w:w="0" w:type="dxa"/>
            <w:right w:w="0" w:type="dxa"/>
          </w:tblCellMar>
        </w:tblPrEx>
        <w:trPr>
          <w:trHeight w:val="113"/>
        </w:trPr>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lastRenderedPageBreak/>
              <w:t>FRD 9B</w:t>
            </w:r>
          </w:p>
        </w:tc>
        <w:tc>
          <w:tcPr>
            <w:tcW w:w="6520"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Departmental Disclosure of Administered Assets and Liabilities by Activity</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120</w:t>
            </w:r>
          </w:p>
        </w:tc>
      </w:tr>
      <w:tr w:rsidRPr="000D6E6A" w:rsidR="000D6E6A" w:rsidTr="000D6E6A">
        <w:tblPrEx>
          <w:tblCellMar>
            <w:top w:w="0" w:type="dxa"/>
            <w:left w:w="0" w:type="dxa"/>
            <w:bottom w:w="0" w:type="dxa"/>
            <w:right w:w="0" w:type="dxa"/>
          </w:tblCellMar>
        </w:tblPrEx>
        <w:trPr>
          <w:trHeight w:val="113"/>
        </w:trPr>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FRD 11A</w:t>
            </w:r>
          </w:p>
        </w:tc>
        <w:tc>
          <w:tcPr>
            <w:tcW w:w="6520"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Disclosure of Ex gratia Expenses</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145</w:t>
            </w:r>
          </w:p>
        </w:tc>
      </w:tr>
      <w:tr w:rsidRPr="000D6E6A" w:rsidR="000D6E6A" w:rsidTr="000D6E6A">
        <w:tblPrEx>
          <w:tblCellMar>
            <w:top w:w="0" w:type="dxa"/>
            <w:left w:w="0" w:type="dxa"/>
            <w:bottom w:w="0" w:type="dxa"/>
            <w:right w:w="0" w:type="dxa"/>
          </w:tblCellMar>
        </w:tblPrEx>
        <w:trPr>
          <w:trHeight w:val="113"/>
        </w:trPr>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FRD 13</w:t>
            </w:r>
          </w:p>
        </w:tc>
        <w:tc>
          <w:tcPr>
            <w:tcW w:w="6520"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Disclosure of Parliamentary Appropriations</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105</w:t>
            </w:r>
          </w:p>
        </w:tc>
      </w:tr>
      <w:tr w:rsidRPr="000D6E6A" w:rsidR="000D6E6A" w:rsidTr="000D6E6A">
        <w:tblPrEx>
          <w:tblCellMar>
            <w:top w:w="0" w:type="dxa"/>
            <w:left w:w="0" w:type="dxa"/>
            <w:bottom w:w="0" w:type="dxa"/>
            <w:right w:w="0" w:type="dxa"/>
          </w:tblCellMar>
        </w:tblPrEx>
        <w:trPr>
          <w:trHeight w:val="113"/>
        </w:trPr>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FRD 21C</w:t>
            </w:r>
          </w:p>
        </w:tc>
        <w:tc>
          <w:tcPr>
            <w:tcW w:w="6520"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Disclosures of Responsible Persons, Executive Officers and other Personnel (Contractors with Significant Management Responsibilities) in the Financial Report</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146</w:t>
            </w:r>
          </w:p>
        </w:tc>
      </w:tr>
      <w:tr w:rsidRPr="000D6E6A" w:rsidR="000D6E6A" w:rsidTr="000D6E6A">
        <w:tblPrEx>
          <w:tblCellMar>
            <w:top w:w="0" w:type="dxa"/>
            <w:left w:w="0" w:type="dxa"/>
            <w:bottom w:w="0" w:type="dxa"/>
            <w:right w:w="0" w:type="dxa"/>
          </w:tblCellMar>
        </w:tblPrEx>
        <w:trPr>
          <w:trHeight w:val="113"/>
        </w:trPr>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FRD 103G [pending]</w:t>
            </w:r>
          </w:p>
        </w:tc>
        <w:tc>
          <w:tcPr>
            <w:tcW w:w="6520"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Non</w:t>
            </w:r>
            <w:r w:rsidRPr="000D6E6A">
              <w:rPr>
                <w:rFonts w:ascii="Cambria Math" w:hAnsi="Cambria Math" w:cs="Cambria Math"/>
              </w:rPr>
              <w:t>‑</w:t>
            </w:r>
            <w:r w:rsidRPr="000D6E6A">
              <w:t xml:space="preserve">Financial Physical Assets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145</w:t>
            </w:r>
          </w:p>
        </w:tc>
      </w:tr>
      <w:tr w:rsidRPr="000D6E6A" w:rsidR="000D6E6A" w:rsidTr="000D6E6A">
        <w:tblPrEx>
          <w:tblCellMar>
            <w:top w:w="0" w:type="dxa"/>
            <w:left w:w="0" w:type="dxa"/>
            <w:bottom w:w="0" w:type="dxa"/>
            <w:right w:w="0" w:type="dxa"/>
          </w:tblCellMar>
        </w:tblPrEx>
        <w:trPr>
          <w:trHeight w:val="113"/>
        </w:trPr>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 xml:space="preserve">FRD 110A </w:t>
            </w:r>
          </w:p>
        </w:tc>
        <w:tc>
          <w:tcPr>
            <w:tcW w:w="6520"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Cash Flow Statements</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161</w:t>
            </w:r>
          </w:p>
        </w:tc>
      </w:tr>
      <w:tr w:rsidRPr="000D6E6A" w:rsidR="000D6E6A" w:rsidTr="000D6E6A">
        <w:tblPrEx>
          <w:tblCellMar>
            <w:top w:w="0" w:type="dxa"/>
            <w:left w:w="0" w:type="dxa"/>
            <w:bottom w:w="0" w:type="dxa"/>
            <w:right w:w="0" w:type="dxa"/>
          </w:tblCellMar>
        </w:tblPrEx>
        <w:trPr>
          <w:trHeight w:val="113"/>
        </w:trPr>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FRD 112D</w:t>
            </w:r>
          </w:p>
        </w:tc>
        <w:tc>
          <w:tcPr>
            <w:tcW w:w="6520"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Defined Benefit Superannuation Obligations</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113</w:t>
            </w:r>
          </w:p>
        </w:tc>
      </w:tr>
      <w:tr w:rsidRPr="000D6E6A" w:rsidR="000D6E6A" w:rsidTr="000D6E6A">
        <w:tblPrEx>
          <w:tblCellMar>
            <w:top w:w="0" w:type="dxa"/>
            <w:left w:w="0" w:type="dxa"/>
            <w:bottom w:w="0" w:type="dxa"/>
            <w:right w:w="0" w:type="dxa"/>
          </w:tblCellMar>
        </w:tblPrEx>
        <w:trPr>
          <w:trHeight w:val="113"/>
        </w:trPr>
        <w:tc>
          <w:tcPr>
            <w:tcW w:w="9071" w:type="dxa"/>
            <w:gridSpan w:val="4"/>
            <w:tcBorders>
              <w:top w:val="dotted" w:color="542E8E" w:sz="4" w:space="0"/>
              <w:left w:val="nil"/>
              <w:bottom w:val="dotted" w:color="542E8E" w:sz="6" w:space="0"/>
              <w:right w:val="nil"/>
            </w:tcBorders>
            <w:tcMar>
              <w:top w:w="57" w:type="dxa"/>
              <w:left w:w="57" w:type="dxa"/>
              <w:bottom w:w="57" w:type="dxa"/>
              <w:right w:w="57" w:type="dxa"/>
            </w:tcMar>
          </w:tcPr>
          <w:p w:rsidRPr="000D6E6A" w:rsidR="000D6E6A" w:rsidP="000D6E6A" w:rsidRDefault="000D6E6A">
            <w:pPr>
              <w:pStyle w:val="notestable"/>
              <w:spacing w:after="0"/>
              <w:rPr>
                <w:sz w:val="16"/>
                <w:szCs w:val="16"/>
              </w:rPr>
            </w:pPr>
            <w:r w:rsidRPr="000D6E6A">
              <w:rPr>
                <w:sz w:val="16"/>
                <w:szCs w:val="16"/>
              </w:rPr>
              <w:t>Note: References to FRDs have been removed from the Disclosure Index if the specific FRDs do not contain requirements that are of the nature of disclosure.</w:t>
            </w:r>
          </w:p>
        </w:tc>
      </w:tr>
      <w:tr w:rsidRPr="000D6E6A" w:rsidR="000D6E6A" w:rsidTr="000D6E6A">
        <w:tblPrEx>
          <w:tblCellMar>
            <w:top w:w="0" w:type="dxa"/>
            <w:left w:w="0" w:type="dxa"/>
            <w:bottom w:w="0" w:type="dxa"/>
            <w:right w:w="0" w:type="dxa"/>
          </w:tblCellMar>
        </w:tblPrEx>
        <w:trPr>
          <w:trHeight w:val="113"/>
        </w:trPr>
        <w:tc>
          <w:tcPr>
            <w:tcW w:w="4195" w:type="dxa"/>
            <w:gridSpan w:val="2"/>
            <w:tcBorders>
              <w:top w:val="dotted" w:color="542E8E" w:sz="6"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rPr>
                <w:rStyle w:val="medium"/>
                <w:b/>
                <w:bCs/>
              </w:rPr>
              <w:t>Legislation</w:t>
            </w:r>
          </w:p>
        </w:tc>
        <w:tc>
          <w:tcPr>
            <w:tcW w:w="4876" w:type="dxa"/>
            <w:gridSpan w:val="2"/>
            <w:tcBorders>
              <w:top w:val="dotted" w:color="542E8E" w:sz="6"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NoParagraphStyle"/>
              <w:spacing w:line="240" w:lineRule="auto"/>
              <w:textAlignment w:val="auto"/>
              <w:rPr>
                <w:color w:val="auto"/>
                <w:sz w:val="16"/>
                <w:szCs w:val="16"/>
              </w:rPr>
            </w:pPr>
          </w:p>
        </w:tc>
      </w:tr>
      <w:tr w:rsidRPr="000D6E6A" w:rsidR="000D6E6A" w:rsidTr="000D6E6A">
        <w:tblPrEx>
          <w:tblCellMar>
            <w:top w:w="0" w:type="dxa"/>
            <w:left w:w="0" w:type="dxa"/>
            <w:bottom w:w="0" w:type="dxa"/>
            <w:right w:w="0" w:type="dxa"/>
          </w:tblCellMar>
        </w:tblPrEx>
        <w:trPr>
          <w:trHeight w:val="113"/>
        </w:trPr>
        <w:tc>
          <w:tcPr>
            <w:tcW w:w="4195"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rPr>
                <w:rStyle w:val="italic"/>
              </w:rPr>
              <w:t>Freedom of Information Act 1982</w:t>
            </w:r>
          </w:p>
        </w:tc>
        <w:tc>
          <w:tcPr>
            <w:tcW w:w="4876"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222</w:t>
            </w:r>
          </w:p>
        </w:tc>
      </w:tr>
      <w:tr w:rsidRPr="000D6E6A" w:rsidR="000D6E6A" w:rsidTr="000D6E6A">
        <w:tblPrEx>
          <w:tblCellMar>
            <w:top w:w="0" w:type="dxa"/>
            <w:left w:w="0" w:type="dxa"/>
            <w:bottom w:w="0" w:type="dxa"/>
            <w:right w:w="0" w:type="dxa"/>
          </w:tblCellMar>
        </w:tblPrEx>
        <w:trPr>
          <w:trHeight w:val="113"/>
        </w:trPr>
        <w:tc>
          <w:tcPr>
            <w:tcW w:w="4195"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rPr>
                <w:rStyle w:val="italic"/>
              </w:rPr>
              <w:t>Building Act 1993</w:t>
            </w:r>
          </w:p>
        </w:tc>
        <w:tc>
          <w:tcPr>
            <w:tcW w:w="4876"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214</w:t>
            </w:r>
          </w:p>
        </w:tc>
      </w:tr>
      <w:tr w:rsidRPr="000D6E6A" w:rsidR="000D6E6A" w:rsidTr="000D6E6A">
        <w:tblPrEx>
          <w:tblCellMar>
            <w:top w:w="0" w:type="dxa"/>
            <w:left w:w="0" w:type="dxa"/>
            <w:bottom w:w="0" w:type="dxa"/>
            <w:right w:w="0" w:type="dxa"/>
          </w:tblCellMar>
        </w:tblPrEx>
        <w:trPr>
          <w:trHeight w:val="113"/>
        </w:trPr>
        <w:tc>
          <w:tcPr>
            <w:tcW w:w="4195"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rPr>
                <w:rStyle w:val="italic"/>
              </w:rPr>
              <w:t>Protected Disclosure Act 2012</w:t>
            </w:r>
          </w:p>
        </w:tc>
        <w:tc>
          <w:tcPr>
            <w:tcW w:w="4876"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223</w:t>
            </w:r>
          </w:p>
        </w:tc>
      </w:tr>
      <w:tr w:rsidRPr="000D6E6A" w:rsidR="000D6E6A" w:rsidTr="000D6E6A">
        <w:tblPrEx>
          <w:tblCellMar>
            <w:top w:w="0" w:type="dxa"/>
            <w:left w:w="0" w:type="dxa"/>
            <w:bottom w:w="0" w:type="dxa"/>
            <w:right w:w="0" w:type="dxa"/>
          </w:tblCellMar>
        </w:tblPrEx>
        <w:trPr>
          <w:trHeight w:val="113"/>
        </w:trPr>
        <w:tc>
          <w:tcPr>
            <w:tcW w:w="4195"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rPr>
                <w:rStyle w:val="italic"/>
              </w:rPr>
              <w:t>Carers Recognition Act 2012</w:t>
            </w:r>
          </w:p>
        </w:tc>
        <w:tc>
          <w:tcPr>
            <w:tcW w:w="4876"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194</w:t>
            </w:r>
          </w:p>
        </w:tc>
      </w:tr>
      <w:tr w:rsidRPr="000D6E6A" w:rsidR="000D6E6A" w:rsidTr="000D6E6A">
        <w:tblPrEx>
          <w:tblCellMar>
            <w:top w:w="0" w:type="dxa"/>
            <w:left w:w="0" w:type="dxa"/>
            <w:bottom w:w="0" w:type="dxa"/>
            <w:right w:w="0" w:type="dxa"/>
          </w:tblCellMar>
        </w:tblPrEx>
        <w:trPr>
          <w:trHeight w:val="113"/>
        </w:trPr>
        <w:tc>
          <w:tcPr>
            <w:tcW w:w="4195"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rPr>
                <w:rStyle w:val="italic"/>
              </w:rPr>
              <w:t>Victorian Industry Participation Policy Act 2003</w:t>
            </w:r>
          </w:p>
        </w:tc>
        <w:tc>
          <w:tcPr>
            <w:tcW w:w="4876" w:type="dxa"/>
            <w:gridSpan w:val="2"/>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216</w:t>
            </w:r>
          </w:p>
        </w:tc>
      </w:tr>
      <w:tr w:rsidRPr="000D6E6A" w:rsidR="000D6E6A" w:rsidTr="000D6E6A">
        <w:tblPrEx>
          <w:tblCellMar>
            <w:top w:w="0" w:type="dxa"/>
            <w:left w:w="0" w:type="dxa"/>
            <w:bottom w:w="0" w:type="dxa"/>
            <w:right w:w="0" w:type="dxa"/>
          </w:tblCellMar>
        </w:tblPrEx>
        <w:trPr>
          <w:trHeight w:val="113"/>
        </w:trPr>
        <w:tc>
          <w:tcPr>
            <w:tcW w:w="4195" w:type="dxa"/>
            <w:gridSpan w:val="2"/>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pPr>
            <w:r w:rsidRPr="000D6E6A">
              <w:rPr>
                <w:rStyle w:val="italic"/>
              </w:rPr>
              <w:t>Financial Management Act 1994</w:t>
            </w:r>
          </w:p>
        </w:tc>
        <w:tc>
          <w:tcPr>
            <w:tcW w:w="4876" w:type="dxa"/>
            <w:gridSpan w:val="2"/>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jc w:val="right"/>
            </w:pPr>
            <w:r w:rsidRPr="000D6E6A">
              <w:t>96</w:t>
            </w:r>
          </w:p>
        </w:tc>
      </w:tr>
    </w:tbl>
    <w:p w:rsidR="000D6E6A" w:rsidRDefault="000D6E6A">
      <w:pPr>
        <w:pStyle w:val="Bodycopy"/>
        <w:rPr>
          <w:spacing w:val="2"/>
          <w:lang w:val="en-AU"/>
        </w:rPr>
      </w:pPr>
    </w:p>
    <w:p w:rsidR="000D6E6A" w:rsidRDefault="000D6E6A">
      <w:pPr>
        <w:pStyle w:val="Bodycopy"/>
      </w:pPr>
    </w:p>
    <w:p w:rsidR="000D6E6A" w:rsidRDefault="000D6E6A">
      <w:pPr>
        <w:pStyle w:val="H1"/>
      </w:pPr>
      <w:r>
        <w:br w:type="page"/>
      </w:r>
      <w:bookmarkStart w:id="4" w:name="_Toc525300159"/>
      <w:r>
        <w:lastRenderedPageBreak/>
        <w:t>2. Budget Portfolio Outcomes</w:t>
      </w:r>
      <w:bookmarkEnd w:id="4"/>
    </w:p>
    <w:p w:rsidR="000D6E6A" w:rsidRDefault="000D6E6A">
      <w:pPr>
        <w:pStyle w:val="Bodycopy"/>
        <w:rPr>
          <w:spacing w:val="4"/>
        </w:rPr>
      </w:pPr>
      <w:r>
        <w:rPr>
          <w:spacing w:val="4"/>
        </w:rPr>
        <w:t>The budget portfolio outcomes provide comparisons between the actual financial statements of all general government sector entities within the portfolio and the forecast financial information (initial budget estimates) published in Budget Paper No.5 Statement of Finances (BP5). The budget portfolio outcomes comprise the comprehensive operating statements, balance sheets, cash flow statements, statements of changes in equity, and administered item statements.</w:t>
      </w:r>
    </w:p>
    <w:p w:rsidR="000D6E6A" w:rsidRDefault="000D6E6A">
      <w:pPr>
        <w:pStyle w:val="Bodycopy"/>
      </w:pPr>
      <w:r>
        <w:t>The budget portfolio outcomes have been prepared on a consolidated basis and include all general government sector entities within the portfolio. Financial transactions and balances are classified into either controlled or administered categories consistent with the published statements in BP5.</w:t>
      </w:r>
    </w:p>
    <w:p w:rsidR="000D6E6A" w:rsidRDefault="000D6E6A">
      <w:pPr>
        <w:pStyle w:val="Bodycopy"/>
      </w:pPr>
      <w:r>
        <w:t>The following budget portfolio outcomes statements are not subject to audit by the Victorian Auditor-General’s Office and are not prepared on the same basis as the department’s financial statements as these include the financial information of the following entities:</w:t>
      </w:r>
    </w:p>
    <w:p w:rsidR="000D6E6A" w:rsidRDefault="000D6E6A">
      <w:pPr>
        <w:pStyle w:val="BodycopyBullet"/>
      </w:pPr>
      <w:r>
        <w:t>Department of Justice and Regulation</w:t>
      </w:r>
    </w:p>
    <w:p w:rsidR="000D6E6A" w:rsidRDefault="000D6E6A">
      <w:pPr>
        <w:pStyle w:val="BodycopyBullet"/>
      </w:pPr>
      <w:r>
        <w:t>Office of Public Prosecutions</w:t>
      </w:r>
    </w:p>
    <w:p w:rsidR="000D6E6A" w:rsidRDefault="000D6E6A">
      <w:pPr>
        <w:pStyle w:val="BodycopyBullet"/>
      </w:pPr>
      <w:r>
        <w:t>Residential Tenancies Bond Authority</w:t>
      </w:r>
    </w:p>
    <w:p w:rsidR="000D6E6A" w:rsidRDefault="000D6E6A">
      <w:pPr>
        <w:pStyle w:val="BodycopyBullet"/>
      </w:pPr>
      <w:r>
        <w:t>Sentencing Advisory Council</w:t>
      </w:r>
    </w:p>
    <w:p w:rsidR="000D6E6A" w:rsidRDefault="000D6E6A">
      <w:pPr>
        <w:pStyle w:val="BodycopyBullet"/>
      </w:pPr>
      <w:r>
        <w:t>Victoria Police</w:t>
      </w:r>
    </w:p>
    <w:p w:rsidR="000D6E6A" w:rsidRDefault="000D6E6A">
      <w:pPr>
        <w:pStyle w:val="BodycopyBullet"/>
      </w:pPr>
      <w:r>
        <w:t>Victoria State Emergency Services Authority</w:t>
      </w:r>
    </w:p>
    <w:p w:rsidR="000D6E6A" w:rsidRDefault="000D6E6A">
      <w:pPr>
        <w:pStyle w:val="BodycopyBullet"/>
      </w:pPr>
      <w:r>
        <w:t>Victorian Commission for Gambling and Liquor Regulation</w:t>
      </w:r>
    </w:p>
    <w:p w:rsidR="000D6E6A" w:rsidRDefault="000D6E6A">
      <w:pPr>
        <w:pStyle w:val="BodycopyBullet"/>
      </w:pPr>
      <w:r>
        <w:t>Victorian Equal Opportunity and Human Rights Commission</w:t>
      </w:r>
    </w:p>
    <w:p w:rsidR="000D6E6A" w:rsidRDefault="000D6E6A">
      <w:pPr>
        <w:pStyle w:val="BodycopyBullet"/>
      </w:pPr>
      <w:r>
        <w:t>Victorian Institute of Forensic Medicine</w:t>
      </w:r>
    </w:p>
    <w:p w:rsidR="000D6E6A" w:rsidRDefault="000D6E6A">
      <w:pPr>
        <w:pStyle w:val="BodycopyBullet"/>
      </w:pPr>
      <w:r>
        <w:t>Victorian Law Reform Commission</w:t>
      </w:r>
    </w:p>
    <w:p w:rsidR="000D6E6A" w:rsidRDefault="000D6E6A">
      <w:pPr>
        <w:pStyle w:val="BodycopyBullet"/>
      </w:pPr>
      <w:r>
        <w:t>Victorian Responsible Gambling Foundation</w:t>
      </w:r>
    </w:p>
    <w:p w:rsidR="000D6E6A" w:rsidRDefault="000D6E6A">
      <w:pPr>
        <w:pStyle w:val="H3"/>
      </w:pPr>
      <w:r>
        <w:t>Comprehensive operating statement for the year ended 30 June 2018</w:t>
      </w:r>
    </w:p>
    <w:tbl>
      <w:tblPr>
        <w:tblW w:w="0" w:type="auto"/>
        <w:tblInd w:w="57" w:type="dxa"/>
        <w:tblLayout w:type="fixed"/>
        <w:tblCellMar>
          <w:left w:w="0" w:type="dxa"/>
          <w:right w:w="0" w:type="dxa"/>
        </w:tblCellMar>
        <w:tblLook w:firstRow="0" w:lastRow="0" w:firstColumn="0" w:lastColumn="0" w:noHBand="0" w:noVBand="0" w:val="0000"/>
      </w:tblPr>
      <w:tblGrid>
        <w:gridCol w:w="3544"/>
        <w:gridCol w:w="1134"/>
        <w:gridCol w:w="992"/>
        <w:gridCol w:w="851"/>
        <w:gridCol w:w="1417"/>
        <w:gridCol w:w="1418"/>
        <w:gridCol w:w="850"/>
      </w:tblGrid>
      <w:tr w:rsidRPr="000D6E6A" w:rsidR="000D6E6A" w:rsidTr="000D6E6A">
        <w:tblPrEx>
          <w:tblCellMar>
            <w:top w:w="0" w:type="dxa"/>
            <w:left w:w="0" w:type="dxa"/>
            <w:bottom w:w="0" w:type="dxa"/>
            <w:right w:w="0" w:type="dxa"/>
          </w:tblCellMar>
        </w:tblPrEx>
        <w:trPr>
          <w:trHeight w:val="113"/>
          <w:tblHeader/>
        </w:trPr>
        <w:tc>
          <w:tcPr>
            <w:tcW w:w="10206" w:type="dxa"/>
            <w:gridSpan w:val="7"/>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jc w:val="right"/>
            </w:pPr>
            <w:r w:rsidRPr="000D6E6A">
              <w:rPr>
                <w:rStyle w:val="mediumpurple"/>
                <w:b/>
                <w:bCs/>
              </w:rPr>
              <w:t>($ million)</w:t>
            </w:r>
          </w:p>
        </w:tc>
      </w:tr>
      <w:tr w:rsidRPr="000D6E6A" w:rsidR="000D6E6A" w:rsidTr="000D6E6A">
        <w:tblPrEx>
          <w:tblCellMar>
            <w:top w:w="0" w:type="dxa"/>
            <w:left w:w="0" w:type="dxa"/>
            <w:bottom w:w="0" w:type="dxa"/>
            <w:right w:w="0" w:type="dxa"/>
          </w:tblCellMar>
        </w:tblPrEx>
        <w:trPr>
          <w:trHeight w:val="113"/>
          <w:tblHeader/>
        </w:trPr>
        <w:tc>
          <w:tcPr>
            <w:tcW w:w="3544"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tcPr>
          <w:p w:rsidRPr="000D6E6A" w:rsidR="000D6E6A" w:rsidP="000D6E6A" w:rsidRDefault="000D6E6A">
            <w:pPr>
              <w:pStyle w:val="NoParagraphStyle"/>
              <w:spacing w:line="240" w:lineRule="auto"/>
              <w:textAlignment w:val="auto"/>
              <w:rPr>
                <w:color w:val="auto"/>
                <w:sz w:val="16"/>
                <w:szCs w:val="16"/>
              </w:rPr>
            </w:pPr>
          </w:p>
        </w:tc>
        <w:tc>
          <w:tcPr>
            <w:tcW w:w="1134"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0D6E6A" w:rsidR="000D6E6A" w:rsidP="000D6E6A" w:rsidRDefault="000D6E6A">
            <w:pPr>
              <w:pStyle w:val="bodycopytabletable"/>
              <w:jc w:val="right"/>
            </w:pPr>
            <w:r w:rsidRPr="000D6E6A">
              <w:rPr>
                <w:rStyle w:val="mediumpurple"/>
                <w:b/>
                <w:bCs/>
              </w:rPr>
              <w:t>Original budget</w:t>
            </w:r>
            <w:r w:rsidRPr="000D6E6A">
              <w:rPr>
                <w:rStyle w:val="mediumpurple"/>
                <w:b/>
                <w:bCs/>
              </w:rPr>
              <w:br/>
              <w:t>2017-18 (</w:t>
            </w:r>
            <w:proofErr w:type="spellStart"/>
            <w:r w:rsidRPr="000D6E6A">
              <w:rPr>
                <w:rStyle w:val="mediumpurple"/>
                <w:b/>
                <w:bCs/>
              </w:rPr>
              <w:t>i</w:t>
            </w:r>
            <w:proofErr w:type="spellEnd"/>
            <w:r w:rsidRPr="000D6E6A">
              <w:rPr>
                <w:rStyle w:val="mediumpurple"/>
                <w:b/>
                <w:bCs/>
              </w:rPr>
              <w:t>)</w:t>
            </w:r>
          </w:p>
        </w:tc>
        <w:tc>
          <w:tcPr>
            <w:tcW w:w="992"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0D6E6A" w:rsidR="000D6E6A" w:rsidP="000D6E6A" w:rsidRDefault="000D6E6A">
            <w:pPr>
              <w:pStyle w:val="bodycopytabletable"/>
              <w:jc w:val="right"/>
            </w:pPr>
            <w:r w:rsidRPr="000D6E6A">
              <w:rPr>
                <w:rStyle w:val="mediumpurple"/>
                <w:b/>
                <w:bCs/>
              </w:rPr>
              <w:t xml:space="preserve">Revised budget </w:t>
            </w:r>
            <w:r w:rsidRPr="000D6E6A">
              <w:rPr>
                <w:rStyle w:val="mediumpurple"/>
                <w:b/>
                <w:bCs/>
              </w:rPr>
              <w:br/>
              <w:t>2017-18 (ii)</w:t>
            </w:r>
          </w:p>
        </w:tc>
        <w:tc>
          <w:tcPr>
            <w:tcW w:w="851"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0D6E6A" w:rsidR="000D6E6A" w:rsidP="000D6E6A" w:rsidRDefault="000D6E6A">
            <w:pPr>
              <w:pStyle w:val="bodycopytabletable"/>
              <w:jc w:val="right"/>
            </w:pPr>
            <w:r w:rsidRPr="000D6E6A">
              <w:rPr>
                <w:rStyle w:val="mediumpurple"/>
                <w:b/>
                <w:bCs/>
              </w:rPr>
              <w:t>Actual</w:t>
            </w:r>
            <w:r w:rsidRPr="000D6E6A">
              <w:rPr>
                <w:rStyle w:val="mediumpurple"/>
                <w:b/>
                <w:bCs/>
              </w:rPr>
              <w:br/>
              <w:t>2017-18</w:t>
            </w:r>
          </w:p>
        </w:tc>
        <w:tc>
          <w:tcPr>
            <w:tcW w:w="1417"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0D6E6A" w:rsidR="000D6E6A" w:rsidP="000D6E6A" w:rsidRDefault="000D6E6A">
            <w:pPr>
              <w:pStyle w:val="bodycopytabletable"/>
              <w:jc w:val="right"/>
            </w:pPr>
            <w:r w:rsidRPr="000D6E6A">
              <w:rPr>
                <w:rStyle w:val="mediumpurple"/>
                <w:b/>
                <w:bCs/>
              </w:rPr>
              <w:t>Variance for original budget to actual 2017-18</w:t>
            </w:r>
          </w:p>
        </w:tc>
        <w:tc>
          <w:tcPr>
            <w:tcW w:w="1418"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0D6E6A" w:rsidR="000D6E6A" w:rsidP="000D6E6A" w:rsidRDefault="000D6E6A">
            <w:pPr>
              <w:pStyle w:val="bodycopytabletable"/>
              <w:jc w:val="right"/>
            </w:pPr>
            <w:r w:rsidRPr="000D6E6A">
              <w:rPr>
                <w:rStyle w:val="mediumpurple"/>
                <w:b/>
                <w:bCs/>
              </w:rPr>
              <w:t>Variance for revised budget to actual 2017-18</w:t>
            </w:r>
          </w:p>
        </w:tc>
        <w:tc>
          <w:tcPr>
            <w:tcW w:w="850"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0D6E6A" w:rsidR="000D6E6A" w:rsidP="000D6E6A" w:rsidRDefault="000D6E6A">
            <w:pPr>
              <w:pStyle w:val="bodycopytabletable"/>
              <w:jc w:val="right"/>
            </w:pPr>
            <w:r w:rsidRPr="000D6E6A">
              <w:rPr>
                <w:rStyle w:val="mediumpurple"/>
                <w:b/>
                <w:bCs/>
              </w:rPr>
              <w:t>Notes</w:t>
            </w:r>
          </w:p>
        </w:tc>
      </w:tr>
      <w:tr w:rsidRPr="000D6E6A" w:rsidR="000D6E6A" w:rsidTr="000D6E6A">
        <w:tblPrEx>
          <w:tblCellMar>
            <w:top w:w="0" w:type="dxa"/>
            <w:left w:w="0" w:type="dxa"/>
            <w:bottom w:w="0" w:type="dxa"/>
            <w:right w:w="0" w:type="dxa"/>
          </w:tblCellMar>
        </w:tblPrEx>
        <w:trPr>
          <w:trHeight w:val="113"/>
        </w:trPr>
        <w:tc>
          <w:tcPr>
            <w:tcW w:w="354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rPr>
                <w:rStyle w:val="mediumpurple"/>
                <w:b/>
                <w:bCs/>
              </w:rPr>
              <w:t>Income from transactions</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NoParagraphStyle"/>
              <w:spacing w:line="240" w:lineRule="auto"/>
              <w:textAlignment w:val="auto"/>
              <w:rPr>
                <w:color w:val="auto"/>
                <w:sz w:val="16"/>
                <w:szCs w:val="16"/>
              </w:rPr>
            </w:pP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NoParagraphStyle"/>
              <w:spacing w:line="240" w:lineRule="auto"/>
              <w:textAlignment w:val="auto"/>
              <w:rPr>
                <w:color w:val="auto"/>
                <w:sz w:val="16"/>
                <w:szCs w:val="16"/>
              </w:rPr>
            </w:pP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NoParagraphStyle"/>
              <w:spacing w:line="240" w:lineRule="auto"/>
              <w:textAlignment w:val="auto"/>
              <w:rPr>
                <w:color w:val="auto"/>
                <w:sz w:val="16"/>
                <w:szCs w:val="16"/>
              </w:rPr>
            </w:pP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NoParagraphStyle"/>
              <w:spacing w:line="240" w:lineRule="auto"/>
              <w:textAlignment w:val="auto"/>
              <w:rPr>
                <w:color w:val="auto"/>
                <w:sz w:val="16"/>
                <w:szCs w:val="16"/>
              </w:rPr>
            </w:pP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NoParagraphStyle"/>
              <w:spacing w:line="240" w:lineRule="auto"/>
              <w:textAlignment w:val="auto"/>
              <w:rPr>
                <w:color w:val="auto"/>
                <w:sz w:val="16"/>
                <w:szCs w:val="16"/>
              </w:rPr>
            </w:pPr>
          </w:p>
        </w:tc>
        <w:tc>
          <w:tcPr>
            <w:tcW w:w="850"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NoParagraphStyle"/>
              <w:spacing w:line="240" w:lineRule="auto"/>
              <w:textAlignment w:val="auto"/>
              <w:rPr>
                <w:color w:val="auto"/>
                <w:sz w:val="16"/>
                <w:szCs w:val="16"/>
              </w:rPr>
            </w:pPr>
          </w:p>
        </w:tc>
      </w:tr>
      <w:tr w:rsidRPr="000D6E6A" w:rsidR="000D6E6A" w:rsidTr="000D6E6A">
        <w:tblPrEx>
          <w:tblCellMar>
            <w:top w:w="0" w:type="dxa"/>
            <w:left w:w="0" w:type="dxa"/>
            <w:bottom w:w="0" w:type="dxa"/>
            <w:right w:w="0" w:type="dxa"/>
          </w:tblCellMar>
        </w:tblPrEx>
        <w:trPr>
          <w:trHeight w:val="113"/>
        </w:trPr>
        <w:tc>
          <w:tcPr>
            <w:tcW w:w="354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Output appropriations</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6,684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6,754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6,838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154 </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84 </w:t>
            </w:r>
          </w:p>
        </w:tc>
        <w:tc>
          <w:tcPr>
            <w:tcW w:w="850"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(iii)</w:t>
            </w:r>
          </w:p>
        </w:tc>
      </w:tr>
      <w:tr w:rsidRPr="000D6E6A" w:rsidR="000D6E6A" w:rsidTr="000D6E6A">
        <w:tblPrEx>
          <w:tblCellMar>
            <w:top w:w="0" w:type="dxa"/>
            <w:left w:w="0" w:type="dxa"/>
            <w:bottom w:w="0" w:type="dxa"/>
            <w:right w:w="0" w:type="dxa"/>
          </w:tblCellMar>
        </w:tblPrEx>
        <w:trPr>
          <w:trHeight w:val="113"/>
        </w:trPr>
        <w:tc>
          <w:tcPr>
            <w:tcW w:w="354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Special appropriations</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1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1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1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0 </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0 </w:t>
            </w:r>
          </w:p>
        </w:tc>
        <w:tc>
          <w:tcPr>
            <w:tcW w:w="850"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NoParagraphStyle"/>
              <w:spacing w:line="240" w:lineRule="auto"/>
              <w:textAlignment w:val="auto"/>
              <w:rPr>
                <w:color w:val="auto"/>
                <w:sz w:val="16"/>
                <w:szCs w:val="16"/>
              </w:rPr>
            </w:pPr>
          </w:p>
        </w:tc>
      </w:tr>
      <w:tr w:rsidRPr="000D6E6A" w:rsidR="000D6E6A" w:rsidTr="000D6E6A">
        <w:tblPrEx>
          <w:tblCellMar>
            <w:top w:w="0" w:type="dxa"/>
            <w:left w:w="0" w:type="dxa"/>
            <w:bottom w:w="0" w:type="dxa"/>
            <w:right w:w="0" w:type="dxa"/>
          </w:tblCellMar>
        </w:tblPrEx>
        <w:trPr>
          <w:trHeight w:val="113"/>
        </w:trPr>
        <w:tc>
          <w:tcPr>
            <w:tcW w:w="354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Interest</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49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55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56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7 </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1 </w:t>
            </w:r>
          </w:p>
        </w:tc>
        <w:tc>
          <w:tcPr>
            <w:tcW w:w="850"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NoParagraphStyle"/>
              <w:spacing w:line="240" w:lineRule="auto"/>
              <w:textAlignment w:val="auto"/>
              <w:rPr>
                <w:color w:val="auto"/>
                <w:sz w:val="16"/>
                <w:szCs w:val="16"/>
              </w:rPr>
            </w:pPr>
          </w:p>
        </w:tc>
      </w:tr>
      <w:tr w:rsidRPr="000D6E6A" w:rsidR="000D6E6A" w:rsidTr="000D6E6A">
        <w:tblPrEx>
          <w:tblCellMar>
            <w:top w:w="0" w:type="dxa"/>
            <w:left w:w="0" w:type="dxa"/>
            <w:bottom w:w="0" w:type="dxa"/>
            <w:right w:w="0" w:type="dxa"/>
          </w:tblCellMar>
        </w:tblPrEx>
        <w:trPr>
          <w:trHeight w:val="113"/>
        </w:trPr>
        <w:tc>
          <w:tcPr>
            <w:tcW w:w="354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Sale of goods and services</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18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18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21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3 </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3 </w:t>
            </w:r>
          </w:p>
        </w:tc>
        <w:tc>
          <w:tcPr>
            <w:tcW w:w="850"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NoParagraphStyle"/>
              <w:spacing w:line="240" w:lineRule="auto"/>
              <w:textAlignment w:val="auto"/>
              <w:rPr>
                <w:color w:val="auto"/>
                <w:sz w:val="16"/>
                <w:szCs w:val="16"/>
              </w:rPr>
            </w:pPr>
          </w:p>
        </w:tc>
      </w:tr>
      <w:tr w:rsidRPr="000D6E6A" w:rsidR="000D6E6A" w:rsidTr="000D6E6A">
        <w:tblPrEx>
          <w:tblCellMar>
            <w:top w:w="0" w:type="dxa"/>
            <w:left w:w="0" w:type="dxa"/>
            <w:bottom w:w="0" w:type="dxa"/>
            <w:right w:w="0" w:type="dxa"/>
          </w:tblCellMar>
        </w:tblPrEx>
        <w:trPr>
          <w:trHeight w:val="113"/>
        </w:trPr>
        <w:tc>
          <w:tcPr>
            <w:tcW w:w="354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Grants</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73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77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76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3 </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(1) </w:t>
            </w:r>
          </w:p>
        </w:tc>
        <w:tc>
          <w:tcPr>
            <w:tcW w:w="850"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NoParagraphStyle"/>
              <w:spacing w:line="240" w:lineRule="auto"/>
              <w:textAlignment w:val="auto"/>
              <w:rPr>
                <w:color w:val="auto"/>
                <w:sz w:val="16"/>
                <w:szCs w:val="16"/>
              </w:rPr>
            </w:pPr>
          </w:p>
        </w:tc>
      </w:tr>
      <w:tr w:rsidRPr="000D6E6A" w:rsidR="000D6E6A" w:rsidTr="000D6E6A">
        <w:tblPrEx>
          <w:tblCellMar>
            <w:top w:w="0" w:type="dxa"/>
            <w:left w:w="0" w:type="dxa"/>
            <w:bottom w:w="0" w:type="dxa"/>
            <w:right w:w="0" w:type="dxa"/>
          </w:tblCellMar>
        </w:tblPrEx>
        <w:trPr>
          <w:trHeight w:val="113"/>
        </w:trPr>
        <w:tc>
          <w:tcPr>
            <w:tcW w:w="354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Fair value of assets and services received free of charge or for nominal consideration</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0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0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0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0 </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0 </w:t>
            </w:r>
          </w:p>
        </w:tc>
        <w:tc>
          <w:tcPr>
            <w:tcW w:w="850"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NoParagraphStyle"/>
              <w:spacing w:line="240" w:lineRule="auto"/>
              <w:textAlignment w:val="auto"/>
              <w:rPr>
                <w:color w:val="auto"/>
                <w:sz w:val="16"/>
                <w:szCs w:val="16"/>
              </w:rPr>
            </w:pPr>
          </w:p>
        </w:tc>
      </w:tr>
      <w:tr w:rsidRPr="000D6E6A" w:rsidR="000D6E6A" w:rsidTr="000D6E6A">
        <w:tblPrEx>
          <w:tblCellMar>
            <w:top w:w="0" w:type="dxa"/>
            <w:left w:w="0" w:type="dxa"/>
            <w:bottom w:w="0" w:type="dxa"/>
            <w:right w:w="0" w:type="dxa"/>
          </w:tblCellMar>
        </w:tblPrEx>
        <w:trPr>
          <w:trHeight w:val="113"/>
        </w:trPr>
        <w:tc>
          <w:tcPr>
            <w:tcW w:w="354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Other income</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28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28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52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24 </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24 </w:t>
            </w:r>
          </w:p>
        </w:tc>
        <w:tc>
          <w:tcPr>
            <w:tcW w:w="850"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NoParagraphStyle"/>
              <w:spacing w:line="240" w:lineRule="auto"/>
              <w:textAlignment w:val="auto"/>
              <w:rPr>
                <w:color w:val="auto"/>
                <w:sz w:val="16"/>
                <w:szCs w:val="16"/>
              </w:rPr>
            </w:pPr>
          </w:p>
        </w:tc>
      </w:tr>
      <w:tr w:rsidRPr="000D6E6A" w:rsidR="000D6E6A" w:rsidTr="000D6E6A">
        <w:tblPrEx>
          <w:tblCellMar>
            <w:top w:w="0" w:type="dxa"/>
            <w:left w:w="0" w:type="dxa"/>
            <w:bottom w:w="0" w:type="dxa"/>
            <w:right w:w="0" w:type="dxa"/>
          </w:tblCellMar>
        </w:tblPrEx>
        <w:trPr>
          <w:trHeight w:val="113"/>
        </w:trPr>
        <w:tc>
          <w:tcPr>
            <w:tcW w:w="3544"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pPr>
            <w:r w:rsidRPr="000D6E6A">
              <w:rPr>
                <w:rStyle w:val="medium"/>
                <w:b/>
                <w:bCs/>
              </w:rPr>
              <w:t>Total income from transactions</w:t>
            </w:r>
          </w:p>
        </w:tc>
        <w:tc>
          <w:tcPr>
            <w:tcW w:w="1134"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jc w:val="right"/>
            </w:pPr>
            <w:r w:rsidRPr="000D6E6A">
              <w:rPr>
                <w:rStyle w:val="medium"/>
                <w:b/>
                <w:bCs/>
              </w:rPr>
              <w:t xml:space="preserve">6,854 </w:t>
            </w:r>
          </w:p>
        </w:tc>
        <w:tc>
          <w:tcPr>
            <w:tcW w:w="992"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jc w:val="right"/>
            </w:pPr>
            <w:r w:rsidRPr="000D6E6A">
              <w:rPr>
                <w:rStyle w:val="medium"/>
                <w:b/>
                <w:bCs/>
              </w:rPr>
              <w:t xml:space="preserve">6,933 </w:t>
            </w:r>
          </w:p>
        </w:tc>
        <w:tc>
          <w:tcPr>
            <w:tcW w:w="851"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jc w:val="right"/>
            </w:pPr>
            <w:r w:rsidRPr="000D6E6A">
              <w:rPr>
                <w:rStyle w:val="medium"/>
                <w:b/>
                <w:bCs/>
              </w:rPr>
              <w:t xml:space="preserve">7,044 </w:t>
            </w:r>
          </w:p>
        </w:tc>
        <w:tc>
          <w:tcPr>
            <w:tcW w:w="1417"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jc w:val="right"/>
            </w:pPr>
            <w:r w:rsidRPr="000D6E6A">
              <w:rPr>
                <w:rStyle w:val="medium"/>
                <w:b/>
                <w:bCs/>
              </w:rPr>
              <w:t xml:space="preserve">191 </w:t>
            </w:r>
          </w:p>
        </w:tc>
        <w:tc>
          <w:tcPr>
            <w:tcW w:w="1418"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jc w:val="right"/>
            </w:pPr>
            <w:r w:rsidRPr="000D6E6A">
              <w:rPr>
                <w:rStyle w:val="medium"/>
                <w:b/>
                <w:bCs/>
              </w:rPr>
              <w:t xml:space="preserve">111 </w:t>
            </w:r>
          </w:p>
        </w:tc>
        <w:tc>
          <w:tcPr>
            <w:tcW w:w="850"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NoParagraphStyle"/>
              <w:spacing w:line="240" w:lineRule="auto"/>
              <w:textAlignment w:val="auto"/>
              <w:rPr>
                <w:color w:val="auto"/>
                <w:sz w:val="16"/>
                <w:szCs w:val="16"/>
              </w:rPr>
            </w:pPr>
          </w:p>
        </w:tc>
      </w:tr>
      <w:tr w:rsidRPr="000D6E6A" w:rsidR="000D6E6A" w:rsidTr="000D6E6A">
        <w:tblPrEx>
          <w:tblCellMar>
            <w:top w:w="0" w:type="dxa"/>
            <w:left w:w="0" w:type="dxa"/>
            <w:bottom w:w="0" w:type="dxa"/>
            <w:right w:w="0" w:type="dxa"/>
          </w:tblCellMar>
        </w:tblPrEx>
        <w:trPr>
          <w:trHeight w:val="113"/>
        </w:trPr>
        <w:tc>
          <w:tcPr>
            <w:tcW w:w="3544" w:type="dxa"/>
            <w:tcBorders>
              <w:top w:val="single"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rPr>
                <w:rStyle w:val="mediumpurple"/>
                <w:b/>
                <w:bCs/>
              </w:rPr>
              <w:t>Expenses from transactions</w:t>
            </w:r>
          </w:p>
        </w:tc>
        <w:tc>
          <w:tcPr>
            <w:tcW w:w="1134" w:type="dxa"/>
            <w:tcBorders>
              <w:top w:val="single"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NoParagraphStyle"/>
              <w:spacing w:line="240" w:lineRule="auto"/>
              <w:textAlignment w:val="auto"/>
              <w:rPr>
                <w:color w:val="auto"/>
                <w:sz w:val="16"/>
                <w:szCs w:val="16"/>
              </w:rPr>
            </w:pPr>
          </w:p>
        </w:tc>
        <w:tc>
          <w:tcPr>
            <w:tcW w:w="992" w:type="dxa"/>
            <w:tcBorders>
              <w:top w:val="single"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NoParagraphStyle"/>
              <w:spacing w:line="240" w:lineRule="auto"/>
              <w:textAlignment w:val="auto"/>
              <w:rPr>
                <w:color w:val="auto"/>
                <w:sz w:val="16"/>
                <w:szCs w:val="16"/>
              </w:rPr>
            </w:pPr>
          </w:p>
        </w:tc>
        <w:tc>
          <w:tcPr>
            <w:tcW w:w="851" w:type="dxa"/>
            <w:tcBorders>
              <w:top w:val="single"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NoParagraphStyle"/>
              <w:spacing w:line="240" w:lineRule="auto"/>
              <w:textAlignment w:val="auto"/>
              <w:rPr>
                <w:color w:val="auto"/>
                <w:sz w:val="16"/>
                <w:szCs w:val="16"/>
              </w:rPr>
            </w:pPr>
          </w:p>
        </w:tc>
        <w:tc>
          <w:tcPr>
            <w:tcW w:w="1417" w:type="dxa"/>
            <w:tcBorders>
              <w:top w:val="single"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NoParagraphStyle"/>
              <w:spacing w:line="240" w:lineRule="auto"/>
              <w:textAlignment w:val="auto"/>
              <w:rPr>
                <w:color w:val="auto"/>
                <w:sz w:val="16"/>
                <w:szCs w:val="16"/>
              </w:rPr>
            </w:pPr>
          </w:p>
        </w:tc>
        <w:tc>
          <w:tcPr>
            <w:tcW w:w="1418" w:type="dxa"/>
            <w:tcBorders>
              <w:top w:val="single"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NoParagraphStyle"/>
              <w:spacing w:line="240" w:lineRule="auto"/>
              <w:textAlignment w:val="auto"/>
              <w:rPr>
                <w:color w:val="auto"/>
                <w:sz w:val="16"/>
                <w:szCs w:val="16"/>
              </w:rPr>
            </w:pPr>
          </w:p>
        </w:tc>
        <w:tc>
          <w:tcPr>
            <w:tcW w:w="850" w:type="dxa"/>
            <w:tcBorders>
              <w:top w:val="single"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NoParagraphStyle"/>
              <w:spacing w:line="240" w:lineRule="auto"/>
              <w:textAlignment w:val="auto"/>
              <w:rPr>
                <w:color w:val="auto"/>
                <w:sz w:val="16"/>
                <w:szCs w:val="16"/>
              </w:rPr>
            </w:pPr>
          </w:p>
        </w:tc>
      </w:tr>
      <w:tr w:rsidRPr="000D6E6A" w:rsidR="000D6E6A" w:rsidTr="000D6E6A">
        <w:tblPrEx>
          <w:tblCellMar>
            <w:top w:w="0" w:type="dxa"/>
            <w:left w:w="0" w:type="dxa"/>
            <w:bottom w:w="0" w:type="dxa"/>
            <w:right w:w="0" w:type="dxa"/>
          </w:tblCellMar>
        </w:tblPrEx>
        <w:trPr>
          <w:trHeight w:val="113"/>
        </w:trPr>
        <w:tc>
          <w:tcPr>
            <w:tcW w:w="354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Employee benefits</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3,303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3,376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3,401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98 </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25 </w:t>
            </w:r>
          </w:p>
        </w:tc>
        <w:tc>
          <w:tcPr>
            <w:tcW w:w="850"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(iv)</w:t>
            </w:r>
          </w:p>
        </w:tc>
      </w:tr>
      <w:tr w:rsidRPr="000D6E6A" w:rsidR="000D6E6A" w:rsidTr="000D6E6A">
        <w:tblPrEx>
          <w:tblCellMar>
            <w:top w:w="0" w:type="dxa"/>
            <w:left w:w="0" w:type="dxa"/>
            <w:bottom w:w="0" w:type="dxa"/>
            <w:right w:w="0" w:type="dxa"/>
          </w:tblCellMar>
        </w:tblPrEx>
        <w:trPr>
          <w:trHeight w:val="113"/>
        </w:trPr>
        <w:tc>
          <w:tcPr>
            <w:tcW w:w="354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Depreciation</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238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247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234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(4) </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(13) </w:t>
            </w:r>
          </w:p>
        </w:tc>
        <w:tc>
          <w:tcPr>
            <w:tcW w:w="850"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NoParagraphStyle"/>
              <w:spacing w:line="240" w:lineRule="auto"/>
              <w:textAlignment w:val="auto"/>
              <w:rPr>
                <w:color w:val="auto"/>
                <w:sz w:val="16"/>
                <w:szCs w:val="16"/>
              </w:rPr>
            </w:pPr>
          </w:p>
        </w:tc>
      </w:tr>
      <w:tr w:rsidRPr="000D6E6A" w:rsidR="000D6E6A" w:rsidTr="000D6E6A">
        <w:tblPrEx>
          <w:tblCellMar>
            <w:top w:w="0" w:type="dxa"/>
            <w:left w:w="0" w:type="dxa"/>
            <w:bottom w:w="0" w:type="dxa"/>
            <w:right w:w="0" w:type="dxa"/>
          </w:tblCellMar>
        </w:tblPrEx>
        <w:trPr>
          <w:trHeight w:val="113"/>
        </w:trPr>
        <w:tc>
          <w:tcPr>
            <w:tcW w:w="354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Interest expense</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54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54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53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(1) </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(1) </w:t>
            </w:r>
          </w:p>
        </w:tc>
        <w:tc>
          <w:tcPr>
            <w:tcW w:w="850"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NoParagraphStyle"/>
              <w:spacing w:line="240" w:lineRule="auto"/>
              <w:textAlignment w:val="auto"/>
              <w:rPr>
                <w:color w:val="auto"/>
                <w:sz w:val="16"/>
                <w:szCs w:val="16"/>
              </w:rPr>
            </w:pPr>
          </w:p>
        </w:tc>
      </w:tr>
      <w:tr w:rsidRPr="000D6E6A" w:rsidR="000D6E6A" w:rsidTr="000D6E6A">
        <w:tblPrEx>
          <w:tblCellMar>
            <w:top w:w="0" w:type="dxa"/>
            <w:left w:w="0" w:type="dxa"/>
            <w:bottom w:w="0" w:type="dxa"/>
            <w:right w:w="0" w:type="dxa"/>
          </w:tblCellMar>
        </w:tblPrEx>
        <w:trPr>
          <w:trHeight w:val="113"/>
        </w:trPr>
        <w:tc>
          <w:tcPr>
            <w:tcW w:w="354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Grants and other transfers</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1,305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1,335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1,391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86 </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56 </w:t>
            </w:r>
          </w:p>
        </w:tc>
        <w:tc>
          <w:tcPr>
            <w:tcW w:w="850"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(v)</w:t>
            </w:r>
          </w:p>
        </w:tc>
      </w:tr>
      <w:tr w:rsidRPr="000D6E6A" w:rsidR="000D6E6A" w:rsidTr="000D6E6A">
        <w:tblPrEx>
          <w:tblCellMar>
            <w:top w:w="0" w:type="dxa"/>
            <w:left w:w="0" w:type="dxa"/>
            <w:bottom w:w="0" w:type="dxa"/>
            <w:right w:w="0" w:type="dxa"/>
          </w:tblCellMar>
        </w:tblPrEx>
        <w:trPr>
          <w:trHeight w:val="113"/>
        </w:trPr>
        <w:tc>
          <w:tcPr>
            <w:tcW w:w="354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Capital asset charge</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268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268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268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0 </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0 </w:t>
            </w:r>
          </w:p>
        </w:tc>
        <w:tc>
          <w:tcPr>
            <w:tcW w:w="850"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NoParagraphStyle"/>
              <w:spacing w:line="240" w:lineRule="auto"/>
              <w:textAlignment w:val="auto"/>
              <w:rPr>
                <w:color w:val="auto"/>
                <w:sz w:val="16"/>
                <w:szCs w:val="16"/>
              </w:rPr>
            </w:pPr>
          </w:p>
        </w:tc>
      </w:tr>
      <w:tr w:rsidRPr="000D6E6A" w:rsidR="000D6E6A" w:rsidTr="000D6E6A">
        <w:tblPrEx>
          <w:tblCellMar>
            <w:top w:w="0" w:type="dxa"/>
            <w:left w:w="0" w:type="dxa"/>
            <w:bottom w:w="0" w:type="dxa"/>
            <w:right w:w="0" w:type="dxa"/>
          </w:tblCellMar>
        </w:tblPrEx>
        <w:trPr>
          <w:trHeight w:val="113"/>
        </w:trPr>
        <w:tc>
          <w:tcPr>
            <w:tcW w:w="354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Other operating expenses</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1,693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1,685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1,664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(29) </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(21) </w:t>
            </w:r>
          </w:p>
        </w:tc>
        <w:tc>
          <w:tcPr>
            <w:tcW w:w="850"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NoParagraphStyle"/>
              <w:spacing w:line="240" w:lineRule="auto"/>
              <w:textAlignment w:val="auto"/>
              <w:rPr>
                <w:color w:val="auto"/>
                <w:sz w:val="16"/>
                <w:szCs w:val="16"/>
              </w:rPr>
            </w:pPr>
          </w:p>
        </w:tc>
      </w:tr>
      <w:tr w:rsidRPr="000D6E6A" w:rsidR="000D6E6A" w:rsidTr="000D6E6A">
        <w:tblPrEx>
          <w:tblCellMar>
            <w:top w:w="0" w:type="dxa"/>
            <w:left w:w="0" w:type="dxa"/>
            <w:bottom w:w="0" w:type="dxa"/>
            <w:right w:w="0" w:type="dxa"/>
          </w:tblCellMar>
        </w:tblPrEx>
        <w:trPr>
          <w:trHeight w:val="113"/>
        </w:trPr>
        <w:tc>
          <w:tcPr>
            <w:tcW w:w="3544"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pPr>
            <w:r w:rsidRPr="000D6E6A">
              <w:rPr>
                <w:rStyle w:val="medium"/>
                <w:b/>
                <w:bCs/>
              </w:rPr>
              <w:t>Total expenses from transactions</w:t>
            </w:r>
          </w:p>
        </w:tc>
        <w:tc>
          <w:tcPr>
            <w:tcW w:w="1134"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jc w:val="right"/>
            </w:pPr>
            <w:r w:rsidRPr="000D6E6A">
              <w:rPr>
                <w:rStyle w:val="medium"/>
                <w:b/>
                <w:bCs/>
              </w:rPr>
              <w:t xml:space="preserve">6,861 </w:t>
            </w:r>
          </w:p>
        </w:tc>
        <w:tc>
          <w:tcPr>
            <w:tcW w:w="992"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jc w:val="right"/>
            </w:pPr>
            <w:r w:rsidRPr="000D6E6A">
              <w:rPr>
                <w:rStyle w:val="medium"/>
                <w:b/>
                <w:bCs/>
              </w:rPr>
              <w:t xml:space="preserve">6,964 </w:t>
            </w:r>
          </w:p>
        </w:tc>
        <w:tc>
          <w:tcPr>
            <w:tcW w:w="851"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jc w:val="right"/>
            </w:pPr>
            <w:r w:rsidRPr="000D6E6A">
              <w:rPr>
                <w:rStyle w:val="medium"/>
                <w:b/>
                <w:bCs/>
              </w:rPr>
              <w:t xml:space="preserve">7,011 </w:t>
            </w:r>
          </w:p>
        </w:tc>
        <w:tc>
          <w:tcPr>
            <w:tcW w:w="1417"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jc w:val="right"/>
            </w:pPr>
            <w:r w:rsidRPr="000D6E6A">
              <w:rPr>
                <w:rStyle w:val="medium"/>
                <w:b/>
                <w:bCs/>
              </w:rPr>
              <w:t xml:space="preserve">150 </w:t>
            </w:r>
          </w:p>
        </w:tc>
        <w:tc>
          <w:tcPr>
            <w:tcW w:w="1418"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jc w:val="right"/>
            </w:pPr>
            <w:r w:rsidRPr="000D6E6A">
              <w:rPr>
                <w:rStyle w:val="medium"/>
                <w:b/>
                <w:bCs/>
              </w:rPr>
              <w:t xml:space="preserve">46 </w:t>
            </w:r>
          </w:p>
        </w:tc>
        <w:tc>
          <w:tcPr>
            <w:tcW w:w="850"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NoParagraphStyle"/>
              <w:spacing w:line="240" w:lineRule="auto"/>
              <w:textAlignment w:val="auto"/>
              <w:rPr>
                <w:color w:val="auto"/>
                <w:sz w:val="16"/>
                <w:szCs w:val="16"/>
              </w:rPr>
            </w:pPr>
          </w:p>
        </w:tc>
      </w:tr>
      <w:tr w:rsidRPr="000D6E6A" w:rsidR="000D6E6A" w:rsidTr="000D6E6A">
        <w:tblPrEx>
          <w:tblCellMar>
            <w:top w:w="0" w:type="dxa"/>
            <w:left w:w="0" w:type="dxa"/>
            <w:bottom w:w="0" w:type="dxa"/>
            <w:right w:w="0" w:type="dxa"/>
          </w:tblCellMar>
        </w:tblPrEx>
        <w:trPr>
          <w:trHeight w:val="113"/>
        </w:trPr>
        <w:tc>
          <w:tcPr>
            <w:tcW w:w="3544"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pPr>
            <w:r w:rsidRPr="000D6E6A">
              <w:rPr>
                <w:rStyle w:val="medium"/>
                <w:b/>
                <w:bCs/>
              </w:rPr>
              <w:t>Net result from transactions (net operating balance)</w:t>
            </w:r>
          </w:p>
        </w:tc>
        <w:tc>
          <w:tcPr>
            <w:tcW w:w="1134"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jc w:val="right"/>
            </w:pPr>
            <w:r w:rsidRPr="000D6E6A">
              <w:rPr>
                <w:rStyle w:val="medium"/>
                <w:b/>
                <w:bCs/>
              </w:rPr>
              <w:t xml:space="preserve">(7) </w:t>
            </w:r>
          </w:p>
        </w:tc>
        <w:tc>
          <w:tcPr>
            <w:tcW w:w="992"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jc w:val="right"/>
            </w:pPr>
            <w:r w:rsidRPr="000D6E6A">
              <w:rPr>
                <w:rStyle w:val="medium"/>
                <w:b/>
                <w:bCs/>
              </w:rPr>
              <w:t xml:space="preserve">(31) </w:t>
            </w:r>
          </w:p>
        </w:tc>
        <w:tc>
          <w:tcPr>
            <w:tcW w:w="851"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jc w:val="right"/>
            </w:pPr>
            <w:r w:rsidRPr="000D6E6A">
              <w:rPr>
                <w:rStyle w:val="medium"/>
                <w:b/>
                <w:bCs/>
              </w:rPr>
              <w:t xml:space="preserve">33 </w:t>
            </w:r>
          </w:p>
        </w:tc>
        <w:tc>
          <w:tcPr>
            <w:tcW w:w="1417"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jc w:val="right"/>
            </w:pPr>
            <w:r w:rsidRPr="000D6E6A">
              <w:rPr>
                <w:rStyle w:val="medium"/>
                <w:b/>
                <w:bCs/>
              </w:rPr>
              <w:t xml:space="preserve">41 </w:t>
            </w:r>
          </w:p>
        </w:tc>
        <w:tc>
          <w:tcPr>
            <w:tcW w:w="1418"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jc w:val="right"/>
            </w:pPr>
            <w:r w:rsidRPr="000D6E6A">
              <w:rPr>
                <w:rStyle w:val="medium"/>
                <w:b/>
                <w:bCs/>
              </w:rPr>
              <w:t xml:space="preserve">65 </w:t>
            </w:r>
          </w:p>
        </w:tc>
        <w:tc>
          <w:tcPr>
            <w:tcW w:w="850"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NoParagraphStyle"/>
              <w:spacing w:line="240" w:lineRule="auto"/>
              <w:textAlignment w:val="auto"/>
              <w:rPr>
                <w:color w:val="auto"/>
                <w:sz w:val="16"/>
                <w:szCs w:val="16"/>
              </w:rPr>
            </w:pPr>
          </w:p>
        </w:tc>
      </w:tr>
      <w:tr w:rsidRPr="000D6E6A" w:rsidR="000D6E6A" w:rsidTr="000D6E6A">
        <w:tblPrEx>
          <w:tblCellMar>
            <w:top w:w="0" w:type="dxa"/>
            <w:left w:w="0" w:type="dxa"/>
            <w:bottom w:w="0" w:type="dxa"/>
            <w:right w:w="0" w:type="dxa"/>
          </w:tblCellMar>
        </w:tblPrEx>
        <w:trPr>
          <w:trHeight w:val="113"/>
        </w:trPr>
        <w:tc>
          <w:tcPr>
            <w:tcW w:w="10206" w:type="dxa"/>
            <w:gridSpan w:val="7"/>
            <w:tcBorders>
              <w:top w:val="single"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rPr>
                <w:rStyle w:val="mediumpurple"/>
                <w:b/>
                <w:bCs/>
              </w:rPr>
              <w:t>Other economic flows included in net result</w:t>
            </w:r>
          </w:p>
        </w:tc>
      </w:tr>
      <w:tr w:rsidRPr="000D6E6A" w:rsidR="000D6E6A" w:rsidTr="000D6E6A">
        <w:tblPrEx>
          <w:tblCellMar>
            <w:top w:w="0" w:type="dxa"/>
            <w:left w:w="0" w:type="dxa"/>
            <w:bottom w:w="0" w:type="dxa"/>
            <w:right w:w="0" w:type="dxa"/>
          </w:tblCellMar>
        </w:tblPrEx>
        <w:trPr>
          <w:trHeight w:val="113"/>
        </w:trPr>
        <w:tc>
          <w:tcPr>
            <w:tcW w:w="354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Net gain/(loss) on non-financial assets</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11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11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10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(1) </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(1) </w:t>
            </w:r>
          </w:p>
        </w:tc>
        <w:tc>
          <w:tcPr>
            <w:tcW w:w="850"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NoParagraphStyle"/>
              <w:spacing w:line="240" w:lineRule="auto"/>
              <w:textAlignment w:val="auto"/>
              <w:rPr>
                <w:color w:val="auto"/>
                <w:sz w:val="16"/>
                <w:szCs w:val="16"/>
              </w:rPr>
            </w:pPr>
          </w:p>
        </w:tc>
      </w:tr>
      <w:tr w:rsidRPr="000D6E6A" w:rsidR="000D6E6A" w:rsidTr="000D6E6A">
        <w:tblPrEx>
          <w:tblCellMar>
            <w:top w:w="0" w:type="dxa"/>
            <w:left w:w="0" w:type="dxa"/>
            <w:bottom w:w="0" w:type="dxa"/>
            <w:right w:w="0" w:type="dxa"/>
          </w:tblCellMar>
        </w:tblPrEx>
        <w:trPr>
          <w:trHeight w:val="113"/>
        </w:trPr>
        <w:tc>
          <w:tcPr>
            <w:tcW w:w="354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Net gain/(loss) on financial instruments and statutory receivables/payables</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0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0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9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9 </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9 </w:t>
            </w:r>
          </w:p>
        </w:tc>
        <w:tc>
          <w:tcPr>
            <w:tcW w:w="850"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NoParagraphStyle"/>
              <w:spacing w:line="240" w:lineRule="auto"/>
              <w:textAlignment w:val="auto"/>
              <w:rPr>
                <w:color w:val="auto"/>
                <w:sz w:val="16"/>
                <w:szCs w:val="16"/>
              </w:rPr>
            </w:pPr>
          </w:p>
        </w:tc>
      </w:tr>
      <w:tr w:rsidRPr="000D6E6A" w:rsidR="000D6E6A" w:rsidTr="000D6E6A">
        <w:tblPrEx>
          <w:tblCellMar>
            <w:top w:w="0" w:type="dxa"/>
            <w:left w:w="0" w:type="dxa"/>
            <w:bottom w:w="0" w:type="dxa"/>
            <w:right w:w="0" w:type="dxa"/>
          </w:tblCellMar>
        </w:tblPrEx>
        <w:trPr>
          <w:trHeight w:val="113"/>
        </w:trPr>
        <w:tc>
          <w:tcPr>
            <w:tcW w:w="354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lastRenderedPageBreak/>
              <w:t>Other gains/(losses) from economic flows</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0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0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3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3 </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3 </w:t>
            </w:r>
          </w:p>
        </w:tc>
        <w:tc>
          <w:tcPr>
            <w:tcW w:w="850"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NoParagraphStyle"/>
              <w:spacing w:line="240" w:lineRule="auto"/>
              <w:textAlignment w:val="auto"/>
              <w:rPr>
                <w:color w:val="auto"/>
                <w:sz w:val="16"/>
                <w:szCs w:val="16"/>
              </w:rPr>
            </w:pPr>
          </w:p>
        </w:tc>
      </w:tr>
      <w:tr w:rsidRPr="000D6E6A" w:rsidR="000D6E6A" w:rsidTr="000D6E6A">
        <w:tblPrEx>
          <w:tblCellMar>
            <w:top w:w="0" w:type="dxa"/>
            <w:left w:w="0" w:type="dxa"/>
            <w:bottom w:w="0" w:type="dxa"/>
            <w:right w:w="0" w:type="dxa"/>
          </w:tblCellMar>
        </w:tblPrEx>
        <w:trPr>
          <w:trHeight w:val="113"/>
        </w:trPr>
        <w:tc>
          <w:tcPr>
            <w:tcW w:w="3544"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pPr>
            <w:r w:rsidRPr="000D6E6A">
              <w:rPr>
                <w:rStyle w:val="medium"/>
                <w:b/>
                <w:bCs/>
              </w:rPr>
              <w:t>Total other economic flows included in net result</w:t>
            </w:r>
          </w:p>
        </w:tc>
        <w:tc>
          <w:tcPr>
            <w:tcW w:w="1134"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jc w:val="right"/>
            </w:pPr>
            <w:r w:rsidRPr="000D6E6A">
              <w:rPr>
                <w:rStyle w:val="medium"/>
                <w:b/>
                <w:bCs/>
              </w:rPr>
              <w:t xml:space="preserve">11 </w:t>
            </w:r>
          </w:p>
        </w:tc>
        <w:tc>
          <w:tcPr>
            <w:tcW w:w="992"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jc w:val="right"/>
            </w:pPr>
            <w:r w:rsidRPr="000D6E6A">
              <w:rPr>
                <w:rStyle w:val="medium"/>
                <w:b/>
                <w:bCs/>
              </w:rPr>
              <w:t xml:space="preserve">11 </w:t>
            </w:r>
          </w:p>
        </w:tc>
        <w:tc>
          <w:tcPr>
            <w:tcW w:w="851"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jc w:val="right"/>
            </w:pPr>
            <w:r w:rsidRPr="000D6E6A">
              <w:rPr>
                <w:rStyle w:val="medium"/>
                <w:b/>
                <w:bCs/>
              </w:rPr>
              <w:t xml:space="preserve">22 </w:t>
            </w:r>
          </w:p>
        </w:tc>
        <w:tc>
          <w:tcPr>
            <w:tcW w:w="1417"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jc w:val="right"/>
            </w:pPr>
            <w:r w:rsidRPr="000D6E6A">
              <w:rPr>
                <w:rStyle w:val="medium"/>
                <w:b/>
                <w:bCs/>
              </w:rPr>
              <w:t xml:space="preserve">11 </w:t>
            </w:r>
          </w:p>
        </w:tc>
        <w:tc>
          <w:tcPr>
            <w:tcW w:w="1418"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jc w:val="right"/>
            </w:pPr>
            <w:r w:rsidRPr="000D6E6A">
              <w:rPr>
                <w:rStyle w:val="medium"/>
                <w:b/>
                <w:bCs/>
              </w:rPr>
              <w:t xml:space="preserve">11 </w:t>
            </w:r>
          </w:p>
        </w:tc>
        <w:tc>
          <w:tcPr>
            <w:tcW w:w="850"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NoParagraphStyle"/>
              <w:spacing w:line="240" w:lineRule="auto"/>
              <w:textAlignment w:val="auto"/>
              <w:rPr>
                <w:color w:val="auto"/>
                <w:sz w:val="16"/>
                <w:szCs w:val="16"/>
              </w:rPr>
            </w:pPr>
          </w:p>
        </w:tc>
      </w:tr>
      <w:tr w:rsidRPr="000D6E6A" w:rsidR="000D6E6A" w:rsidTr="000D6E6A">
        <w:tblPrEx>
          <w:tblCellMar>
            <w:top w:w="0" w:type="dxa"/>
            <w:left w:w="0" w:type="dxa"/>
            <w:bottom w:w="0" w:type="dxa"/>
            <w:right w:w="0" w:type="dxa"/>
          </w:tblCellMar>
        </w:tblPrEx>
        <w:trPr>
          <w:trHeight w:val="113"/>
        </w:trPr>
        <w:tc>
          <w:tcPr>
            <w:tcW w:w="3544"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pPr>
            <w:r w:rsidRPr="000D6E6A">
              <w:rPr>
                <w:rStyle w:val="medium"/>
                <w:b/>
                <w:bCs/>
              </w:rPr>
              <w:t>Net result</w:t>
            </w:r>
          </w:p>
        </w:tc>
        <w:tc>
          <w:tcPr>
            <w:tcW w:w="1134"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jc w:val="right"/>
            </w:pPr>
            <w:r w:rsidRPr="000D6E6A">
              <w:rPr>
                <w:rStyle w:val="medium"/>
                <w:b/>
                <w:bCs/>
              </w:rPr>
              <w:t xml:space="preserve">4 </w:t>
            </w:r>
          </w:p>
        </w:tc>
        <w:tc>
          <w:tcPr>
            <w:tcW w:w="992"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jc w:val="right"/>
            </w:pPr>
            <w:r w:rsidRPr="000D6E6A">
              <w:rPr>
                <w:rStyle w:val="medium"/>
                <w:b/>
                <w:bCs/>
              </w:rPr>
              <w:t xml:space="preserve">(20) </w:t>
            </w:r>
          </w:p>
        </w:tc>
        <w:tc>
          <w:tcPr>
            <w:tcW w:w="851"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jc w:val="right"/>
            </w:pPr>
            <w:r w:rsidRPr="000D6E6A">
              <w:rPr>
                <w:rStyle w:val="medium"/>
                <w:b/>
                <w:bCs/>
              </w:rPr>
              <w:t xml:space="preserve">55 </w:t>
            </w:r>
          </w:p>
        </w:tc>
        <w:tc>
          <w:tcPr>
            <w:tcW w:w="1417"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jc w:val="right"/>
            </w:pPr>
            <w:r w:rsidRPr="000D6E6A">
              <w:rPr>
                <w:rStyle w:val="medium"/>
                <w:b/>
                <w:bCs/>
              </w:rPr>
              <w:t xml:space="preserve">52 </w:t>
            </w:r>
          </w:p>
        </w:tc>
        <w:tc>
          <w:tcPr>
            <w:tcW w:w="1418"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jc w:val="right"/>
            </w:pPr>
            <w:r w:rsidRPr="000D6E6A">
              <w:rPr>
                <w:rStyle w:val="medium"/>
                <w:b/>
                <w:bCs/>
              </w:rPr>
              <w:t xml:space="preserve">76 </w:t>
            </w:r>
          </w:p>
        </w:tc>
        <w:tc>
          <w:tcPr>
            <w:tcW w:w="850"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NoParagraphStyle"/>
              <w:spacing w:line="240" w:lineRule="auto"/>
              <w:textAlignment w:val="auto"/>
              <w:rPr>
                <w:color w:val="auto"/>
                <w:sz w:val="16"/>
                <w:szCs w:val="16"/>
              </w:rPr>
            </w:pPr>
          </w:p>
        </w:tc>
      </w:tr>
      <w:tr w:rsidRPr="000D6E6A" w:rsidR="000D6E6A" w:rsidTr="000D6E6A">
        <w:tblPrEx>
          <w:tblCellMar>
            <w:top w:w="0" w:type="dxa"/>
            <w:left w:w="0" w:type="dxa"/>
            <w:bottom w:w="0" w:type="dxa"/>
            <w:right w:w="0" w:type="dxa"/>
          </w:tblCellMar>
        </w:tblPrEx>
        <w:trPr>
          <w:trHeight w:val="113"/>
        </w:trPr>
        <w:tc>
          <w:tcPr>
            <w:tcW w:w="10206" w:type="dxa"/>
            <w:gridSpan w:val="7"/>
            <w:tcBorders>
              <w:top w:val="single"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rPr>
                <w:rStyle w:val="mediumpurple"/>
                <w:b/>
                <w:bCs/>
              </w:rPr>
              <w:t>Other economic flows – other comprehensive income</w:t>
            </w:r>
          </w:p>
        </w:tc>
      </w:tr>
      <w:tr w:rsidRPr="000D6E6A" w:rsidR="000D6E6A" w:rsidTr="000D6E6A">
        <w:tblPrEx>
          <w:tblCellMar>
            <w:top w:w="0" w:type="dxa"/>
            <w:left w:w="0" w:type="dxa"/>
            <w:bottom w:w="0" w:type="dxa"/>
            <w:right w:w="0" w:type="dxa"/>
          </w:tblCellMar>
        </w:tblPrEx>
        <w:trPr>
          <w:trHeight w:val="113"/>
        </w:trPr>
        <w:tc>
          <w:tcPr>
            <w:tcW w:w="354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Changes in non-financial assets revaluation surplus</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0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0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31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31 </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31 </w:t>
            </w:r>
          </w:p>
        </w:tc>
        <w:tc>
          <w:tcPr>
            <w:tcW w:w="850"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(vi)</w:t>
            </w:r>
          </w:p>
        </w:tc>
      </w:tr>
      <w:tr w:rsidRPr="000D6E6A" w:rsidR="000D6E6A" w:rsidTr="000D6E6A">
        <w:tblPrEx>
          <w:tblCellMar>
            <w:top w:w="0" w:type="dxa"/>
            <w:left w:w="0" w:type="dxa"/>
            <w:bottom w:w="0" w:type="dxa"/>
            <w:right w:w="0" w:type="dxa"/>
          </w:tblCellMar>
        </w:tblPrEx>
        <w:trPr>
          <w:trHeight w:val="113"/>
        </w:trPr>
        <w:tc>
          <w:tcPr>
            <w:tcW w:w="354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pPr>
            <w:r w:rsidRPr="000D6E6A">
              <w:t>Other</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0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0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0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0 </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bodycopytabletable"/>
              <w:jc w:val="right"/>
            </w:pPr>
            <w:r w:rsidRPr="000D6E6A">
              <w:t xml:space="preserve">0 </w:t>
            </w:r>
          </w:p>
        </w:tc>
        <w:tc>
          <w:tcPr>
            <w:tcW w:w="850" w:type="dxa"/>
            <w:tcBorders>
              <w:top w:val="dotted" w:color="542E8E" w:sz="4" w:space="0"/>
              <w:left w:val="nil"/>
              <w:bottom w:val="dotted" w:color="542E8E" w:sz="4" w:space="0"/>
              <w:right w:val="nil"/>
            </w:tcBorders>
            <w:tcMar>
              <w:top w:w="57" w:type="dxa"/>
              <w:left w:w="57" w:type="dxa"/>
              <w:bottom w:w="57" w:type="dxa"/>
              <w:right w:w="57" w:type="dxa"/>
            </w:tcMar>
          </w:tcPr>
          <w:p w:rsidRPr="000D6E6A" w:rsidR="000D6E6A" w:rsidP="000D6E6A" w:rsidRDefault="000D6E6A">
            <w:pPr>
              <w:pStyle w:val="NoParagraphStyle"/>
              <w:spacing w:line="240" w:lineRule="auto"/>
              <w:textAlignment w:val="auto"/>
              <w:rPr>
                <w:color w:val="auto"/>
                <w:sz w:val="16"/>
                <w:szCs w:val="16"/>
              </w:rPr>
            </w:pPr>
          </w:p>
        </w:tc>
      </w:tr>
      <w:tr w:rsidRPr="000D6E6A" w:rsidR="000D6E6A" w:rsidTr="000D6E6A">
        <w:tblPrEx>
          <w:tblCellMar>
            <w:top w:w="0" w:type="dxa"/>
            <w:left w:w="0" w:type="dxa"/>
            <w:bottom w:w="0" w:type="dxa"/>
            <w:right w:w="0" w:type="dxa"/>
          </w:tblCellMar>
        </w:tblPrEx>
        <w:trPr>
          <w:trHeight w:val="113"/>
        </w:trPr>
        <w:tc>
          <w:tcPr>
            <w:tcW w:w="3544"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pPr>
            <w:r w:rsidRPr="000D6E6A">
              <w:rPr>
                <w:rStyle w:val="medium"/>
                <w:b/>
                <w:bCs/>
              </w:rPr>
              <w:t>Total other economic flows – other comprehensive income</w:t>
            </w:r>
          </w:p>
        </w:tc>
        <w:tc>
          <w:tcPr>
            <w:tcW w:w="1134"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jc w:val="right"/>
            </w:pPr>
            <w:r w:rsidRPr="000D6E6A">
              <w:rPr>
                <w:rStyle w:val="medium"/>
                <w:b/>
                <w:bCs/>
              </w:rPr>
              <w:t xml:space="preserve">0 </w:t>
            </w:r>
          </w:p>
        </w:tc>
        <w:tc>
          <w:tcPr>
            <w:tcW w:w="992"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jc w:val="right"/>
            </w:pPr>
            <w:r w:rsidRPr="000D6E6A">
              <w:rPr>
                <w:rStyle w:val="medium"/>
                <w:b/>
                <w:bCs/>
              </w:rPr>
              <w:t xml:space="preserve">0 </w:t>
            </w:r>
          </w:p>
        </w:tc>
        <w:tc>
          <w:tcPr>
            <w:tcW w:w="851"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jc w:val="right"/>
            </w:pPr>
            <w:r w:rsidRPr="000D6E6A">
              <w:rPr>
                <w:rStyle w:val="medium"/>
                <w:b/>
                <w:bCs/>
              </w:rPr>
              <w:t xml:space="preserve">31 </w:t>
            </w:r>
          </w:p>
        </w:tc>
        <w:tc>
          <w:tcPr>
            <w:tcW w:w="1417"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jc w:val="right"/>
            </w:pPr>
            <w:r w:rsidRPr="000D6E6A">
              <w:rPr>
                <w:rStyle w:val="medium"/>
                <w:b/>
                <w:bCs/>
              </w:rPr>
              <w:t xml:space="preserve">31 </w:t>
            </w:r>
          </w:p>
        </w:tc>
        <w:tc>
          <w:tcPr>
            <w:tcW w:w="1418"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jc w:val="right"/>
            </w:pPr>
            <w:r w:rsidRPr="000D6E6A">
              <w:rPr>
                <w:rStyle w:val="medium"/>
                <w:b/>
                <w:bCs/>
              </w:rPr>
              <w:t xml:space="preserve">31 </w:t>
            </w:r>
          </w:p>
        </w:tc>
        <w:tc>
          <w:tcPr>
            <w:tcW w:w="850"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NoParagraphStyle"/>
              <w:spacing w:line="240" w:lineRule="auto"/>
              <w:textAlignment w:val="auto"/>
              <w:rPr>
                <w:color w:val="auto"/>
                <w:sz w:val="16"/>
                <w:szCs w:val="16"/>
              </w:rPr>
            </w:pPr>
          </w:p>
        </w:tc>
      </w:tr>
      <w:tr w:rsidRPr="000D6E6A" w:rsidR="000D6E6A" w:rsidTr="000D6E6A">
        <w:tblPrEx>
          <w:tblCellMar>
            <w:top w:w="0" w:type="dxa"/>
            <w:left w:w="0" w:type="dxa"/>
            <w:bottom w:w="0" w:type="dxa"/>
            <w:right w:w="0" w:type="dxa"/>
          </w:tblCellMar>
        </w:tblPrEx>
        <w:trPr>
          <w:trHeight w:val="113"/>
        </w:trPr>
        <w:tc>
          <w:tcPr>
            <w:tcW w:w="3544"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pPr>
            <w:r w:rsidRPr="000D6E6A">
              <w:rPr>
                <w:rStyle w:val="medium"/>
                <w:b/>
                <w:bCs/>
              </w:rPr>
              <w:t>Comprehensive result</w:t>
            </w:r>
          </w:p>
        </w:tc>
        <w:tc>
          <w:tcPr>
            <w:tcW w:w="1134"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jc w:val="right"/>
            </w:pPr>
            <w:r w:rsidRPr="000D6E6A">
              <w:rPr>
                <w:rStyle w:val="medium"/>
                <w:b/>
                <w:bCs/>
              </w:rPr>
              <w:t xml:space="preserve">4 </w:t>
            </w:r>
          </w:p>
        </w:tc>
        <w:tc>
          <w:tcPr>
            <w:tcW w:w="992"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jc w:val="right"/>
            </w:pPr>
            <w:r w:rsidRPr="000D6E6A">
              <w:rPr>
                <w:rStyle w:val="medium"/>
                <w:b/>
                <w:bCs/>
              </w:rPr>
              <w:t xml:space="preserve">(20) </w:t>
            </w:r>
          </w:p>
        </w:tc>
        <w:tc>
          <w:tcPr>
            <w:tcW w:w="851"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jc w:val="right"/>
            </w:pPr>
            <w:r w:rsidRPr="000D6E6A">
              <w:rPr>
                <w:rStyle w:val="medium"/>
                <w:b/>
                <w:bCs/>
              </w:rPr>
              <w:t xml:space="preserve">86 </w:t>
            </w:r>
          </w:p>
        </w:tc>
        <w:tc>
          <w:tcPr>
            <w:tcW w:w="1417"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jc w:val="right"/>
            </w:pPr>
            <w:r w:rsidRPr="000D6E6A">
              <w:rPr>
                <w:rStyle w:val="medium"/>
                <w:b/>
                <w:bCs/>
              </w:rPr>
              <w:t xml:space="preserve">83 </w:t>
            </w:r>
          </w:p>
        </w:tc>
        <w:tc>
          <w:tcPr>
            <w:tcW w:w="1418"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bodycopytabletable"/>
              <w:jc w:val="right"/>
            </w:pPr>
            <w:r w:rsidRPr="000D6E6A">
              <w:rPr>
                <w:rStyle w:val="medium"/>
                <w:b/>
                <w:bCs/>
              </w:rPr>
              <w:t xml:space="preserve">107 </w:t>
            </w:r>
          </w:p>
        </w:tc>
        <w:tc>
          <w:tcPr>
            <w:tcW w:w="850"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0D6E6A" w:rsidR="000D6E6A" w:rsidP="000D6E6A" w:rsidRDefault="000D6E6A">
            <w:pPr>
              <w:pStyle w:val="NoParagraphStyle"/>
              <w:spacing w:line="240" w:lineRule="auto"/>
              <w:textAlignment w:val="auto"/>
              <w:rPr>
                <w:color w:val="auto"/>
                <w:sz w:val="16"/>
                <w:szCs w:val="16"/>
              </w:rPr>
            </w:pPr>
          </w:p>
        </w:tc>
      </w:tr>
    </w:tbl>
    <w:p w:rsidR="000D6E6A" w:rsidP="000D6E6A" w:rsidRDefault="000D6E6A">
      <w:pPr>
        <w:pStyle w:val="notestable"/>
        <w:spacing w:before="60"/>
      </w:pPr>
      <w:r>
        <w:t>(</w:t>
      </w:r>
      <w:proofErr w:type="spellStart"/>
      <w:r>
        <w:t>i</w:t>
      </w:r>
      <w:proofErr w:type="spellEnd"/>
      <w:r>
        <w:t xml:space="preserve">) </w:t>
      </w:r>
      <w:r>
        <w:tab/>
        <w:t>Figures published in the 2017-18 Victorian Budget, Budget Paper No. 5</w:t>
      </w:r>
    </w:p>
    <w:p w:rsidR="000D6E6A" w:rsidRDefault="000D6E6A">
      <w:pPr>
        <w:pStyle w:val="notestable"/>
      </w:pPr>
      <w:r>
        <w:t xml:space="preserve">(ii) </w:t>
      </w:r>
      <w:r>
        <w:tab/>
        <w:t xml:space="preserve">Figures published in the 2018-19 Victorian Budget, Budget Paper No. 5.  </w:t>
      </w:r>
    </w:p>
    <w:p w:rsidR="000D6E6A" w:rsidRDefault="000D6E6A">
      <w:pPr>
        <w:pStyle w:val="notestable"/>
      </w:pPr>
      <w:r>
        <w:t xml:space="preserve">(iii) </w:t>
      </w:r>
      <w:r>
        <w:tab/>
      </w:r>
      <w:r>
        <w:br/>
        <w:t>Output appropriations were higher than the original and revised budgets mainly due to additional funding announced post Budget for initiatives including Prison Capacity Expansion, the Youth Justice Review and Strategy, the Community Safety Statement and firefighting related activities including the Fire Services Statement.</w:t>
      </w:r>
    </w:p>
    <w:p w:rsidR="000D6E6A" w:rsidRDefault="000D6E6A">
      <w:pPr>
        <w:pStyle w:val="notestable"/>
      </w:pPr>
      <w:r>
        <w:t xml:space="preserve">(iv) </w:t>
      </w:r>
      <w:r>
        <w:tab/>
      </w:r>
      <w:r>
        <w:br/>
        <w:t>Employee benefits expenses were higher than the original budget mainly due to additional funding announced post Budget including Prison Capacity Expansion and the Community Safety Statement.</w:t>
      </w:r>
    </w:p>
    <w:p w:rsidR="000D6E6A" w:rsidRDefault="000D6E6A">
      <w:pPr>
        <w:pStyle w:val="notestable"/>
      </w:pPr>
      <w:r>
        <w:t xml:space="preserve">(v) </w:t>
      </w:r>
      <w:r>
        <w:tab/>
      </w:r>
      <w:r>
        <w:br/>
        <w:t>Grants and other transfers expenses were higher than the original budget mainly due to additional grants announced post Budget for firefighting related activities including the Fire Services Statement and additional grants provided to emergency service organisations for the Emergency Management Operational Communications Program.  Grants and other transfers expenses were higher than the revised budget mainly due to the additional grants provided to emergency service organisations for the Emergency Management Operational Communications Program.</w:t>
      </w:r>
    </w:p>
    <w:p w:rsidR="000D6E6A" w:rsidRDefault="000D6E6A">
      <w:pPr>
        <w:pStyle w:val="notestable"/>
      </w:pPr>
      <w:r>
        <w:t xml:space="preserve">(vi) </w:t>
      </w:r>
      <w:r>
        <w:tab/>
      </w:r>
      <w:r>
        <w:br/>
        <w:t>Changes in non-financial assets revaluation surplus were higher than the original and revised budgets mainly due to a managerial revaluation of Victoria Police’s physical assets as at 30 June 2018 in accordance with the Financial Reporting Direction 103G requirements. The increase was partially offset by an adjustment to property, plant and equipment to realign prior year assets under construction and a building impairment.</w:t>
      </w:r>
    </w:p>
    <w:p w:rsidR="000D6E6A" w:rsidRDefault="000D6E6A">
      <w:pPr>
        <w:pStyle w:val="notestable"/>
      </w:pPr>
    </w:p>
    <w:p w:rsidR="000D6E6A" w:rsidRDefault="000D6E6A">
      <w:pPr>
        <w:pStyle w:val="H3"/>
      </w:pPr>
      <w:r>
        <w:t>Balance sheet as at 30 June 2018</w:t>
      </w:r>
    </w:p>
    <w:tbl>
      <w:tblPr>
        <w:tblW w:w="0" w:type="auto"/>
        <w:tblInd w:w="57" w:type="dxa"/>
        <w:tblLayout w:type="fixed"/>
        <w:tblCellMar>
          <w:left w:w="0" w:type="dxa"/>
          <w:right w:w="0" w:type="dxa"/>
        </w:tblCellMar>
        <w:tblLook w:firstRow="0" w:lastRow="0" w:firstColumn="0" w:lastColumn="0" w:noHBand="0" w:noVBand="0" w:val="0000"/>
      </w:tblPr>
      <w:tblGrid>
        <w:gridCol w:w="3005"/>
        <w:gridCol w:w="1077"/>
        <w:gridCol w:w="1163"/>
        <w:gridCol w:w="991"/>
        <w:gridCol w:w="1561"/>
        <w:gridCol w:w="1417"/>
        <w:gridCol w:w="851"/>
      </w:tblGrid>
      <w:tr w:rsidRPr="003E113F" w:rsidR="000D6E6A" w:rsidTr="003E113F">
        <w:tblPrEx>
          <w:tblCellMar>
            <w:top w:w="0" w:type="dxa"/>
            <w:left w:w="0" w:type="dxa"/>
            <w:bottom w:w="0" w:type="dxa"/>
            <w:right w:w="0" w:type="dxa"/>
          </w:tblCellMar>
        </w:tblPrEx>
        <w:trPr>
          <w:trHeight w:val="113"/>
          <w:tblHeader/>
        </w:trPr>
        <w:tc>
          <w:tcPr>
            <w:tcW w:w="10065" w:type="dxa"/>
            <w:gridSpan w:val="7"/>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3E113F" w:rsidR="000D6E6A" w:rsidP="003E113F" w:rsidRDefault="000D6E6A">
            <w:pPr>
              <w:pStyle w:val="bodycopytabletable"/>
              <w:jc w:val="right"/>
            </w:pPr>
            <w:r w:rsidRPr="003E113F">
              <w:rPr>
                <w:rStyle w:val="mediumpurple"/>
                <w:b/>
                <w:bCs/>
              </w:rPr>
              <w:t>($ million)</w:t>
            </w:r>
          </w:p>
        </w:tc>
      </w:tr>
      <w:tr w:rsidRPr="003E113F" w:rsidR="000D6E6A" w:rsidTr="003E113F">
        <w:tblPrEx>
          <w:tblCellMar>
            <w:top w:w="0" w:type="dxa"/>
            <w:left w:w="0" w:type="dxa"/>
            <w:bottom w:w="0" w:type="dxa"/>
            <w:right w:w="0" w:type="dxa"/>
          </w:tblCellMar>
        </w:tblPrEx>
        <w:trPr>
          <w:trHeight w:val="113"/>
          <w:tblHeader/>
        </w:trPr>
        <w:tc>
          <w:tcPr>
            <w:tcW w:w="3005"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3E113F" w:rsidR="000D6E6A" w:rsidP="003E113F" w:rsidRDefault="000D6E6A">
            <w:pPr>
              <w:pStyle w:val="NoParagraphStyle"/>
              <w:spacing w:line="240" w:lineRule="auto"/>
              <w:jc w:val="right"/>
              <w:textAlignment w:val="auto"/>
              <w:rPr>
                <w:color w:val="auto"/>
                <w:sz w:val="16"/>
                <w:szCs w:val="16"/>
              </w:rPr>
            </w:pPr>
          </w:p>
        </w:tc>
        <w:tc>
          <w:tcPr>
            <w:tcW w:w="1077"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3E113F" w:rsidR="000D6E6A" w:rsidP="003E113F" w:rsidRDefault="000D6E6A">
            <w:pPr>
              <w:pStyle w:val="bodycopytabletable"/>
              <w:jc w:val="right"/>
            </w:pPr>
            <w:r w:rsidRPr="003E113F">
              <w:rPr>
                <w:rStyle w:val="mediumpurple"/>
                <w:b/>
                <w:bCs/>
              </w:rPr>
              <w:t>Original budget</w:t>
            </w:r>
            <w:r w:rsidRPr="003E113F">
              <w:rPr>
                <w:rStyle w:val="mediumpurple"/>
                <w:b/>
                <w:bCs/>
              </w:rPr>
              <w:br/>
              <w:t>2017-18 (</w:t>
            </w:r>
            <w:proofErr w:type="spellStart"/>
            <w:r w:rsidRPr="003E113F">
              <w:rPr>
                <w:rStyle w:val="mediumpurple"/>
                <w:b/>
                <w:bCs/>
              </w:rPr>
              <w:t>i</w:t>
            </w:r>
            <w:proofErr w:type="spellEnd"/>
            <w:r w:rsidRPr="003E113F">
              <w:rPr>
                <w:rStyle w:val="mediumpurple"/>
                <w:b/>
                <w:bCs/>
              </w:rPr>
              <w:t>)</w:t>
            </w:r>
          </w:p>
        </w:tc>
        <w:tc>
          <w:tcPr>
            <w:tcW w:w="1163"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3E113F" w:rsidR="000D6E6A" w:rsidP="003E113F" w:rsidRDefault="000D6E6A">
            <w:pPr>
              <w:pStyle w:val="bodycopytabletable"/>
              <w:jc w:val="right"/>
            </w:pPr>
            <w:r w:rsidRPr="003E113F">
              <w:rPr>
                <w:rStyle w:val="mediumpurple"/>
                <w:b/>
                <w:bCs/>
              </w:rPr>
              <w:t xml:space="preserve">Revised budget </w:t>
            </w:r>
            <w:r w:rsidRPr="003E113F">
              <w:rPr>
                <w:rStyle w:val="mediumpurple"/>
                <w:b/>
                <w:bCs/>
              </w:rPr>
              <w:br/>
              <w:t>2017-18 (ii)</w:t>
            </w:r>
          </w:p>
        </w:tc>
        <w:tc>
          <w:tcPr>
            <w:tcW w:w="991"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3E113F" w:rsidR="000D6E6A" w:rsidP="003E113F" w:rsidRDefault="000D6E6A">
            <w:pPr>
              <w:pStyle w:val="bodycopytabletable"/>
              <w:jc w:val="right"/>
            </w:pPr>
            <w:r w:rsidRPr="003E113F">
              <w:rPr>
                <w:rStyle w:val="mediumpurple"/>
                <w:b/>
                <w:bCs/>
              </w:rPr>
              <w:t>Actual</w:t>
            </w:r>
            <w:r w:rsidRPr="003E113F">
              <w:rPr>
                <w:rStyle w:val="mediumpurple"/>
                <w:b/>
                <w:bCs/>
              </w:rPr>
              <w:br/>
              <w:t>2017-18</w:t>
            </w:r>
          </w:p>
        </w:tc>
        <w:tc>
          <w:tcPr>
            <w:tcW w:w="1561"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3E113F" w:rsidR="000D6E6A" w:rsidP="003E113F" w:rsidRDefault="000D6E6A">
            <w:pPr>
              <w:pStyle w:val="bodycopytabletable"/>
              <w:jc w:val="right"/>
            </w:pPr>
            <w:r w:rsidRPr="003E113F">
              <w:rPr>
                <w:rStyle w:val="mediumpurple"/>
                <w:b/>
                <w:bCs/>
              </w:rPr>
              <w:t>Variance for original budget to actual 2017-18</w:t>
            </w:r>
          </w:p>
        </w:tc>
        <w:tc>
          <w:tcPr>
            <w:tcW w:w="1417"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3E113F" w:rsidR="000D6E6A" w:rsidP="003E113F" w:rsidRDefault="000D6E6A">
            <w:pPr>
              <w:pStyle w:val="bodycopytabletable"/>
              <w:jc w:val="right"/>
            </w:pPr>
            <w:r w:rsidRPr="003E113F">
              <w:rPr>
                <w:rStyle w:val="mediumpurple"/>
                <w:b/>
                <w:bCs/>
              </w:rPr>
              <w:t>Variance for revised budget to actual 2017-18</w:t>
            </w:r>
          </w:p>
        </w:tc>
        <w:tc>
          <w:tcPr>
            <w:tcW w:w="851"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3E113F" w:rsidR="000D6E6A" w:rsidP="003E113F" w:rsidRDefault="000D6E6A">
            <w:pPr>
              <w:pStyle w:val="bodycopytabletable"/>
              <w:jc w:val="right"/>
            </w:pPr>
            <w:r w:rsidRPr="003E113F">
              <w:rPr>
                <w:rStyle w:val="mediumpurple"/>
                <w:b/>
                <w:bCs/>
              </w:rPr>
              <w:t>Notes</w:t>
            </w:r>
          </w:p>
        </w:tc>
      </w:tr>
      <w:tr w:rsidRPr="003E113F" w:rsidR="000D6E6A" w:rsidTr="003E113F">
        <w:tblPrEx>
          <w:tblCellMar>
            <w:top w:w="0" w:type="dxa"/>
            <w:left w:w="0" w:type="dxa"/>
            <w:bottom w:w="0" w:type="dxa"/>
            <w:right w:w="0" w:type="dxa"/>
          </w:tblCellMar>
        </w:tblPrEx>
        <w:trPr>
          <w:trHeight w:val="113"/>
        </w:trPr>
        <w:tc>
          <w:tcPr>
            <w:tcW w:w="3005"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pPr>
            <w:r w:rsidRPr="003E113F">
              <w:rPr>
                <w:rStyle w:val="mediumpurple"/>
                <w:b/>
                <w:bCs/>
              </w:rPr>
              <w:t>Assets</w:t>
            </w:r>
          </w:p>
        </w:tc>
        <w:tc>
          <w:tcPr>
            <w:tcW w:w="1077"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NoParagraphStyle"/>
              <w:spacing w:line="240" w:lineRule="auto"/>
              <w:textAlignment w:val="auto"/>
              <w:rPr>
                <w:color w:val="auto"/>
                <w:sz w:val="16"/>
                <w:szCs w:val="16"/>
              </w:rPr>
            </w:pPr>
          </w:p>
        </w:tc>
        <w:tc>
          <w:tcPr>
            <w:tcW w:w="1163"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NoParagraphStyle"/>
              <w:spacing w:line="240" w:lineRule="auto"/>
              <w:textAlignment w:val="auto"/>
              <w:rPr>
                <w:color w:val="auto"/>
                <w:sz w:val="16"/>
                <w:szCs w:val="16"/>
              </w:rPr>
            </w:pPr>
          </w:p>
        </w:tc>
        <w:tc>
          <w:tcPr>
            <w:tcW w:w="99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NoParagraphStyle"/>
              <w:spacing w:line="240" w:lineRule="auto"/>
              <w:textAlignment w:val="auto"/>
              <w:rPr>
                <w:color w:val="auto"/>
                <w:sz w:val="16"/>
                <w:szCs w:val="16"/>
              </w:rPr>
            </w:pPr>
          </w:p>
        </w:tc>
        <w:tc>
          <w:tcPr>
            <w:tcW w:w="156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NoParagraphStyle"/>
              <w:spacing w:line="240" w:lineRule="auto"/>
              <w:textAlignment w:val="auto"/>
              <w:rPr>
                <w:color w:val="auto"/>
                <w:sz w:val="16"/>
                <w:szCs w:val="16"/>
              </w:rPr>
            </w:pP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NoParagraphStyle"/>
              <w:spacing w:line="240" w:lineRule="auto"/>
              <w:textAlignment w:val="auto"/>
              <w:rPr>
                <w:color w:val="auto"/>
                <w:sz w:val="16"/>
                <w:szCs w:val="16"/>
              </w:rPr>
            </w:pP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NoParagraphStyle"/>
              <w:spacing w:line="240" w:lineRule="auto"/>
              <w:textAlignment w:val="auto"/>
              <w:rPr>
                <w:color w:val="auto"/>
                <w:sz w:val="16"/>
                <w:szCs w:val="16"/>
              </w:rPr>
            </w:pPr>
          </w:p>
        </w:tc>
      </w:tr>
      <w:tr w:rsidRPr="003E113F" w:rsidR="000D6E6A" w:rsidTr="003E113F">
        <w:tblPrEx>
          <w:tblCellMar>
            <w:top w:w="0" w:type="dxa"/>
            <w:left w:w="0" w:type="dxa"/>
            <w:bottom w:w="0" w:type="dxa"/>
            <w:right w:w="0" w:type="dxa"/>
          </w:tblCellMar>
        </w:tblPrEx>
        <w:trPr>
          <w:trHeight w:val="113"/>
        </w:trPr>
        <w:tc>
          <w:tcPr>
            <w:tcW w:w="3005"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pPr>
            <w:r w:rsidRPr="003E113F">
              <w:rPr>
                <w:rStyle w:val="medium"/>
                <w:b/>
                <w:bCs/>
              </w:rPr>
              <w:t>Financial assets</w:t>
            </w:r>
          </w:p>
        </w:tc>
        <w:tc>
          <w:tcPr>
            <w:tcW w:w="1077"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NoParagraphStyle"/>
              <w:spacing w:line="240" w:lineRule="auto"/>
              <w:textAlignment w:val="auto"/>
              <w:rPr>
                <w:color w:val="auto"/>
                <w:sz w:val="16"/>
                <w:szCs w:val="16"/>
              </w:rPr>
            </w:pPr>
          </w:p>
        </w:tc>
        <w:tc>
          <w:tcPr>
            <w:tcW w:w="1163"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NoParagraphStyle"/>
              <w:spacing w:line="240" w:lineRule="auto"/>
              <w:textAlignment w:val="auto"/>
              <w:rPr>
                <w:color w:val="auto"/>
                <w:sz w:val="16"/>
                <w:szCs w:val="16"/>
              </w:rPr>
            </w:pPr>
          </w:p>
        </w:tc>
        <w:tc>
          <w:tcPr>
            <w:tcW w:w="99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NoParagraphStyle"/>
              <w:spacing w:line="240" w:lineRule="auto"/>
              <w:textAlignment w:val="auto"/>
              <w:rPr>
                <w:color w:val="auto"/>
                <w:sz w:val="16"/>
                <w:szCs w:val="16"/>
              </w:rPr>
            </w:pPr>
          </w:p>
        </w:tc>
        <w:tc>
          <w:tcPr>
            <w:tcW w:w="156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NoParagraphStyle"/>
              <w:spacing w:line="240" w:lineRule="auto"/>
              <w:textAlignment w:val="auto"/>
              <w:rPr>
                <w:color w:val="auto"/>
                <w:sz w:val="16"/>
                <w:szCs w:val="16"/>
              </w:rPr>
            </w:pP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NoParagraphStyle"/>
              <w:spacing w:line="240" w:lineRule="auto"/>
              <w:textAlignment w:val="auto"/>
              <w:rPr>
                <w:color w:val="auto"/>
                <w:sz w:val="16"/>
                <w:szCs w:val="16"/>
              </w:rPr>
            </w:pP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NoParagraphStyle"/>
              <w:spacing w:line="240" w:lineRule="auto"/>
              <w:textAlignment w:val="auto"/>
              <w:rPr>
                <w:color w:val="auto"/>
                <w:sz w:val="16"/>
                <w:szCs w:val="16"/>
              </w:rPr>
            </w:pPr>
          </w:p>
        </w:tc>
      </w:tr>
      <w:tr w:rsidRPr="003E113F" w:rsidR="000D6E6A" w:rsidTr="003E113F">
        <w:tblPrEx>
          <w:tblCellMar>
            <w:top w:w="0" w:type="dxa"/>
            <w:left w:w="0" w:type="dxa"/>
            <w:bottom w:w="0" w:type="dxa"/>
            <w:right w:w="0" w:type="dxa"/>
          </w:tblCellMar>
        </w:tblPrEx>
        <w:trPr>
          <w:trHeight w:val="113"/>
        </w:trPr>
        <w:tc>
          <w:tcPr>
            <w:tcW w:w="3005"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pPr>
            <w:r w:rsidRPr="003E113F">
              <w:t>Cash and deposits</w:t>
            </w:r>
          </w:p>
        </w:tc>
        <w:tc>
          <w:tcPr>
            <w:tcW w:w="1077"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246 </w:t>
            </w:r>
          </w:p>
        </w:tc>
        <w:tc>
          <w:tcPr>
            <w:tcW w:w="1163"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213 </w:t>
            </w:r>
          </w:p>
        </w:tc>
        <w:tc>
          <w:tcPr>
            <w:tcW w:w="99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241 </w:t>
            </w:r>
          </w:p>
        </w:tc>
        <w:tc>
          <w:tcPr>
            <w:tcW w:w="156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(5)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28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(iii)</w:t>
            </w:r>
          </w:p>
        </w:tc>
      </w:tr>
      <w:tr w:rsidRPr="003E113F" w:rsidR="000D6E6A" w:rsidTr="003E113F">
        <w:tblPrEx>
          <w:tblCellMar>
            <w:top w:w="0" w:type="dxa"/>
            <w:left w:w="0" w:type="dxa"/>
            <w:bottom w:w="0" w:type="dxa"/>
            <w:right w:w="0" w:type="dxa"/>
          </w:tblCellMar>
        </w:tblPrEx>
        <w:trPr>
          <w:trHeight w:val="113"/>
        </w:trPr>
        <w:tc>
          <w:tcPr>
            <w:tcW w:w="3005"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pPr>
            <w:r w:rsidRPr="003E113F">
              <w:t>Receivables from government</w:t>
            </w:r>
          </w:p>
        </w:tc>
        <w:tc>
          <w:tcPr>
            <w:tcW w:w="1077"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985 </w:t>
            </w:r>
          </w:p>
        </w:tc>
        <w:tc>
          <w:tcPr>
            <w:tcW w:w="1163"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963 </w:t>
            </w:r>
          </w:p>
        </w:tc>
        <w:tc>
          <w:tcPr>
            <w:tcW w:w="99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991 </w:t>
            </w:r>
          </w:p>
        </w:tc>
        <w:tc>
          <w:tcPr>
            <w:tcW w:w="156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6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28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NoParagraphStyle"/>
              <w:spacing w:line="240" w:lineRule="auto"/>
              <w:textAlignment w:val="auto"/>
              <w:rPr>
                <w:color w:val="auto"/>
                <w:sz w:val="16"/>
                <w:szCs w:val="16"/>
              </w:rPr>
            </w:pPr>
          </w:p>
        </w:tc>
      </w:tr>
      <w:tr w:rsidRPr="003E113F" w:rsidR="000D6E6A" w:rsidTr="003E113F">
        <w:tblPrEx>
          <w:tblCellMar>
            <w:top w:w="0" w:type="dxa"/>
            <w:left w:w="0" w:type="dxa"/>
            <w:bottom w:w="0" w:type="dxa"/>
            <w:right w:w="0" w:type="dxa"/>
          </w:tblCellMar>
        </w:tblPrEx>
        <w:trPr>
          <w:trHeight w:val="113"/>
        </w:trPr>
        <w:tc>
          <w:tcPr>
            <w:tcW w:w="3005"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pPr>
            <w:r w:rsidRPr="003E113F">
              <w:t>Other receivables</w:t>
            </w:r>
          </w:p>
        </w:tc>
        <w:tc>
          <w:tcPr>
            <w:tcW w:w="1077"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89 </w:t>
            </w:r>
          </w:p>
        </w:tc>
        <w:tc>
          <w:tcPr>
            <w:tcW w:w="1163"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77 </w:t>
            </w:r>
          </w:p>
        </w:tc>
        <w:tc>
          <w:tcPr>
            <w:tcW w:w="99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99 </w:t>
            </w:r>
          </w:p>
        </w:tc>
        <w:tc>
          <w:tcPr>
            <w:tcW w:w="156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10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22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NoParagraphStyle"/>
              <w:spacing w:line="240" w:lineRule="auto"/>
              <w:textAlignment w:val="auto"/>
              <w:rPr>
                <w:color w:val="auto"/>
                <w:sz w:val="16"/>
                <w:szCs w:val="16"/>
              </w:rPr>
            </w:pPr>
          </w:p>
        </w:tc>
      </w:tr>
      <w:tr w:rsidRPr="003E113F" w:rsidR="000D6E6A" w:rsidTr="003E113F">
        <w:tblPrEx>
          <w:tblCellMar>
            <w:top w:w="0" w:type="dxa"/>
            <w:left w:w="0" w:type="dxa"/>
            <w:bottom w:w="0" w:type="dxa"/>
            <w:right w:w="0" w:type="dxa"/>
          </w:tblCellMar>
        </w:tblPrEx>
        <w:trPr>
          <w:trHeight w:val="113"/>
        </w:trPr>
        <w:tc>
          <w:tcPr>
            <w:tcW w:w="3005"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pPr>
            <w:r w:rsidRPr="003E113F">
              <w:t>Other financial assets</w:t>
            </w:r>
          </w:p>
        </w:tc>
        <w:tc>
          <w:tcPr>
            <w:tcW w:w="1077"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170 </w:t>
            </w:r>
          </w:p>
        </w:tc>
        <w:tc>
          <w:tcPr>
            <w:tcW w:w="1163"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226 </w:t>
            </w:r>
          </w:p>
        </w:tc>
        <w:tc>
          <w:tcPr>
            <w:tcW w:w="99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253 </w:t>
            </w:r>
          </w:p>
        </w:tc>
        <w:tc>
          <w:tcPr>
            <w:tcW w:w="156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83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27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(iv)</w:t>
            </w:r>
          </w:p>
        </w:tc>
      </w:tr>
      <w:tr w:rsidRPr="003E113F" w:rsidR="000D6E6A" w:rsidTr="003E113F">
        <w:tblPrEx>
          <w:tblCellMar>
            <w:top w:w="0" w:type="dxa"/>
            <w:left w:w="0" w:type="dxa"/>
            <w:bottom w:w="0" w:type="dxa"/>
            <w:right w:w="0" w:type="dxa"/>
          </w:tblCellMar>
        </w:tblPrEx>
        <w:trPr>
          <w:trHeight w:val="113"/>
        </w:trPr>
        <w:tc>
          <w:tcPr>
            <w:tcW w:w="3005"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3E113F" w:rsidR="000D6E6A" w:rsidP="003E113F" w:rsidRDefault="000D6E6A">
            <w:pPr>
              <w:pStyle w:val="bodycopytabletable"/>
            </w:pPr>
            <w:r w:rsidRPr="003E113F">
              <w:rPr>
                <w:rStyle w:val="medium"/>
                <w:b/>
                <w:bCs/>
              </w:rPr>
              <w:t>Total financial assets</w:t>
            </w:r>
          </w:p>
        </w:tc>
        <w:tc>
          <w:tcPr>
            <w:tcW w:w="1077"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3E113F" w:rsidR="000D6E6A" w:rsidP="003E113F" w:rsidRDefault="000D6E6A">
            <w:pPr>
              <w:pStyle w:val="bodycopytabletable"/>
              <w:jc w:val="right"/>
            </w:pPr>
            <w:r w:rsidRPr="003E113F">
              <w:rPr>
                <w:rStyle w:val="medium"/>
                <w:b/>
                <w:bCs/>
              </w:rPr>
              <w:t xml:space="preserve">1,491 </w:t>
            </w:r>
          </w:p>
        </w:tc>
        <w:tc>
          <w:tcPr>
            <w:tcW w:w="1163"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3E113F" w:rsidR="000D6E6A" w:rsidP="003E113F" w:rsidRDefault="000D6E6A">
            <w:pPr>
              <w:pStyle w:val="bodycopytabletable"/>
              <w:jc w:val="right"/>
            </w:pPr>
            <w:r w:rsidRPr="003E113F">
              <w:rPr>
                <w:rStyle w:val="medium"/>
                <w:b/>
                <w:bCs/>
              </w:rPr>
              <w:t xml:space="preserve">1,479 </w:t>
            </w:r>
          </w:p>
        </w:tc>
        <w:tc>
          <w:tcPr>
            <w:tcW w:w="991"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3E113F" w:rsidR="000D6E6A" w:rsidP="003E113F" w:rsidRDefault="000D6E6A">
            <w:pPr>
              <w:pStyle w:val="bodycopytabletable"/>
              <w:jc w:val="right"/>
            </w:pPr>
            <w:r w:rsidRPr="003E113F">
              <w:rPr>
                <w:rStyle w:val="medium"/>
                <w:b/>
                <w:bCs/>
              </w:rPr>
              <w:t xml:space="preserve">1,584 </w:t>
            </w:r>
          </w:p>
        </w:tc>
        <w:tc>
          <w:tcPr>
            <w:tcW w:w="1561"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3E113F" w:rsidR="000D6E6A" w:rsidP="003E113F" w:rsidRDefault="000D6E6A">
            <w:pPr>
              <w:pStyle w:val="bodycopytabletable"/>
              <w:jc w:val="right"/>
            </w:pPr>
            <w:r w:rsidRPr="003E113F">
              <w:rPr>
                <w:rStyle w:val="medium"/>
                <w:b/>
                <w:bCs/>
              </w:rPr>
              <w:t xml:space="preserve">94 </w:t>
            </w:r>
          </w:p>
        </w:tc>
        <w:tc>
          <w:tcPr>
            <w:tcW w:w="1417"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3E113F" w:rsidR="000D6E6A" w:rsidP="003E113F" w:rsidRDefault="000D6E6A">
            <w:pPr>
              <w:pStyle w:val="bodycopytabletable"/>
              <w:jc w:val="right"/>
            </w:pPr>
            <w:r w:rsidRPr="003E113F">
              <w:rPr>
                <w:rStyle w:val="medium"/>
                <w:b/>
                <w:bCs/>
              </w:rPr>
              <w:t xml:space="preserve">105 </w:t>
            </w:r>
          </w:p>
        </w:tc>
        <w:tc>
          <w:tcPr>
            <w:tcW w:w="851"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3E113F" w:rsidR="000D6E6A" w:rsidP="003E113F" w:rsidRDefault="000D6E6A">
            <w:pPr>
              <w:pStyle w:val="NoParagraphStyle"/>
              <w:spacing w:line="240" w:lineRule="auto"/>
              <w:textAlignment w:val="auto"/>
              <w:rPr>
                <w:color w:val="auto"/>
                <w:sz w:val="16"/>
                <w:szCs w:val="16"/>
              </w:rPr>
            </w:pPr>
          </w:p>
        </w:tc>
      </w:tr>
      <w:tr w:rsidRPr="003E113F" w:rsidR="000D6E6A" w:rsidTr="003E113F">
        <w:tblPrEx>
          <w:tblCellMar>
            <w:top w:w="0" w:type="dxa"/>
            <w:left w:w="0" w:type="dxa"/>
            <w:bottom w:w="0" w:type="dxa"/>
            <w:right w:w="0" w:type="dxa"/>
          </w:tblCellMar>
        </w:tblPrEx>
        <w:trPr>
          <w:trHeight w:val="113"/>
        </w:trPr>
        <w:tc>
          <w:tcPr>
            <w:tcW w:w="3005" w:type="dxa"/>
            <w:tcBorders>
              <w:top w:val="single"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pPr>
            <w:r w:rsidRPr="003E113F">
              <w:rPr>
                <w:rStyle w:val="medium"/>
                <w:b/>
                <w:bCs/>
              </w:rPr>
              <w:t>Non-financial assets</w:t>
            </w:r>
          </w:p>
        </w:tc>
        <w:tc>
          <w:tcPr>
            <w:tcW w:w="1077" w:type="dxa"/>
            <w:tcBorders>
              <w:top w:val="single"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NoParagraphStyle"/>
              <w:spacing w:line="240" w:lineRule="auto"/>
              <w:textAlignment w:val="auto"/>
              <w:rPr>
                <w:color w:val="auto"/>
                <w:sz w:val="16"/>
                <w:szCs w:val="16"/>
              </w:rPr>
            </w:pPr>
          </w:p>
        </w:tc>
        <w:tc>
          <w:tcPr>
            <w:tcW w:w="1163" w:type="dxa"/>
            <w:tcBorders>
              <w:top w:val="single"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NoParagraphStyle"/>
              <w:spacing w:line="240" w:lineRule="auto"/>
              <w:textAlignment w:val="auto"/>
              <w:rPr>
                <w:color w:val="auto"/>
                <w:sz w:val="16"/>
                <w:szCs w:val="16"/>
              </w:rPr>
            </w:pPr>
          </w:p>
        </w:tc>
        <w:tc>
          <w:tcPr>
            <w:tcW w:w="991" w:type="dxa"/>
            <w:tcBorders>
              <w:top w:val="single"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NoParagraphStyle"/>
              <w:spacing w:line="240" w:lineRule="auto"/>
              <w:textAlignment w:val="auto"/>
              <w:rPr>
                <w:color w:val="auto"/>
                <w:sz w:val="16"/>
                <w:szCs w:val="16"/>
              </w:rPr>
            </w:pPr>
          </w:p>
        </w:tc>
        <w:tc>
          <w:tcPr>
            <w:tcW w:w="1561" w:type="dxa"/>
            <w:tcBorders>
              <w:top w:val="single"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NoParagraphStyle"/>
              <w:spacing w:line="240" w:lineRule="auto"/>
              <w:textAlignment w:val="auto"/>
              <w:rPr>
                <w:color w:val="auto"/>
                <w:sz w:val="16"/>
                <w:szCs w:val="16"/>
              </w:rPr>
            </w:pPr>
          </w:p>
        </w:tc>
        <w:tc>
          <w:tcPr>
            <w:tcW w:w="1417" w:type="dxa"/>
            <w:tcBorders>
              <w:top w:val="single"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NoParagraphStyle"/>
              <w:spacing w:line="240" w:lineRule="auto"/>
              <w:textAlignment w:val="auto"/>
              <w:rPr>
                <w:color w:val="auto"/>
                <w:sz w:val="16"/>
                <w:szCs w:val="16"/>
              </w:rPr>
            </w:pPr>
          </w:p>
        </w:tc>
        <w:tc>
          <w:tcPr>
            <w:tcW w:w="851" w:type="dxa"/>
            <w:tcBorders>
              <w:top w:val="single"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NoParagraphStyle"/>
              <w:spacing w:line="240" w:lineRule="auto"/>
              <w:textAlignment w:val="auto"/>
              <w:rPr>
                <w:color w:val="auto"/>
                <w:sz w:val="16"/>
                <w:szCs w:val="16"/>
              </w:rPr>
            </w:pPr>
          </w:p>
        </w:tc>
      </w:tr>
      <w:tr w:rsidRPr="003E113F" w:rsidR="000D6E6A" w:rsidTr="003E113F">
        <w:tblPrEx>
          <w:tblCellMar>
            <w:top w:w="0" w:type="dxa"/>
            <w:left w:w="0" w:type="dxa"/>
            <w:bottom w:w="0" w:type="dxa"/>
            <w:right w:w="0" w:type="dxa"/>
          </w:tblCellMar>
        </w:tblPrEx>
        <w:trPr>
          <w:trHeight w:val="113"/>
        </w:trPr>
        <w:tc>
          <w:tcPr>
            <w:tcW w:w="3005"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pPr>
            <w:r w:rsidRPr="003E113F">
              <w:t>Inventories</w:t>
            </w:r>
          </w:p>
        </w:tc>
        <w:tc>
          <w:tcPr>
            <w:tcW w:w="1077"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13 </w:t>
            </w:r>
          </w:p>
        </w:tc>
        <w:tc>
          <w:tcPr>
            <w:tcW w:w="1163"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15 </w:t>
            </w:r>
          </w:p>
        </w:tc>
        <w:tc>
          <w:tcPr>
            <w:tcW w:w="99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17 </w:t>
            </w:r>
          </w:p>
        </w:tc>
        <w:tc>
          <w:tcPr>
            <w:tcW w:w="156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4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2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NoParagraphStyle"/>
              <w:spacing w:line="240" w:lineRule="auto"/>
              <w:textAlignment w:val="auto"/>
              <w:rPr>
                <w:color w:val="auto"/>
                <w:sz w:val="16"/>
                <w:szCs w:val="16"/>
              </w:rPr>
            </w:pPr>
          </w:p>
        </w:tc>
      </w:tr>
      <w:tr w:rsidRPr="003E113F" w:rsidR="000D6E6A" w:rsidTr="003E113F">
        <w:tblPrEx>
          <w:tblCellMar>
            <w:top w:w="0" w:type="dxa"/>
            <w:left w:w="0" w:type="dxa"/>
            <w:bottom w:w="0" w:type="dxa"/>
            <w:right w:w="0" w:type="dxa"/>
          </w:tblCellMar>
        </w:tblPrEx>
        <w:trPr>
          <w:trHeight w:val="113"/>
        </w:trPr>
        <w:tc>
          <w:tcPr>
            <w:tcW w:w="3005"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pPr>
            <w:r w:rsidRPr="003E113F">
              <w:rPr>
                <w:spacing w:val="-5"/>
              </w:rPr>
              <w:t>Non-financial assets classified as held for sale including disposal group assets</w:t>
            </w:r>
          </w:p>
        </w:tc>
        <w:tc>
          <w:tcPr>
            <w:tcW w:w="1077"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8 </w:t>
            </w:r>
          </w:p>
        </w:tc>
        <w:tc>
          <w:tcPr>
            <w:tcW w:w="1163"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6 </w:t>
            </w:r>
          </w:p>
        </w:tc>
        <w:tc>
          <w:tcPr>
            <w:tcW w:w="99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2 </w:t>
            </w:r>
          </w:p>
        </w:tc>
        <w:tc>
          <w:tcPr>
            <w:tcW w:w="156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(6)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(4)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NoParagraphStyle"/>
              <w:spacing w:line="240" w:lineRule="auto"/>
              <w:textAlignment w:val="auto"/>
              <w:rPr>
                <w:color w:val="auto"/>
                <w:sz w:val="16"/>
                <w:szCs w:val="16"/>
              </w:rPr>
            </w:pPr>
          </w:p>
        </w:tc>
      </w:tr>
      <w:tr w:rsidRPr="003E113F" w:rsidR="000D6E6A" w:rsidTr="003E113F">
        <w:tblPrEx>
          <w:tblCellMar>
            <w:top w:w="0" w:type="dxa"/>
            <w:left w:w="0" w:type="dxa"/>
            <w:bottom w:w="0" w:type="dxa"/>
            <w:right w:w="0" w:type="dxa"/>
          </w:tblCellMar>
        </w:tblPrEx>
        <w:trPr>
          <w:trHeight w:val="113"/>
        </w:trPr>
        <w:tc>
          <w:tcPr>
            <w:tcW w:w="3005"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pPr>
            <w:r w:rsidRPr="003E113F">
              <w:t>Property, plant and equipment</w:t>
            </w:r>
          </w:p>
        </w:tc>
        <w:tc>
          <w:tcPr>
            <w:tcW w:w="1077"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5,320 </w:t>
            </w:r>
          </w:p>
        </w:tc>
        <w:tc>
          <w:tcPr>
            <w:tcW w:w="1163"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5,312 </w:t>
            </w:r>
          </w:p>
        </w:tc>
        <w:tc>
          <w:tcPr>
            <w:tcW w:w="99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5,264 </w:t>
            </w:r>
          </w:p>
        </w:tc>
        <w:tc>
          <w:tcPr>
            <w:tcW w:w="156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(56)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(48)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(v)</w:t>
            </w:r>
          </w:p>
        </w:tc>
      </w:tr>
      <w:tr w:rsidRPr="003E113F" w:rsidR="000D6E6A" w:rsidTr="003E113F">
        <w:tblPrEx>
          <w:tblCellMar>
            <w:top w:w="0" w:type="dxa"/>
            <w:left w:w="0" w:type="dxa"/>
            <w:bottom w:w="0" w:type="dxa"/>
            <w:right w:w="0" w:type="dxa"/>
          </w:tblCellMar>
        </w:tblPrEx>
        <w:trPr>
          <w:trHeight w:val="113"/>
        </w:trPr>
        <w:tc>
          <w:tcPr>
            <w:tcW w:w="3005"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pPr>
            <w:r w:rsidRPr="003E113F">
              <w:t>Intangible assets</w:t>
            </w:r>
          </w:p>
        </w:tc>
        <w:tc>
          <w:tcPr>
            <w:tcW w:w="1077"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80 </w:t>
            </w:r>
          </w:p>
        </w:tc>
        <w:tc>
          <w:tcPr>
            <w:tcW w:w="1163"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123 </w:t>
            </w:r>
          </w:p>
        </w:tc>
        <w:tc>
          <w:tcPr>
            <w:tcW w:w="99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147 </w:t>
            </w:r>
          </w:p>
        </w:tc>
        <w:tc>
          <w:tcPr>
            <w:tcW w:w="156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67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24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(vi)</w:t>
            </w:r>
          </w:p>
        </w:tc>
      </w:tr>
      <w:tr w:rsidRPr="003E113F" w:rsidR="000D6E6A" w:rsidTr="003E113F">
        <w:tblPrEx>
          <w:tblCellMar>
            <w:top w:w="0" w:type="dxa"/>
            <w:left w:w="0" w:type="dxa"/>
            <w:bottom w:w="0" w:type="dxa"/>
            <w:right w:w="0" w:type="dxa"/>
          </w:tblCellMar>
        </w:tblPrEx>
        <w:trPr>
          <w:trHeight w:val="113"/>
        </w:trPr>
        <w:tc>
          <w:tcPr>
            <w:tcW w:w="3005"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pPr>
            <w:r w:rsidRPr="003E113F">
              <w:t>Other</w:t>
            </w:r>
          </w:p>
        </w:tc>
        <w:tc>
          <w:tcPr>
            <w:tcW w:w="1077"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19 </w:t>
            </w:r>
          </w:p>
        </w:tc>
        <w:tc>
          <w:tcPr>
            <w:tcW w:w="1163"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29 </w:t>
            </w:r>
          </w:p>
        </w:tc>
        <w:tc>
          <w:tcPr>
            <w:tcW w:w="99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42 </w:t>
            </w:r>
          </w:p>
        </w:tc>
        <w:tc>
          <w:tcPr>
            <w:tcW w:w="156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23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13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(vii)</w:t>
            </w:r>
          </w:p>
        </w:tc>
      </w:tr>
      <w:tr w:rsidRPr="003E113F" w:rsidR="000D6E6A" w:rsidTr="003E113F">
        <w:tblPrEx>
          <w:tblCellMar>
            <w:top w:w="0" w:type="dxa"/>
            <w:left w:w="0" w:type="dxa"/>
            <w:bottom w:w="0" w:type="dxa"/>
            <w:right w:w="0" w:type="dxa"/>
          </w:tblCellMar>
        </w:tblPrEx>
        <w:trPr>
          <w:trHeight w:val="113"/>
        </w:trPr>
        <w:tc>
          <w:tcPr>
            <w:tcW w:w="3005"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3E113F" w:rsidR="000D6E6A" w:rsidP="003E113F" w:rsidRDefault="000D6E6A">
            <w:pPr>
              <w:pStyle w:val="bodycopytabletable"/>
            </w:pPr>
            <w:r w:rsidRPr="003E113F">
              <w:rPr>
                <w:rStyle w:val="medium"/>
                <w:b/>
                <w:bCs/>
              </w:rPr>
              <w:t>Total non-financial assets</w:t>
            </w:r>
          </w:p>
        </w:tc>
        <w:tc>
          <w:tcPr>
            <w:tcW w:w="1077"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3E113F" w:rsidR="000D6E6A" w:rsidP="003E113F" w:rsidRDefault="000D6E6A">
            <w:pPr>
              <w:pStyle w:val="bodycopytabletable"/>
              <w:jc w:val="right"/>
            </w:pPr>
            <w:r w:rsidRPr="003E113F">
              <w:rPr>
                <w:rStyle w:val="medium"/>
                <w:b/>
                <w:bCs/>
              </w:rPr>
              <w:t xml:space="preserve">5,440 </w:t>
            </w:r>
          </w:p>
        </w:tc>
        <w:tc>
          <w:tcPr>
            <w:tcW w:w="1163"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3E113F" w:rsidR="000D6E6A" w:rsidP="003E113F" w:rsidRDefault="000D6E6A">
            <w:pPr>
              <w:pStyle w:val="bodycopytabletable"/>
              <w:jc w:val="right"/>
            </w:pPr>
            <w:r w:rsidRPr="003E113F">
              <w:rPr>
                <w:rStyle w:val="medium"/>
                <w:b/>
                <w:bCs/>
              </w:rPr>
              <w:t xml:space="preserve">5,485 </w:t>
            </w:r>
          </w:p>
        </w:tc>
        <w:tc>
          <w:tcPr>
            <w:tcW w:w="991"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3E113F" w:rsidR="000D6E6A" w:rsidP="003E113F" w:rsidRDefault="000D6E6A">
            <w:pPr>
              <w:pStyle w:val="bodycopytabletable"/>
              <w:jc w:val="right"/>
            </w:pPr>
            <w:r w:rsidRPr="003E113F">
              <w:rPr>
                <w:rStyle w:val="medium"/>
                <w:b/>
                <w:bCs/>
              </w:rPr>
              <w:t xml:space="preserve">5,472 </w:t>
            </w:r>
          </w:p>
        </w:tc>
        <w:tc>
          <w:tcPr>
            <w:tcW w:w="1561"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3E113F" w:rsidR="000D6E6A" w:rsidP="003E113F" w:rsidRDefault="000D6E6A">
            <w:pPr>
              <w:pStyle w:val="bodycopytabletable"/>
              <w:jc w:val="right"/>
            </w:pPr>
            <w:r w:rsidRPr="003E113F">
              <w:rPr>
                <w:rStyle w:val="medium"/>
                <w:b/>
                <w:bCs/>
              </w:rPr>
              <w:t xml:space="preserve">32 </w:t>
            </w:r>
          </w:p>
        </w:tc>
        <w:tc>
          <w:tcPr>
            <w:tcW w:w="1417"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3E113F" w:rsidR="000D6E6A" w:rsidP="003E113F" w:rsidRDefault="000D6E6A">
            <w:pPr>
              <w:pStyle w:val="bodycopytabletable"/>
              <w:jc w:val="right"/>
            </w:pPr>
            <w:r w:rsidRPr="003E113F">
              <w:rPr>
                <w:rStyle w:val="medium"/>
                <w:b/>
                <w:bCs/>
              </w:rPr>
              <w:t xml:space="preserve">(13) </w:t>
            </w:r>
          </w:p>
        </w:tc>
        <w:tc>
          <w:tcPr>
            <w:tcW w:w="851"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3E113F" w:rsidR="000D6E6A" w:rsidP="003E113F" w:rsidRDefault="000D6E6A">
            <w:pPr>
              <w:pStyle w:val="NoParagraphStyle"/>
              <w:spacing w:line="240" w:lineRule="auto"/>
              <w:textAlignment w:val="auto"/>
              <w:rPr>
                <w:color w:val="auto"/>
                <w:sz w:val="16"/>
                <w:szCs w:val="16"/>
              </w:rPr>
            </w:pPr>
          </w:p>
        </w:tc>
      </w:tr>
      <w:tr w:rsidRPr="003E113F" w:rsidR="000D6E6A" w:rsidTr="003E113F">
        <w:tblPrEx>
          <w:tblCellMar>
            <w:top w:w="0" w:type="dxa"/>
            <w:left w:w="0" w:type="dxa"/>
            <w:bottom w:w="0" w:type="dxa"/>
            <w:right w:w="0" w:type="dxa"/>
          </w:tblCellMar>
        </w:tblPrEx>
        <w:trPr>
          <w:trHeight w:val="113"/>
        </w:trPr>
        <w:tc>
          <w:tcPr>
            <w:tcW w:w="3005"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3E113F" w:rsidR="000D6E6A" w:rsidP="003E113F" w:rsidRDefault="000D6E6A">
            <w:pPr>
              <w:pStyle w:val="bodycopytabletable"/>
            </w:pPr>
            <w:r w:rsidRPr="003E113F">
              <w:rPr>
                <w:rStyle w:val="medium"/>
                <w:b/>
                <w:bCs/>
              </w:rPr>
              <w:t>Total assets</w:t>
            </w:r>
          </w:p>
        </w:tc>
        <w:tc>
          <w:tcPr>
            <w:tcW w:w="1077"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3E113F" w:rsidR="000D6E6A" w:rsidP="003E113F" w:rsidRDefault="000D6E6A">
            <w:pPr>
              <w:pStyle w:val="bodycopytabletable"/>
              <w:jc w:val="right"/>
            </w:pPr>
            <w:r w:rsidRPr="003E113F">
              <w:rPr>
                <w:rStyle w:val="medium"/>
                <w:b/>
                <w:bCs/>
              </w:rPr>
              <w:t xml:space="preserve">6,931 </w:t>
            </w:r>
          </w:p>
        </w:tc>
        <w:tc>
          <w:tcPr>
            <w:tcW w:w="1163"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3E113F" w:rsidR="000D6E6A" w:rsidP="003E113F" w:rsidRDefault="000D6E6A">
            <w:pPr>
              <w:pStyle w:val="bodycopytabletable"/>
              <w:jc w:val="right"/>
            </w:pPr>
            <w:r w:rsidRPr="003E113F">
              <w:rPr>
                <w:rStyle w:val="medium"/>
                <w:b/>
                <w:bCs/>
              </w:rPr>
              <w:t xml:space="preserve">6,964 </w:t>
            </w:r>
          </w:p>
        </w:tc>
        <w:tc>
          <w:tcPr>
            <w:tcW w:w="991"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3E113F" w:rsidR="000D6E6A" w:rsidP="003E113F" w:rsidRDefault="000D6E6A">
            <w:pPr>
              <w:pStyle w:val="bodycopytabletable"/>
              <w:jc w:val="right"/>
            </w:pPr>
            <w:r w:rsidRPr="003E113F">
              <w:rPr>
                <w:rStyle w:val="medium"/>
                <w:b/>
                <w:bCs/>
              </w:rPr>
              <w:t xml:space="preserve">7,056 </w:t>
            </w:r>
          </w:p>
        </w:tc>
        <w:tc>
          <w:tcPr>
            <w:tcW w:w="1561"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3E113F" w:rsidR="000D6E6A" w:rsidP="003E113F" w:rsidRDefault="000D6E6A">
            <w:pPr>
              <w:pStyle w:val="bodycopytabletable"/>
              <w:jc w:val="right"/>
            </w:pPr>
            <w:r w:rsidRPr="003E113F">
              <w:rPr>
                <w:rStyle w:val="medium"/>
                <w:b/>
                <w:bCs/>
              </w:rPr>
              <w:t xml:space="preserve">126 </w:t>
            </w:r>
          </w:p>
        </w:tc>
        <w:tc>
          <w:tcPr>
            <w:tcW w:w="1417"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3E113F" w:rsidR="000D6E6A" w:rsidP="003E113F" w:rsidRDefault="000D6E6A">
            <w:pPr>
              <w:pStyle w:val="bodycopytabletable"/>
              <w:jc w:val="right"/>
            </w:pPr>
            <w:r w:rsidRPr="003E113F">
              <w:rPr>
                <w:rStyle w:val="medium"/>
                <w:b/>
                <w:bCs/>
              </w:rPr>
              <w:t xml:space="preserve">92 </w:t>
            </w:r>
          </w:p>
        </w:tc>
        <w:tc>
          <w:tcPr>
            <w:tcW w:w="851"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3E113F" w:rsidR="000D6E6A" w:rsidP="003E113F" w:rsidRDefault="000D6E6A">
            <w:pPr>
              <w:pStyle w:val="NoParagraphStyle"/>
              <w:spacing w:line="240" w:lineRule="auto"/>
              <w:textAlignment w:val="auto"/>
              <w:rPr>
                <w:color w:val="auto"/>
                <w:sz w:val="16"/>
                <w:szCs w:val="16"/>
              </w:rPr>
            </w:pPr>
          </w:p>
        </w:tc>
      </w:tr>
      <w:tr w:rsidRPr="003E113F" w:rsidR="000D6E6A" w:rsidTr="003E113F">
        <w:tblPrEx>
          <w:tblCellMar>
            <w:top w:w="0" w:type="dxa"/>
            <w:left w:w="0" w:type="dxa"/>
            <w:bottom w:w="0" w:type="dxa"/>
            <w:right w:w="0" w:type="dxa"/>
          </w:tblCellMar>
        </w:tblPrEx>
        <w:trPr>
          <w:trHeight w:val="113"/>
        </w:trPr>
        <w:tc>
          <w:tcPr>
            <w:tcW w:w="3005" w:type="dxa"/>
            <w:tcBorders>
              <w:top w:val="single"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pPr>
            <w:r w:rsidRPr="003E113F">
              <w:rPr>
                <w:rStyle w:val="mediumpurple"/>
                <w:b/>
                <w:bCs/>
              </w:rPr>
              <w:t>Liabilities</w:t>
            </w:r>
          </w:p>
        </w:tc>
        <w:tc>
          <w:tcPr>
            <w:tcW w:w="1077" w:type="dxa"/>
            <w:tcBorders>
              <w:top w:val="single"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NoParagraphStyle"/>
              <w:spacing w:line="240" w:lineRule="auto"/>
              <w:textAlignment w:val="auto"/>
              <w:rPr>
                <w:color w:val="auto"/>
                <w:sz w:val="16"/>
                <w:szCs w:val="16"/>
              </w:rPr>
            </w:pPr>
          </w:p>
        </w:tc>
        <w:tc>
          <w:tcPr>
            <w:tcW w:w="1163" w:type="dxa"/>
            <w:tcBorders>
              <w:top w:val="single"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NoParagraphStyle"/>
              <w:spacing w:line="240" w:lineRule="auto"/>
              <w:textAlignment w:val="auto"/>
              <w:rPr>
                <w:color w:val="auto"/>
                <w:sz w:val="16"/>
                <w:szCs w:val="16"/>
              </w:rPr>
            </w:pPr>
          </w:p>
        </w:tc>
        <w:tc>
          <w:tcPr>
            <w:tcW w:w="991" w:type="dxa"/>
            <w:tcBorders>
              <w:top w:val="single"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NoParagraphStyle"/>
              <w:spacing w:line="240" w:lineRule="auto"/>
              <w:textAlignment w:val="auto"/>
              <w:rPr>
                <w:color w:val="auto"/>
                <w:sz w:val="16"/>
                <w:szCs w:val="16"/>
              </w:rPr>
            </w:pPr>
          </w:p>
        </w:tc>
        <w:tc>
          <w:tcPr>
            <w:tcW w:w="1561" w:type="dxa"/>
            <w:tcBorders>
              <w:top w:val="single"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NoParagraphStyle"/>
              <w:spacing w:line="240" w:lineRule="auto"/>
              <w:textAlignment w:val="auto"/>
              <w:rPr>
                <w:color w:val="auto"/>
                <w:sz w:val="16"/>
                <w:szCs w:val="16"/>
              </w:rPr>
            </w:pPr>
          </w:p>
        </w:tc>
        <w:tc>
          <w:tcPr>
            <w:tcW w:w="1417" w:type="dxa"/>
            <w:tcBorders>
              <w:top w:val="single"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NoParagraphStyle"/>
              <w:spacing w:line="240" w:lineRule="auto"/>
              <w:textAlignment w:val="auto"/>
              <w:rPr>
                <w:color w:val="auto"/>
                <w:sz w:val="16"/>
                <w:szCs w:val="16"/>
              </w:rPr>
            </w:pPr>
          </w:p>
        </w:tc>
        <w:tc>
          <w:tcPr>
            <w:tcW w:w="851" w:type="dxa"/>
            <w:tcBorders>
              <w:top w:val="single"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NoParagraphStyle"/>
              <w:spacing w:line="240" w:lineRule="auto"/>
              <w:textAlignment w:val="auto"/>
              <w:rPr>
                <w:color w:val="auto"/>
                <w:sz w:val="16"/>
                <w:szCs w:val="16"/>
              </w:rPr>
            </w:pPr>
          </w:p>
        </w:tc>
      </w:tr>
      <w:tr w:rsidRPr="003E113F" w:rsidR="000D6E6A" w:rsidTr="003E113F">
        <w:tblPrEx>
          <w:tblCellMar>
            <w:top w:w="0" w:type="dxa"/>
            <w:left w:w="0" w:type="dxa"/>
            <w:bottom w:w="0" w:type="dxa"/>
            <w:right w:w="0" w:type="dxa"/>
          </w:tblCellMar>
        </w:tblPrEx>
        <w:trPr>
          <w:trHeight w:val="113"/>
        </w:trPr>
        <w:tc>
          <w:tcPr>
            <w:tcW w:w="3005"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pPr>
            <w:r w:rsidRPr="003E113F">
              <w:t>Payables</w:t>
            </w:r>
          </w:p>
        </w:tc>
        <w:tc>
          <w:tcPr>
            <w:tcW w:w="1077"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302 </w:t>
            </w:r>
          </w:p>
        </w:tc>
        <w:tc>
          <w:tcPr>
            <w:tcW w:w="1163"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355 </w:t>
            </w:r>
          </w:p>
        </w:tc>
        <w:tc>
          <w:tcPr>
            <w:tcW w:w="99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471 </w:t>
            </w:r>
          </w:p>
        </w:tc>
        <w:tc>
          <w:tcPr>
            <w:tcW w:w="156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169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116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(viii)</w:t>
            </w:r>
          </w:p>
        </w:tc>
      </w:tr>
      <w:tr w:rsidRPr="003E113F" w:rsidR="000D6E6A" w:rsidTr="003E113F">
        <w:tblPrEx>
          <w:tblCellMar>
            <w:top w:w="0" w:type="dxa"/>
            <w:left w:w="0" w:type="dxa"/>
            <w:bottom w:w="0" w:type="dxa"/>
            <w:right w:w="0" w:type="dxa"/>
          </w:tblCellMar>
        </w:tblPrEx>
        <w:trPr>
          <w:trHeight w:val="113"/>
        </w:trPr>
        <w:tc>
          <w:tcPr>
            <w:tcW w:w="3005"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pPr>
            <w:r w:rsidRPr="003E113F">
              <w:t>Borrowings</w:t>
            </w:r>
          </w:p>
        </w:tc>
        <w:tc>
          <w:tcPr>
            <w:tcW w:w="1077"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676 </w:t>
            </w:r>
          </w:p>
        </w:tc>
        <w:tc>
          <w:tcPr>
            <w:tcW w:w="1163"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705 </w:t>
            </w:r>
          </w:p>
        </w:tc>
        <w:tc>
          <w:tcPr>
            <w:tcW w:w="99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730 </w:t>
            </w:r>
          </w:p>
        </w:tc>
        <w:tc>
          <w:tcPr>
            <w:tcW w:w="156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54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25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(ix)</w:t>
            </w:r>
          </w:p>
        </w:tc>
      </w:tr>
      <w:tr w:rsidRPr="003E113F" w:rsidR="000D6E6A" w:rsidTr="003E113F">
        <w:tblPrEx>
          <w:tblCellMar>
            <w:top w:w="0" w:type="dxa"/>
            <w:left w:w="0" w:type="dxa"/>
            <w:bottom w:w="0" w:type="dxa"/>
            <w:right w:w="0" w:type="dxa"/>
          </w:tblCellMar>
        </w:tblPrEx>
        <w:trPr>
          <w:trHeight w:val="113"/>
        </w:trPr>
        <w:tc>
          <w:tcPr>
            <w:tcW w:w="3005"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pPr>
            <w:r w:rsidRPr="003E113F">
              <w:t>Provisions</w:t>
            </w:r>
          </w:p>
        </w:tc>
        <w:tc>
          <w:tcPr>
            <w:tcW w:w="1077"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838 </w:t>
            </w:r>
          </w:p>
        </w:tc>
        <w:tc>
          <w:tcPr>
            <w:tcW w:w="1163"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824 </w:t>
            </w:r>
          </w:p>
        </w:tc>
        <w:tc>
          <w:tcPr>
            <w:tcW w:w="99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847 </w:t>
            </w:r>
          </w:p>
        </w:tc>
        <w:tc>
          <w:tcPr>
            <w:tcW w:w="156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9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23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NoParagraphStyle"/>
              <w:spacing w:line="240" w:lineRule="auto"/>
              <w:textAlignment w:val="auto"/>
              <w:rPr>
                <w:color w:val="auto"/>
                <w:sz w:val="16"/>
                <w:szCs w:val="16"/>
              </w:rPr>
            </w:pPr>
          </w:p>
        </w:tc>
      </w:tr>
      <w:tr w:rsidRPr="003E113F" w:rsidR="000D6E6A" w:rsidTr="003E113F">
        <w:tblPrEx>
          <w:tblCellMar>
            <w:top w:w="0" w:type="dxa"/>
            <w:left w:w="0" w:type="dxa"/>
            <w:bottom w:w="0" w:type="dxa"/>
            <w:right w:w="0" w:type="dxa"/>
          </w:tblCellMar>
        </w:tblPrEx>
        <w:trPr>
          <w:trHeight w:val="113"/>
        </w:trPr>
        <w:tc>
          <w:tcPr>
            <w:tcW w:w="3005"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3E113F" w:rsidR="000D6E6A" w:rsidP="003E113F" w:rsidRDefault="000D6E6A">
            <w:pPr>
              <w:pStyle w:val="bodycopytabletable"/>
            </w:pPr>
            <w:r w:rsidRPr="003E113F">
              <w:rPr>
                <w:rStyle w:val="medium"/>
                <w:b/>
                <w:bCs/>
              </w:rPr>
              <w:t>Total liabilities</w:t>
            </w:r>
          </w:p>
        </w:tc>
        <w:tc>
          <w:tcPr>
            <w:tcW w:w="1077"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3E113F" w:rsidR="000D6E6A" w:rsidP="003E113F" w:rsidRDefault="000D6E6A">
            <w:pPr>
              <w:pStyle w:val="bodycopytabletable"/>
              <w:jc w:val="right"/>
            </w:pPr>
            <w:r w:rsidRPr="003E113F">
              <w:rPr>
                <w:rStyle w:val="medium"/>
                <w:b/>
                <w:bCs/>
              </w:rPr>
              <w:t xml:space="preserve">1,815 </w:t>
            </w:r>
          </w:p>
        </w:tc>
        <w:tc>
          <w:tcPr>
            <w:tcW w:w="1163"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3E113F" w:rsidR="000D6E6A" w:rsidP="003E113F" w:rsidRDefault="000D6E6A">
            <w:pPr>
              <w:pStyle w:val="bodycopytabletable"/>
              <w:jc w:val="right"/>
            </w:pPr>
            <w:r w:rsidRPr="003E113F">
              <w:rPr>
                <w:rStyle w:val="medium"/>
                <w:b/>
                <w:bCs/>
              </w:rPr>
              <w:t xml:space="preserve">1,884 </w:t>
            </w:r>
          </w:p>
        </w:tc>
        <w:tc>
          <w:tcPr>
            <w:tcW w:w="991"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3E113F" w:rsidR="000D6E6A" w:rsidP="003E113F" w:rsidRDefault="000D6E6A">
            <w:pPr>
              <w:pStyle w:val="bodycopytabletable"/>
              <w:jc w:val="right"/>
            </w:pPr>
            <w:r w:rsidRPr="003E113F">
              <w:rPr>
                <w:rStyle w:val="medium"/>
                <w:b/>
                <w:bCs/>
              </w:rPr>
              <w:t xml:space="preserve">2,048 </w:t>
            </w:r>
          </w:p>
        </w:tc>
        <w:tc>
          <w:tcPr>
            <w:tcW w:w="1561"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3E113F" w:rsidR="000D6E6A" w:rsidP="003E113F" w:rsidRDefault="000D6E6A">
            <w:pPr>
              <w:pStyle w:val="bodycopytabletable"/>
              <w:jc w:val="right"/>
            </w:pPr>
            <w:r w:rsidRPr="003E113F">
              <w:rPr>
                <w:rStyle w:val="medium"/>
                <w:b/>
                <w:bCs/>
              </w:rPr>
              <w:t xml:space="preserve">232 </w:t>
            </w:r>
          </w:p>
        </w:tc>
        <w:tc>
          <w:tcPr>
            <w:tcW w:w="1417"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3E113F" w:rsidR="000D6E6A" w:rsidP="003E113F" w:rsidRDefault="000D6E6A">
            <w:pPr>
              <w:pStyle w:val="bodycopytabletable"/>
              <w:jc w:val="right"/>
            </w:pPr>
            <w:r w:rsidRPr="003E113F">
              <w:rPr>
                <w:rStyle w:val="medium"/>
                <w:b/>
                <w:bCs/>
              </w:rPr>
              <w:t xml:space="preserve">164 </w:t>
            </w:r>
          </w:p>
        </w:tc>
        <w:tc>
          <w:tcPr>
            <w:tcW w:w="851"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3E113F" w:rsidR="000D6E6A" w:rsidP="003E113F" w:rsidRDefault="000D6E6A">
            <w:pPr>
              <w:pStyle w:val="NoParagraphStyle"/>
              <w:spacing w:line="240" w:lineRule="auto"/>
              <w:textAlignment w:val="auto"/>
              <w:rPr>
                <w:color w:val="auto"/>
                <w:sz w:val="16"/>
                <w:szCs w:val="16"/>
              </w:rPr>
            </w:pPr>
          </w:p>
        </w:tc>
      </w:tr>
      <w:tr w:rsidRPr="003E113F" w:rsidR="000D6E6A" w:rsidTr="003E113F">
        <w:tblPrEx>
          <w:tblCellMar>
            <w:top w:w="0" w:type="dxa"/>
            <w:left w:w="0" w:type="dxa"/>
            <w:bottom w:w="0" w:type="dxa"/>
            <w:right w:w="0" w:type="dxa"/>
          </w:tblCellMar>
        </w:tblPrEx>
        <w:trPr>
          <w:trHeight w:val="113"/>
        </w:trPr>
        <w:tc>
          <w:tcPr>
            <w:tcW w:w="3005"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3E113F" w:rsidR="000D6E6A" w:rsidP="003E113F" w:rsidRDefault="000D6E6A">
            <w:pPr>
              <w:pStyle w:val="bodycopytabletable"/>
            </w:pPr>
            <w:r w:rsidRPr="003E113F">
              <w:rPr>
                <w:rStyle w:val="medium"/>
                <w:b/>
                <w:bCs/>
              </w:rPr>
              <w:lastRenderedPageBreak/>
              <w:t>Net assets</w:t>
            </w:r>
          </w:p>
        </w:tc>
        <w:tc>
          <w:tcPr>
            <w:tcW w:w="1077"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3E113F" w:rsidR="000D6E6A" w:rsidP="003E113F" w:rsidRDefault="000D6E6A">
            <w:pPr>
              <w:pStyle w:val="bodycopytabletable"/>
              <w:jc w:val="right"/>
            </w:pPr>
            <w:r w:rsidRPr="003E113F">
              <w:rPr>
                <w:rStyle w:val="medium"/>
                <w:b/>
                <w:bCs/>
              </w:rPr>
              <w:t xml:space="preserve">5,115 </w:t>
            </w:r>
          </w:p>
        </w:tc>
        <w:tc>
          <w:tcPr>
            <w:tcW w:w="1163"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3E113F" w:rsidR="000D6E6A" w:rsidP="003E113F" w:rsidRDefault="000D6E6A">
            <w:pPr>
              <w:pStyle w:val="bodycopytabletable"/>
              <w:jc w:val="right"/>
            </w:pPr>
            <w:r w:rsidRPr="003E113F">
              <w:rPr>
                <w:rStyle w:val="medium"/>
                <w:b/>
                <w:bCs/>
              </w:rPr>
              <w:t xml:space="preserve">5,080 </w:t>
            </w:r>
          </w:p>
        </w:tc>
        <w:tc>
          <w:tcPr>
            <w:tcW w:w="991"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3E113F" w:rsidR="000D6E6A" w:rsidP="003E113F" w:rsidRDefault="000D6E6A">
            <w:pPr>
              <w:pStyle w:val="bodycopytabletable"/>
              <w:jc w:val="right"/>
            </w:pPr>
            <w:r w:rsidRPr="003E113F">
              <w:rPr>
                <w:rStyle w:val="medium"/>
                <w:b/>
                <w:bCs/>
              </w:rPr>
              <w:t xml:space="preserve">5,008 </w:t>
            </w:r>
          </w:p>
        </w:tc>
        <w:tc>
          <w:tcPr>
            <w:tcW w:w="1561"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3E113F" w:rsidR="000D6E6A" w:rsidP="003E113F" w:rsidRDefault="000D6E6A">
            <w:pPr>
              <w:pStyle w:val="bodycopytabletable"/>
              <w:jc w:val="right"/>
            </w:pPr>
            <w:r w:rsidRPr="003E113F">
              <w:rPr>
                <w:rStyle w:val="medium"/>
                <w:b/>
                <w:bCs/>
              </w:rPr>
              <w:t xml:space="preserve">(106) </w:t>
            </w:r>
          </w:p>
        </w:tc>
        <w:tc>
          <w:tcPr>
            <w:tcW w:w="1417"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3E113F" w:rsidR="000D6E6A" w:rsidP="003E113F" w:rsidRDefault="000D6E6A">
            <w:pPr>
              <w:pStyle w:val="bodycopytabletable"/>
              <w:jc w:val="right"/>
            </w:pPr>
            <w:r w:rsidRPr="003E113F">
              <w:rPr>
                <w:rStyle w:val="medium"/>
                <w:b/>
                <w:bCs/>
              </w:rPr>
              <w:t xml:space="preserve">(72) </w:t>
            </w:r>
          </w:p>
        </w:tc>
        <w:tc>
          <w:tcPr>
            <w:tcW w:w="851"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3E113F" w:rsidR="000D6E6A" w:rsidP="003E113F" w:rsidRDefault="000D6E6A">
            <w:pPr>
              <w:pStyle w:val="NoParagraphStyle"/>
              <w:spacing w:line="240" w:lineRule="auto"/>
              <w:textAlignment w:val="auto"/>
              <w:rPr>
                <w:color w:val="auto"/>
                <w:sz w:val="16"/>
                <w:szCs w:val="16"/>
              </w:rPr>
            </w:pPr>
          </w:p>
        </w:tc>
      </w:tr>
      <w:tr w:rsidRPr="003E113F" w:rsidR="000D6E6A" w:rsidTr="003E113F">
        <w:tblPrEx>
          <w:tblCellMar>
            <w:top w:w="0" w:type="dxa"/>
            <w:left w:w="0" w:type="dxa"/>
            <w:bottom w:w="0" w:type="dxa"/>
            <w:right w:w="0" w:type="dxa"/>
          </w:tblCellMar>
        </w:tblPrEx>
        <w:trPr>
          <w:trHeight w:val="113"/>
        </w:trPr>
        <w:tc>
          <w:tcPr>
            <w:tcW w:w="3005" w:type="dxa"/>
            <w:tcBorders>
              <w:top w:val="single"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pPr>
            <w:r w:rsidRPr="003E113F">
              <w:rPr>
                <w:rStyle w:val="mediumpurple"/>
                <w:b/>
                <w:bCs/>
              </w:rPr>
              <w:t>Equity</w:t>
            </w:r>
          </w:p>
        </w:tc>
        <w:tc>
          <w:tcPr>
            <w:tcW w:w="1077" w:type="dxa"/>
            <w:tcBorders>
              <w:top w:val="single"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NoParagraphStyle"/>
              <w:spacing w:line="240" w:lineRule="auto"/>
              <w:textAlignment w:val="auto"/>
              <w:rPr>
                <w:color w:val="auto"/>
                <w:sz w:val="16"/>
                <w:szCs w:val="16"/>
              </w:rPr>
            </w:pPr>
          </w:p>
        </w:tc>
        <w:tc>
          <w:tcPr>
            <w:tcW w:w="1163" w:type="dxa"/>
            <w:tcBorders>
              <w:top w:val="single"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NoParagraphStyle"/>
              <w:spacing w:line="240" w:lineRule="auto"/>
              <w:textAlignment w:val="auto"/>
              <w:rPr>
                <w:color w:val="auto"/>
                <w:sz w:val="16"/>
                <w:szCs w:val="16"/>
              </w:rPr>
            </w:pPr>
          </w:p>
        </w:tc>
        <w:tc>
          <w:tcPr>
            <w:tcW w:w="991" w:type="dxa"/>
            <w:tcBorders>
              <w:top w:val="single"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NoParagraphStyle"/>
              <w:spacing w:line="240" w:lineRule="auto"/>
              <w:textAlignment w:val="auto"/>
              <w:rPr>
                <w:color w:val="auto"/>
                <w:sz w:val="16"/>
                <w:szCs w:val="16"/>
              </w:rPr>
            </w:pPr>
          </w:p>
        </w:tc>
        <w:tc>
          <w:tcPr>
            <w:tcW w:w="1561" w:type="dxa"/>
            <w:tcBorders>
              <w:top w:val="single"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NoParagraphStyle"/>
              <w:spacing w:line="240" w:lineRule="auto"/>
              <w:textAlignment w:val="auto"/>
              <w:rPr>
                <w:color w:val="auto"/>
                <w:sz w:val="16"/>
                <w:szCs w:val="16"/>
              </w:rPr>
            </w:pPr>
          </w:p>
        </w:tc>
        <w:tc>
          <w:tcPr>
            <w:tcW w:w="1417" w:type="dxa"/>
            <w:tcBorders>
              <w:top w:val="single"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NoParagraphStyle"/>
              <w:spacing w:line="240" w:lineRule="auto"/>
              <w:textAlignment w:val="auto"/>
              <w:rPr>
                <w:color w:val="auto"/>
                <w:sz w:val="16"/>
                <w:szCs w:val="16"/>
              </w:rPr>
            </w:pPr>
          </w:p>
        </w:tc>
        <w:tc>
          <w:tcPr>
            <w:tcW w:w="851" w:type="dxa"/>
            <w:tcBorders>
              <w:top w:val="single"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NoParagraphStyle"/>
              <w:spacing w:line="240" w:lineRule="auto"/>
              <w:textAlignment w:val="auto"/>
              <w:rPr>
                <w:color w:val="auto"/>
                <w:sz w:val="16"/>
                <w:szCs w:val="16"/>
              </w:rPr>
            </w:pPr>
          </w:p>
        </w:tc>
      </w:tr>
      <w:tr w:rsidRPr="003E113F" w:rsidR="000D6E6A" w:rsidTr="003E113F">
        <w:tblPrEx>
          <w:tblCellMar>
            <w:top w:w="0" w:type="dxa"/>
            <w:left w:w="0" w:type="dxa"/>
            <w:bottom w:w="0" w:type="dxa"/>
            <w:right w:w="0" w:type="dxa"/>
          </w:tblCellMar>
        </w:tblPrEx>
        <w:trPr>
          <w:trHeight w:val="113"/>
        </w:trPr>
        <w:tc>
          <w:tcPr>
            <w:tcW w:w="3005"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pPr>
            <w:r w:rsidRPr="003E113F">
              <w:t>Accumulated surplus/(deficit)</w:t>
            </w:r>
          </w:p>
        </w:tc>
        <w:tc>
          <w:tcPr>
            <w:tcW w:w="1077"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1,160 </w:t>
            </w:r>
          </w:p>
        </w:tc>
        <w:tc>
          <w:tcPr>
            <w:tcW w:w="1163"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1,174 </w:t>
            </w:r>
          </w:p>
        </w:tc>
        <w:tc>
          <w:tcPr>
            <w:tcW w:w="99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1,249 </w:t>
            </w:r>
          </w:p>
        </w:tc>
        <w:tc>
          <w:tcPr>
            <w:tcW w:w="156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89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75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(x)</w:t>
            </w:r>
          </w:p>
        </w:tc>
      </w:tr>
      <w:tr w:rsidRPr="003E113F" w:rsidR="000D6E6A" w:rsidTr="003E113F">
        <w:tblPrEx>
          <w:tblCellMar>
            <w:top w:w="0" w:type="dxa"/>
            <w:left w:w="0" w:type="dxa"/>
            <w:bottom w:w="0" w:type="dxa"/>
            <w:right w:w="0" w:type="dxa"/>
          </w:tblCellMar>
        </w:tblPrEx>
        <w:trPr>
          <w:trHeight w:val="113"/>
        </w:trPr>
        <w:tc>
          <w:tcPr>
            <w:tcW w:w="3005"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pPr>
            <w:r w:rsidRPr="003E113F">
              <w:t>Reserves</w:t>
            </w:r>
          </w:p>
        </w:tc>
        <w:tc>
          <w:tcPr>
            <w:tcW w:w="1077"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1,312 </w:t>
            </w:r>
          </w:p>
        </w:tc>
        <w:tc>
          <w:tcPr>
            <w:tcW w:w="1163"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1,363 </w:t>
            </w:r>
          </w:p>
        </w:tc>
        <w:tc>
          <w:tcPr>
            <w:tcW w:w="99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1,393 </w:t>
            </w:r>
          </w:p>
        </w:tc>
        <w:tc>
          <w:tcPr>
            <w:tcW w:w="156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81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30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(xi)</w:t>
            </w:r>
          </w:p>
        </w:tc>
      </w:tr>
      <w:tr w:rsidRPr="003E113F" w:rsidR="000D6E6A" w:rsidTr="003E113F">
        <w:tblPrEx>
          <w:tblCellMar>
            <w:top w:w="0" w:type="dxa"/>
            <w:left w:w="0" w:type="dxa"/>
            <w:bottom w:w="0" w:type="dxa"/>
            <w:right w:w="0" w:type="dxa"/>
          </w:tblCellMar>
        </w:tblPrEx>
        <w:trPr>
          <w:trHeight w:val="113"/>
        </w:trPr>
        <w:tc>
          <w:tcPr>
            <w:tcW w:w="3005"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pPr>
            <w:r w:rsidRPr="003E113F">
              <w:t>Contributed capital</w:t>
            </w:r>
          </w:p>
        </w:tc>
        <w:tc>
          <w:tcPr>
            <w:tcW w:w="1077"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2,643 </w:t>
            </w:r>
          </w:p>
        </w:tc>
        <w:tc>
          <w:tcPr>
            <w:tcW w:w="1163"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2,544 </w:t>
            </w:r>
          </w:p>
        </w:tc>
        <w:tc>
          <w:tcPr>
            <w:tcW w:w="99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2,366 </w:t>
            </w:r>
          </w:p>
        </w:tc>
        <w:tc>
          <w:tcPr>
            <w:tcW w:w="156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(277)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 xml:space="preserve">(178)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3E113F" w:rsidR="000D6E6A" w:rsidP="003E113F" w:rsidRDefault="000D6E6A">
            <w:pPr>
              <w:pStyle w:val="bodycopytabletable"/>
              <w:jc w:val="right"/>
            </w:pPr>
            <w:r w:rsidRPr="003E113F">
              <w:t>(xii)</w:t>
            </w:r>
          </w:p>
        </w:tc>
      </w:tr>
      <w:tr w:rsidRPr="003E113F" w:rsidR="000D6E6A" w:rsidTr="003E113F">
        <w:tblPrEx>
          <w:tblCellMar>
            <w:top w:w="0" w:type="dxa"/>
            <w:left w:w="0" w:type="dxa"/>
            <w:bottom w:w="0" w:type="dxa"/>
            <w:right w:w="0" w:type="dxa"/>
          </w:tblCellMar>
        </w:tblPrEx>
        <w:trPr>
          <w:trHeight w:val="113"/>
        </w:trPr>
        <w:tc>
          <w:tcPr>
            <w:tcW w:w="3005"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3E113F" w:rsidR="000D6E6A" w:rsidP="003E113F" w:rsidRDefault="000D6E6A">
            <w:pPr>
              <w:pStyle w:val="bodycopytabletable"/>
            </w:pPr>
            <w:r w:rsidRPr="003E113F">
              <w:rPr>
                <w:rStyle w:val="medium"/>
                <w:b/>
                <w:bCs/>
              </w:rPr>
              <w:t>Total equity</w:t>
            </w:r>
          </w:p>
        </w:tc>
        <w:tc>
          <w:tcPr>
            <w:tcW w:w="1077"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3E113F" w:rsidR="000D6E6A" w:rsidP="003E113F" w:rsidRDefault="000D6E6A">
            <w:pPr>
              <w:pStyle w:val="bodycopytabletable"/>
              <w:jc w:val="right"/>
            </w:pPr>
            <w:r w:rsidRPr="003E113F">
              <w:rPr>
                <w:rStyle w:val="medium"/>
                <w:b/>
                <w:bCs/>
              </w:rPr>
              <w:t xml:space="preserve">5,115 </w:t>
            </w:r>
          </w:p>
        </w:tc>
        <w:tc>
          <w:tcPr>
            <w:tcW w:w="1163"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3E113F" w:rsidR="000D6E6A" w:rsidP="003E113F" w:rsidRDefault="000D6E6A">
            <w:pPr>
              <w:pStyle w:val="bodycopytabletable"/>
              <w:jc w:val="right"/>
            </w:pPr>
            <w:r w:rsidRPr="003E113F">
              <w:rPr>
                <w:rStyle w:val="medium"/>
                <w:b/>
                <w:bCs/>
              </w:rPr>
              <w:t xml:space="preserve">5,080 </w:t>
            </w:r>
          </w:p>
        </w:tc>
        <w:tc>
          <w:tcPr>
            <w:tcW w:w="991"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3E113F" w:rsidR="000D6E6A" w:rsidP="003E113F" w:rsidRDefault="000D6E6A">
            <w:pPr>
              <w:pStyle w:val="bodycopytabletable"/>
              <w:jc w:val="right"/>
            </w:pPr>
            <w:r w:rsidRPr="003E113F">
              <w:rPr>
                <w:rStyle w:val="medium"/>
                <w:b/>
                <w:bCs/>
              </w:rPr>
              <w:t xml:space="preserve">5,008 </w:t>
            </w:r>
          </w:p>
        </w:tc>
        <w:tc>
          <w:tcPr>
            <w:tcW w:w="1561"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3E113F" w:rsidR="000D6E6A" w:rsidP="003E113F" w:rsidRDefault="000D6E6A">
            <w:pPr>
              <w:pStyle w:val="bodycopytabletable"/>
              <w:jc w:val="right"/>
            </w:pPr>
            <w:r w:rsidRPr="003E113F">
              <w:rPr>
                <w:rStyle w:val="medium"/>
                <w:b/>
                <w:bCs/>
              </w:rPr>
              <w:t xml:space="preserve">(107) </w:t>
            </w:r>
          </w:p>
        </w:tc>
        <w:tc>
          <w:tcPr>
            <w:tcW w:w="1417"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3E113F" w:rsidR="000D6E6A" w:rsidP="003E113F" w:rsidRDefault="000D6E6A">
            <w:pPr>
              <w:pStyle w:val="bodycopytabletable"/>
              <w:jc w:val="right"/>
            </w:pPr>
            <w:r w:rsidRPr="003E113F">
              <w:rPr>
                <w:rStyle w:val="medium"/>
                <w:b/>
                <w:bCs/>
              </w:rPr>
              <w:t xml:space="preserve">(73) </w:t>
            </w:r>
          </w:p>
        </w:tc>
        <w:tc>
          <w:tcPr>
            <w:tcW w:w="851"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3E113F" w:rsidR="000D6E6A" w:rsidP="003E113F" w:rsidRDefault="000D6E6A">
            <w:pPr>
              <w:pStyle w:val="NoParagraphStyle"/>
              <w:spacing w:line="240" w:lineRule="auto"/>
              <w:textAlignment w:val="auto"/>
              <w:rPr>
                <w:color w:val="auto"/>
                <w:sz w:val="16"/>
                <w:szCs w:val="16"/>
              </w:rPr>
            </w:pPr>
          </w:p>
        </w:tc>
      </w:tr>
    </w:tbl>
    <w:p w:rsidR="000D6E6A" w:rsidP="003E113F" w:rsidRDefault="000D6E6A">
      <w:pPr>
        <w:pStyle w:val="notestable"/>
        <w:tabs>
          <w:tab w:val="clear" w:pos="283"/>
        </w:tabs>
        <w:spacing w:before="60"/>
        <w:ind w:left="284" w:hanging="284"/>
        <w:rPr>
          <w:sz w:val="13"/>
          <w:szCs w:val="13"/>
        </w:rPr>
      </w:pPr>
      <w:r>
        <w:rPr>
          <w:sz w:val="13"/>
          <w:szCs w:val="13"/>
        </w:rPr>
        <w:t>(</w:t>
      </w:r>
      <w:proofErr w:type="spellStart"/>
      <w:r>
        <w:rPr>
          <w:sz w:val="13"/>
          <w:szCs w:val="13"/>
        </w:rPr>
        <w:t>i</w:t>
      </w:r>
      <w:proofErr w:type="spellEnd"/>
      <w:r>
        <w:rPr>
          <w:sz w:val="13"/>
          <w:szCs w:val="13"/>
        </w:rPr>
        <w:t xml:space="preserve">) </w:t>
      </w:r>
      <w:r>
        <w:rPr>
          <w:sz w:val="13"/>
          <w:szCs w:val="13"/>
        </w:rPr>
        <w:tab/>
        <w:t>Figures published in the 2017-18 Victorian Budget, Budget Paper No. 5</w:t>
      </w:r>
    </w:p>
    <w:p w:rsidR="000D6E6A" w:rsidP="003E113F" w:rsidRDefault="000D6E6A">
      <w:pPr>
        <w:pStyle w:val="notestable"/>
        <w:tabs>
          <w:tab w:val="clear" w:pos="283"/>
        </w:tabs>
        <w:ind w:left="284" w:hanging="284"/>
        <w:rPr>
          <w:sz w:val="13"/>
          <w:szCs w:val="13"/>
        </w:rPr>
      </w:pPr>
      <w:r>
        <w:rPr>
          <w:sz w:val="13"/>
          <w:szCs w:val="13"/>
        </w:rPr>
        <w:t xml:space="preserve">(ii) </w:t>
      </w:r>
      <w:r>
        <w:rPr>
          <w:sz w:val="13"/>
          <w:szCs w:val="13"/>
        </w:rPr>
        <w:tab/>
        <w:t xml:space="preserve">Figures published in the 2018-19 Victorian Budget, Budget Paper No. 5. </w:t>
      </w:r>
    </w:p>
    <w:p w:rsidR="000D6E6A" w:rsidP="003E113F" w:rsidRDefault="000D6E6A">
      <w:pPr>
        <w:pStyle w:val="notestable"/>
        <w:tabs>
          <w:tab w:val="clear" w:pos="283"/>
        </w:tabs>
        <w:ind w:left="284" w:hanging="284"/>
        <w:rPr>
          <w:sz w:val="13"/>
          <w:szCs w:val="13"/>
        </w:rPr>
      </w:pPr>
      <w:r>
        <w:rPr>
          <w:sz w:val="13"/>
          <w:szCs w:val="13"/>
        </w:rPr>
        <w:t xml:space="preserve">(iii) </w:t>
      </w:r>
      <w:r>
        <w:rPr>
          <w:sz w:val="13"/>
          <w:szCs w:val="13"/>
        </w:rPr>
        <w:tab/>
        <w:t>Cash and deposits were higher than the revised budget mainly due to the timing of cash required by the department. In accordance with the State of Victoria’s investment policy and government funding arrangements, government departments generally do not hold a large cash reserve in their bank accounts. Cash received by a department from the generation of revenue is generally paid into the State’s bank account which is known as the Public Account.</w:t>
      </w:r>
    </w:p>
    <w:p w:rsidR="000D6E6A" w:rsidP="003E113F" w:rsidRDefault="000D6E6A">
      <w:pPr>
        <w:pStyle w:val="notestable"/>
        <w:tabs>
          <w:tab w:val="clear" w:pos="283"/>
        </w:tabs>
        <w:ind w:left="284" w:hanging="284"/>
        <w:rPr>
          <w:sz w:val="13"/>
          <w:szCs w:val="13"/>
        </w:rPr>
      </w:pPr>
      <w:r>
        <w:rPr>
          <w:sz w:val="13"/>
          <w:szCs w:val="13"/>
        </w:rPr>
        <w:t xml:space="preserve">(iv) </w:t>
      </w:r>
      <w:r>
        <w:rPr>
          <w:sz w:val="13"/>
          <w:szCs w:val="13"/>
        </w:rPr>
        <w:tab/>
        <w:t>Other financial assets were higher than the original and revised budgets reflecting an increase in the department’s investments in term deposit held for more than three months which is classified as “other financial assets”.</w:t>
      </w:r>
    </w:p>
    <w:p w:rsidR="000D6E6A" w:rsidP="003E113F" w:rsidRDefault="000D6E6A">
      <w:pPr>
        <w:pStyle w:val="notestable"/>
        <w:tabs>
          <w:tab w:val="clear" w:pos="283"/>
        </w:tabs>
        <w:ind w:left="284" w:hanging="284"/>
        <w:rPr>
          <w:sz w:val="13"/>
          <w:szCs w:val="13"/>
        </w:rPr>
      </w:pPr>
      <w:r>
        <w:rPr>
          <w:sz w:val="13"/>
          <w:szCs w:val="13"/>
        </w:rPr>
        <w:t xml:space="preserve">(v) </w:t>
      </w:r>
      <w:r>
        <w:rPr>
          <w:sz w:val="13"/>
          <w:szCs w:val="13"/>
        </w:rPr>
        <w:tab/>
        <w:t xml:space="preserve">Property, plant and equipment was lower than the original and revised budgets mainly due to the </w:t>
      </w:r>
      <w:proofErr w:type="spellStart"/>
      <w:r>
        <w:rPr>
          <w:sz w:val="13"/>
          <w:szCs w:val="13"/>
        </w:rPr>
        <w:t>rephasing</w:t>
      </w:r>
      <w:proofErr w:type="spellEnd"/>
      <w:r>
        <w:rPr>
          <w:sz w:val="13"/>
          <w:szCs w:val="13"/>
        </w:rPr>
        <w:t xml:space="preserve"> and carryover of capital funding into 2018-19 and future years to align with expected timing of project deliverables for prison related initiatives. This is partially offset by higher than expected asset values following a managerial revaluation of Victoria Police’s physical assets.</w:t>
      </w:r>
    </w:p>
    <w:p w:rsidR="000D6E6A" w:rsidP="003E113F" w:rsidRDefault="000D6E6A">
      <w:pPr>
        <w:pStyle w:val="notestable"/>
        <w:tabs>
          <w:tab w:val="clear" w:pos="283"/>
        </w:tabs>
        <w:ind w:left="284" w:hanging="284"/>
        <w:rPr>
          <w:sz w:val="13"/>
          <w:szCs w:val="13"/>
        </w:rPr>
      </w:pPr>
      <w:r>
        <w:rPr>
          <w:sz w:val="13"/>
          <w:szCs w:val="13"/>
        </w:rPr>
        <w:t>(vi)</w:t>
      </w:r>
      <w:r>
        <w:rPr>
          <w:sz w:val="13"/>
          <w:szCs w:val="13"/>
        </w:rPr>
        <w:tab/>
        <w:t xml:space="preserve">Intangible assets were higher than the original and revised budgets mainly due to the capitalisation of the Victorian Infringement, Enforcement and Warrants (VIEW) system in 2017-18 and higher than budgeted software development costs relating to </w:t>
      </w:r>
      <w:proofErr w:type="spellStart"/>
      <w:r>
        <w:rPr>
          <w:sz w:val="13"/>
          <w:szCs w:val="13"/>
        </w:rPr>
        <w:t>BlueConnect</w:t>
      </w:r>
      <w:proofErr w:type="spellEnd"/>
      <w:r>
        <w:rPr>
          <w:sz w:val="13"/>
          <w:szCs w:val="13"/>
        </w:rPr>
        <w:t xml:space="preserve"> project in Victoria Police. </w:t>
      </w:r>
    </w:p>
    <w:p w:rsidR="000D6E6A" w:rsidP="003E113F" w:rsidRDefault="000D6E6A">
      <w:pPr>
        <w:pStyle w:val="notestable"/>
        <w:tabs>
          <w:tab w:val="clear" w:pos="283"/>
        </w:tabs>
        <w:ind w:left="284" w:hanging="284"/>
        <w:rPr>
          <w:sz w:val="13"/>
          <w:szCs w:val="13"/>
        </w:rPr>
      </w:pPr>
      <w:r>
        <w:rPr>
          <w:sz w:val="13"/>
          <w:szCs w:val="13"/>
        </w:rPr>
        <w:t xml:space="preserve">(vii) </w:t>
      </w:r>
      <w:r>
        <w:rPr>
          <w:sz w:val="13"/>
          <w:szCs w:val="13"/>
        </w:rPr>
        <w:tab/>
        <w:t xml:space="preserve">Other </w:t>
      </w:r>
      <w:proofErr w:type="spellStart"/>
      <w:proofErr w:type="gramStart"/>
      <w:r>
        <w:rPr>
          <w:sz w:val="13"/>
          <w:szCs w:val="13"/>
        </w:rPr>
        <w:t>non financial</w:t>
      </w:r>
      <w:proofErr w:type="spellEnd"/>
      <w:proofErr w:type="gramEnd"/>
      <w:r>
        <w:rPr>
          <w:sz w:val="13"/>
          <w:szCs w:val="13"/>
        </w:rPr>
        <w:t xml:space="preserve"> assets were higher than the original and revised budgets mainly due to higher than budgeted IT prepayments for Victoria Police.</w:t>
      </w:r>
    </w:p>
    <w:p w:rsidR="000D6E6A" w:rsidP="003E113F" w:rsidRDefault="000D6E6A">
      <w:pPr>
        <w:pStyle w:val="notestable"/>
        <w:tabs>
          <w:tab w:val="clear" w:pos="283"/>
        </w:tabs>
        <w:ind w:left="284" w:hanging="284"/>
        <w:rPr>
          <w:sz w:val="13"/>
          <w:szCs w:val="13"/>
        </w:rPr>
      </w:pPr>
      <w:r>
        <w:rPr>
          <w:sz w:val="13"/>
          <w:szCs w:val="13"/>
        </w:rPr>
        <w:t>(viii)</w:t>
      </w:r>
      <w:r>
        <w:rPr>
          <w:sz w:val="13"/>
          <w:szCs w:val="13"/>
        </w:rPr>
        <w:tab/>
        <w:t>Payables were higher than the original and revised budgets mainly due to operating and capital expense accruals for the Ravenhall Correctional Centre which commenced operations in November 2017, the implementation of prison related initiatives and the VIEW system.</w:t>
      </w:r>
    </w:p>
    <w:p w:rsidR="000D6E6A" w:rsidP="003E113F" w:rsidRDefault="000D6E6A">
      <w:pPr>
        <w:pStyle w:val="notestable"/>
        <w:tabs>
          <w:tab w:val="clear" w:pos="283"/>
        </w:tabs>
        <w:ind w:left="284" w:hanging="284"/>
        <w:rPr>
          <w:sz w:val="13"/>
          <w:szCs w:val="13"/>
        </w:rPr>
      </w:pPr>
      <w:r>
        <w:rPr>
          <w:sz w:val="13"/>
          <w:szCs w:val="13"/>
        </w:rPr>
        <w:t xml:space="preserve">(ix) </w:t>
      </w:r>
      <w:r>
        <w:rPr>
          <w:sz w:val="13"/>
          <w:szCs w:val="13"/>
        </w:rPr>
        <w:tab/>
        <w:t>Borrowings were higher than the original and revised budgets mainly due to higher than budgeted motor vehicle lease costs to support Victoria Police’s operations.</w:t>
      </w:r>
    </w:p>
    <w:p w:rsidR="000D6E6A" w:rsidP="003E113F" w:rsidRDefault="000D6E6A">
      <w:pPr>
        <w:pStyle w:val="notestable"/>
        <w:tabs>
          <w:tab w:val="clear" w:pos="283"/>
        </w:tabs>
        <w:ind w:left="284" w:hanging="284"/>
        <w:rPr>
          <w:sz w:val="13"/>
          <w:szCs w:val="13"/>
        </w:rPr>
      </w:pPr>
      <w:r>
        <w:rPr>
          <w:sz w:val="13"/>
          <w:szCs w:val="13"/>
        </w:rPr>
        <w:t xml:space="preserve">(x) </w:t>
      </w:r>
      <w:r>
        <w:rPr>
          <w:sz w:val="13"/>
          <w:szCs w:val="13"/>
        </w:rPr>
        <w:tab/>
        <w:t>Accumulated surplus was higher than the original and revised budgets mainly due to a higher than expected net result relating to lower depreciation costs, higher returns on the department’s managed investment schemes and a change in the interest rates on the revaluation of the long service leave provision.</w:t>
      </w:r>
    </w:p>
    <w:p w:rsidR="000D6E6A" w:rsidP="003E113F" w:rsidRDefault="000D6E6A">
      <w:pPr>
        <w:pStyle w:val="notestable"/>
        <w:tabs>
          <w:tab w:val="clear" w:pos="283"/>
        </w:tabs>
        <w:ind w:left="284" w:hanging="284"/>
        <w:rPr>
          <w:sz w:val="13"/>
          <w:szCs w:val="13"/>
        </w:rPr>
      </w:pPr>
      <w:r>
        <w:rPr>
          <w:sz w:val="13"/>
          <w:szCs w:val="13"/>
        </w:rPr>
        <w:t xml:space="preserve">(xi) </w:t>
      </w:r>
      <w:r>
        <w:rPr>
          <w:sz w:val="13"/>
          <w:szCs w:val="13"/>
        </w:rPr>
        <w:tab/>
        <w:t>Reserves were higher than the original budget mainly due to a managerial revaluation of Victoria Police’s physical assets as at 30 June 2018 in accordance with the Financial Reporting Direction 103G requirements. The increase was partially offset by the adjustment to property, plant and equipment to realign prior year assets under construction and a building impairment.</w:t>
      </w:r>
    </w:p>
    <w:p w:rsidR="000D6E6A" w:rsidP="003E113F" w:rsidRDefault="000D6E6A">
      <w:pPr>
        <w:pStyle w:val="notestable"/>
        <w:tabs>
          <w:tab w:val="clear" w:pos="283"/>
        </w:tabs>
        <w:ind w:left="284" w:hanging="284"/>
        <w:rPr>
          <w:sz w:val="13"/>
          <w:szCs w:val="13"/>
        </w:rPr>
      </w:pPr>
      <w:r>
        <w:rPr>
          <w:sz w:val="13"/>
          <w:szCs w:val="13"/>
        </w:rPr>
        <w:t>(xii)</w:t>
      </w:r>
      <w:r>
        <w:rPr>
          <w:sz w:val="13"/>
          <w:szCs w:val="13"/>
        </w:rPr>
        <w:tab/>
        <w:t xml:space="preserve">Contributed capital was lower than the original and revised budgets mainly due to the </w:t>
      </w:r>
      <w:proofErr w:type="spellStart"/>
      <w:r>
        <w:rPr>
          <w:sz w:val="13"/>
          <w:szCs w:val="13"/>
        </w:rPr>
        <w:t>rephasing</w:t>
      </w:r>
      <w:proofErr w:type="spellEnd"/>
      <w:r>
        <w:rPr>
          <w:sz w:val="13"/>
          <w:szCs w:val="13"/>
        </w:rPr>
        <w:t xml:space="preserve"> and carryover of capital funding into 2018-19 and future years to align with expected deliverables for prison related initiatives.</w:t>
      </w:r>
    </w:p>
    <w:p w:rsidR="000D6E6A" w:rsidRDefault="000D6E6A">
      <w:pPr>
        <w:pStyle w:val="notestable"/>
        <w:rPr>
          <w:sz w:val="13"/>
          <w:szCs w:val="13"/>
        </w:rPr>
      </w:pPr>
    </w:p>
    <w:p w:rsidR="000D6E6A" w:rsidRDefault="000D6E6A">
      <w:pPr>
        <w:pStyle w:val="notestable"/>
        <w:rPr>
          <w:b/>
          <w:bCs/>
          <w:color w:val="542E8E"/>
          <w:sz w:val="24"/>
          <w:szCs w:val="24"/>
        </w:rPr>
      </w:pPr>
      <w:r>
        <w:rPr>
          <w:b/>
          <w:bCs/>
          <w:color w:val="542E8E"/>
          <w:sz w:val="24"/>
          <w:szCs w:val="24"/>
        </w:rPr>
        <w:t>Cash flow statement for the year ended 30 June 2018</w:t>
      </w:r>
    </w:p>
    <w:tbl>
      <w:tblPr>
        <w:tblW w:w="0" w:type="auto"/>
        <w:tblInd w:w="57" w:type="dxa"/>
        <w:tblLayout w:type="fixed"/>
        <w:tblCellMar>
          <w:left w:w="0" w:type="dxa"/>
          <w:right w:w="0" w:type="dxa"/>
        </w:tblCellMar>
        <w:tblLook w:firstRow="0" w:lastRow="0" w:firstColumn="0" w:lastColumn="0" w:noHBand="0" w:noVBand="0" w:val="0000"/>
      </w:tblPr>
      <w:tblGrid>
        <w:gridCol w:w="3345"/>
        <w:gridCol w:w="57"/>
        <w:gridCol w:w="907"/>
        <w:gridCol w:w="86"/>
        <w:gridCol w:w="877"/>
        <w:gridCol w:w="115"/>
        <w:gridCol w:w="849"/>
        <w:gridCol w:w="1077"/>
        <w:gridCol w:w="484"/>
        <w:gridCol w:w="594"/>
        <w:gridCol w:w="823"/>
        <w:gridCol w:w="851"/>
      </w:tblGrid>
      <w:tr w:rsidRPr="00771181" w:rsidR="000D6E6A" w:rsidTr="00771181">
        <w:tblPrEx>
          <w:tblCellMar>
            <w:top w:w="0" w:type="dxa"/>
            <w:left w:w="0" w:type="dxa"/>
            <w:bottom w:w="0" w:type="dxa"/>
            <w:right w:w="0" w:type="dxa"/>
          </w:tblCellMar>
        </w:tblPrEx>
        <w:trPr>
          <w:trHeight w:val="113"/>
          <w:tblHeader/>
        </w:trPr>
        <w:tc>
          <w:tcPr>
            <w:tcW w:w="10065" w:type="dxa"/>
            <w:gridSpan w:val="12"/>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purple"/>
                <w:b/>
                <w:bCs/>
              </w:rPr>
              <w:t>($ million)</w:t>
            </w:r>
          </w:p>
        </w:tc>
      </w:tr>
      <w:tr w:rsidRPr="00771181" w:rsidR="000D6E6A" w:rsidTr="00771181">
        <w:tblPrEx>
          <w:tblCellMar>
            <w:top w:w="0" w:type="dxa"/>
            <w:left w:w="0" w:type="dxa"/>
            <w:bottom w:w="0" w:type="dxa"/>
            <w:right w:w="0" w:type="dxa"/>
          </w:tblCellMar>
        </w:tblPrEx>
        <w:trPr>
          <w:trHeight w:val="113"/>
          <w:tblHeader/>
        </w:trPr>
        <w:tc>
          <w:tcPr>
            <w:tcW w:w="3402" w:type="dxa"/>
            <w:gridSpan w:val="2"/>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771181" w:rsidR="000D6E6A" w:rsidP="00771181" w:rsidRDefault="000D6E6A">
            <w:pPr>
              <w:pStyle w:val="NoParagraphStyle"/>
              <w:spacing w:line="240" w:lineRule="auto"/>
              <w:jc w:val="right"/>
              <w:textAlignment w:val="auto"/>
              <w:rPr>
                <w:color w:val="auto"/>
                <w:sz w:val="16"/>
                <w:szCs w:val="16"/>
              </w:rPr>
            </w:pPr>
          </w:p>
        </w:tc>
        <w:tc>
          <w:tcPr>
            <w:tcW w:w="993" w:type="dxa"/>
            <w:gridSpan w:val="2"/>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771181" w:rsidR="000D6E6A" w:rsidP="00771181" w:rsidRDefault="000D6E6A">
            <w:pPr>
              <w:pStyle w:val="bodycopytabletable"/>
              <w:jc w:val="right"/>
            </w:pPr>
            <w:r w:rsidRPr="00771181">
              <w:rPr>
                <w:rStyle w:val="mediumpurple"/>
                <w:b/>
                <w:bCs/>
              </w:rPr>
              <w:t>Original budget</w:t>
            </w:r>
            <w:r w:rsidRPr="00771181">
              <w:rPr>
                <w:rStyle w:val="mediumpurple"/>
                <w:b/>
                <w:bCs/>
              </w:rPr>
              <w:br/>
              <w:t>2017-18 (</w:t>
            </w:r>
            <w:proofErr w:type="spellStart"/>
            <w:r w:rsidRPr="00771181">
              <w:rPr>
                <w:rStyle w:val="mediumpurple"/>
                <w:b/>
                <w:bCs/>
              </w:rPr>
              <w:t>i</w:t>
            </w:r>
            <w:proofErr w:type="spellEnd"/>
            <w:r w:rsidRPr="00771181">
              <w:rPr>
                <w:rStyle w:val="mediumpurple"/>
                <w:b/>
                <w:bCs/>
              </w:rPr>
              <w:t>)</w:t>
            </w:r>
          </w:p>
        </w:tc>
        <w:tc>
          <w:tcPr>
            <w:tcW w:w="992" w:type="dxa"/>
            <w:gridSpan w:val="2"/>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771181" w:rsidR="000D6E6A" w:rsidP="00771181" w:rsidRDefault="000D6E6A">
            <w:pPr>
              <w:pStyle w:val="bodycopytabletable"/>
              <w:jc w:val="right"/>
            </w:pPr>
            <w:r w:rsidRPr="00771181">
              <w:rPr>
                <w:rStyle w:val="mediumpurple"/>
                <w:b/>
                <w:bCs/>
              </w:rPr>
              <w:t xml:space="preserve">Revised budget </w:t>
            </w:r>
            <w:r w:rsidRPr="00771181">
              <w:rPr>
                <w:rStyle w:val="mediumpurple"/>
                <w:b/>
                <w:bCs/>
              </w:rPr>
              <w:br/>
              <w:t>2017-18 (ii)</w:t>
            </w:r>
          </w:p>
        </w:tc>
        <w:tc>
          <w:tcPr>
            <w:tcW w:w="849"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771181" w:rsidR="000D6E6A" w:rsidP="00771181" w:rsidRDefault="000D6E6A">
            <w:pPr>
              <w:pStyle w:val="bodycopytabletable"/>
              <w:jc w:val="right"/>
            </w:pPr>
            <w:r w:rsidRPr="00771181">
              <w:rPr>
                <w:rStyle w:val="mediumpurple"/>
                <w:b/>
                <w:bCs/>
              </w:rPr>
              <w:t>Actual</w:t>
            </w:r>
            <w:r w:rsidRPr="00771181">
              <w:rPr>
                <w:rStyle w:val="mediumpurple"/>
                <w:b/>
                <w:bCs/>
              </w:rPr>
              <w:br/>
              <w:t>2017-18</w:t>
            </w:r>
          </w:p>
        </w:tc>
        <w:tc>
          <w:tcPr>
            <w:tcW w:w="1561" w:type="dxa"/>
            <w:gridSpan w:val="2"/>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771181" w:rsidR="000D6E6A" w:rsidP="00771181" w:rsidRDefault="000D6E6A">
            <w:pPr>
              <w:pStyle w:val="bodycopytabletable"/>
              <w:jc w:val="right"/>
            </w:pPr>
            <w:r w:rsidRPr="00771181">
              <w:rPr>
                <w:rStyle w:val="mediumpurple"/>
                <w:b/>
                <w:bCs/>
                <w:spacing w:val="-2"/>
              </w:rPr>
              <w:t>Variance for original budget to actual 2017-18</w:t>
            </w:r>
          </w:p>
        </w:tc>
        <w:tc>
          <w:tcPr>
            <w:tcW w:w="1417" w:type="dxa"/>
            <w:gridSpan w:val="2"/>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771181" w:rsidR="000D6E6A" w:rsidP="00771181" w:rsidRDefault="000D6E6A">
            <w:pPr>
              <w:pStyle w:val="bodycopytabletable"/>
              <w:jc w:val="right"/>
            </w:pPr>
            <w:r w:rsidRPr="00771181">
              <w:rPr>
                <w:rStyle w:val="mediumpurple"/>
                <w:b/>
                <w:bCs/>
                <w:spacing w:val="-2"/>
              </w:rPr>
              <w:t>Variance for revised budget to actual 2017-18</w:t>
            </w:r>
          </w:p>
        </w:tc>
        <w:tc>
          <w:tcPr>
            <w:tcW w:w="851"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771181" w:rsidR="000D6E6A" w:rsidP="00771181" w:rsidRDefault="000D6E6A">
            <w:pPr>
              <w:pStyle w:val="bodycopytabletable"/>
              <w:jc w:val="right"/>
            </w:pPr>
            <w:r w:rsidRPr="00771181">
              <w:rPr>
                <w:rStyle w:val="mediumpurple"/>
                <w:b/>
                <w:bCs/>
              </w:rPr>
              <w:t>Notes</w:t>
            </w:r>
          </w:p>
        </w:tc>
      </w:tr>
      <w:tr w:rsidRPr="00771181" w:rsidR="000D6E6A" w:rsidTr="00771181">
        <w:tblPrEx>
          <w:tblCellMar>
            <w:top w:w="0" w:type="dxa"/>
            <w:left w:w="0" w:type="dxa"/>
            <w:bottom w:w="0" w:type="dxa"/>
            <w:right w:w="0" w:type="dxa"/>
          </w:tblCellMar>
        </w:tblPrEx>
        <w:trPr>
          <w:trHeight w:val="113"/>
        </w:trPr>
        <w:tc>
          <w:tcPr>
            <w:tcW w:w="3345"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pPr>
            <w:r w:rsidRPr="00771181">
              <w:rPr>
                <w:rStyle w:val="mediumpurple"/>
                <w:b/>
                <w:bCs/>
              </w:rPr>
              <w:t>Cash flows from operating activities</w:t>
            </w:r>
          </w:p>
        </w:tc>
        <w:tc>
          <w:tcPr>
            <w:tcW w:w="96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963"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96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107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1078"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167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71181">
        <w:tblPrEx>
          <w:tblCellMar>
            <w:top w:w="0" w:type="dxa"/>
            <w:left w:w="0" w:type="dxa"/>
            <w:bottom w:w="0" w:type="dxa"/>
            <w:right w:w="0" w:type="dxa"/>
          </w:tblCellMar>
        </w:tblPrEx>
        <w:trPr>
          <w:trHeight w:val="113"/>
        </w:trPr>
        <w:tc>
          <w:tcPr>
            <w:tcW w:w="3345"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pPr>
            <w:r w:rsidRPr="00771181">
              <w:rPr>
                <w:rStyle w:val="medium"/>
                <w:b/>
                <w:bCs/>
              </w:rPr>
              <w:t>Receipts</w:t>
            </w:r>
          </w:p>
        </w:tc>
        <w:tc>
          <w:tcPr>
            <w:tcW w:w="96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963"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96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107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1078"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167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71181">
        <w:tblPrEx>
          <w:tblCellMar>
            <w:top w:w="0" w:type="dxa"/>
            <w:left w:w="0" w:type="dxa"/>
            <w:bottom w:w="0" w:type="dxa"/>
            <w:right w:w="0" w:type="dxa"/>
          </w:tblCellMar>
        </w:tblPrEx>
        <w:trPr>
          <w:trHeight w:val="113"/>
        </w:trPr>
        <w:tc>
          <w:tcPr>
            <w:tcW w:w="3345"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pPr>
            <w:r w:rsidRPr="00771181">
              <w:t>Receipts from Government</w:t>
            </w:r>
          </w:p>
        </w:tc>
        <w:tc>
          <w:tcPr>
            <w:tcW w:w="96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6,537 </w:t>
            </w:r>
          </w:p>
        </w:tc>
        <w:tc>
          <w:tcPr>
            <w:tcW w:w="963"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6,619 </w:t>
            </w:r>
          </w:p>
        </w:tc>
        <w:tc>
          <w:tcPr>
            <w:tcW w:w="96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6,668 </w:t>
            </w:r>
          </w:p>
        </w:tc>
        <w:tc>
          <w:tcPr>
            <w:tcW w:w="107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131 </w:t>
            </w:r>
          </w:p>
        </w:tc>
        <w:tc>
          <w:tcPr>
            <w:tcW w:w="1078"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49 </w:t>
            </w:r>
          </w:p>
        </w:tc>
        <w:tc>
          <w:tcPr>
            <w:tcW w:w="167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(iii)</w:t>
            </w:r>
          </w:p>
        </w:tc>
      </w:tr>
      <w:tr w:rsidRPr="00771181" w:rsidR="000D6E6A" w:rsidTr="00771181">
        <w:tblPrEx>
          <w:tblCellMar>
            <w:top w:w="0" w:type="dxa"/>
            <w:left w:w="0" w:type="dxa"/>
            <w:bottom w:w="0" w:type="dxa"/>
            <w:right w:w="0" w:type="dxa"/>
          </w:tblCellMar>
        </w:tblPrEx>
        <w:trPr>
          <w:trHeight w:val="113"/>
        </w:trPr>
        <w:tc>
          <w:tcPr>
            <w:tcW w:w="3345"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pPr>
            <w:r w:rsidRPr="00771181">
              <w:t>Receipts from other entities</w:t>
            </w:r>
          </w:p>
        </w:tc>
        <w:tc>
          <w:tcPr>
            <w:tcW w:w="96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88 </w:t>
            </w:r>
          </w:p>
        </w:tc>
        <w:tc>
          <w:tcPr>
            <w:tcW w:w="963"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91 </w:t>
            </w:r>
          </w:p>
        </w:tc>
        <w:tc>
          <w:tcPr>
            <w:tcW w:w="96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95 </w:t>
            </w:r>
          </w:p>
        </w:tc>
        <w:tc>
          <w:tcPr>
            <w:tcW w:w="107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7 </w:t>
            </w:r>
          </w:p>
        </w:tc>
        <w:tc>
          <w:tcPr>
            <w:tcW w:w="1078"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4 </w:t>
            </w:r>
          </w:p>
        </w:tc>
        <w:tc>
          <w:tcPr>
            <w:tcW w:w="167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71181">
        <w:tblPrEx>
          <w:tblCellMar>
            <w:top w:w="0" w:type="dxa"/>
            <w:left w:w="0" w:type="dxa"/>
            <w:bottom w:w="0" w:type="dxa"/>
            <w:right w:w="0" w:type="dxa"/>
          </w:tblCellMar>
        </w:tblPrEx>
        <w:trPr>
          <w:trHeight w:val="113"/>
        </w:trPr>
        <w:tc>
          <w:tcPr>
            <w:tcW w:w="3345"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pPr>
            <w:r w:rsidRPr="00771181">
              <w:t>Interest received</w:t>
            </w:r>
          </w:p>
        </w:tc>
        <w:tc>
          <w:tcPr>
            <w:tcW w:w="96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48 </w:t>
            </w:r>
          </w:p>
        </w:tc>
        <w:tc>
          <w:tcPr>
            <w:tcW w:w="963"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55 </w:t>
            </w:r>
          </w:p>
        </w:tc>
        <w:tc>
          <w:tcPr>
            <w:tcW w:w="96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56 </w:t>
            </w:r>
          </w:p>
        </w:tc>
        <w:tc>
          <w:tcPr>
            <w:tcW w:w="107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8 </w:t>
            </w:r>
          </w:p>
        </w:tc>
        <w:tc>
          <w:tcPr>
            <w:tcW w:w="1078"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 </w:t>
            </w:r>
          </w:p>
        </w:tc>
        <w:tc>
          <w:tcPr>
            <w:tcW w:w="167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71181">
        <w:tblPrEx>
          <w:tblCellMar>
            <w:top w:w="0" w:type="dxa"/>
            <w:left w:w="0" w:type="dxa"/>
            <w:bottom w:w="0" w:type="dxa"/>
            <w:right w:w="0" w:type="dxa"/>
          </w:tblCellMar>
        </w:tblPrEx>
        <w:trPr>
          <w:trHeight w:val="113"/>
        </w:trPr>
        <w:tc>
          <w:tcPr>
            <w:tcW w:w="3345"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pPr>
            <w:r w:rsidRPr="00771181">
              <w:t>Other receipts</w:t>
            </w:r>
          </w:p>
        </w:tc>
        <w:tc>
          <w:tcPr>
            <w:tcW w:w="96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29 </w:t>
            </w:r>
          </w:p>
        </w:tc>
        <w:tc>
          <w:tcPr>
            <w:tcW w:w="963"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29 </w:t>
            </w:r>
          </w:p>
        </w:tc>
        <w:tc>
          <w:tcPr>
            <w:tcW w:w="96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39 </w:t>
            </w:r>
          </w:p>
        </w:tc>
        <w:tc>
          <w:tcPr>
            <w:tcW w:w="107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10 </w:t>
            </w:r>
          </w:p>
        </w:tc>
        <w:tc>
          <w:tcPr>
            <w:tcW w:w="1078"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10 </w:t>
            </w:r>
          </w:p>
        </w:tc>
        <w:tc>
          <w:tcPr>
            <w:tcW w:w="167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71181">
        <w:tblPrEx>
          <w:tblCellMar>
            <w:top w:w="0" w:type="dxa"/>
            <w:left w:w="0" w:type="dxa"/>
            <w:bottom w:w="0" w:type="dxa"/>
            <w:right w:w="0" w:type="dxa"/>
          </w:tblCellMar>
        </w:tblPrEx>
        <w:trPr>
          <w:trHeight w:val="113"/>
        </w:trPr>
        <w:tc>
          <w:tcPr>
            <w:tcW w:w="3345"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pPr>
            <w:r w:rsidRPr="00771181">
              <w:rPr>
                <w:rStyle w:val="medium"/>
                <w:b/>
                <w:bCs/>
              </w:rPr>
              <w:t>Total receipts</w:t>
            </w:r>
          </w:p>
        </w:tc>
        <w:tc>
          <w:tcPr>
            <w:tcW w:w="964" w:type="dxa"/>
            <w:gridSpan w:val="2"/>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6,702 </w:t>
            </w:r>
          </w:p>
        </w:tc>
        <w:tc>
          <w:tcPr>
            <w:tcW w:w="963" w:type="dxa"/>
            <w:gridSpan w:val="2"/>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6,794 </w:t>
            </w:r>
          </w:p>
        </w:tc>
        <w:tc>
          <w:tcPr>
            <w:tcW w:w="964" w:type="dxa"/>
            <w:gridSpan w:val="2"/>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6,858 </w:t>
            </w:r>
          </w:p>
        </w:tc>
        <w:tc>
          <w:tcPr>
            <w:tcW w:w="1077"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156 </w:t>
            </w:r>
          </w:p>
        </w:tc>
        <w:tc>
          <w:tcPr>
            <w:tcW w:w="1078" w:type="dxa"/>
            <w:gridSpan w:val="2"/>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64 </w:t>
            </w:r>
          </w:p>
        </w:tc>
        <w:tc>
          <w:tcPr>
            <w:tcW w:w="1674" w:type="dxa"/>
            <w:gridSpan w:val="2"/>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71181">
        <w:tblPrEx>
          <w:tblCellMar>
            <w:top w:w="0" w:type="dxa"/>
            <w:left w:w="0" w:type="dxa"/>
            <w:bottom w:w="0" w:type="dxa"/>
            <w:right w:w="0" w:type="dxa"/>
          </w:tblCellMar>
        </w:tblPrEx>
        <w:trPr>
          <w:trHeight w:val="113"/>
        </w:trPr>
        <w:tc>
          <w:tcPr>
            <w:tcW w:w="3345"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pPr>
            <w:r w:rsidRPr="00771181">
              <w:rPr>
                <w:rStyle w:val="medium"/>
                <w:b/>
                <w:bCs/>
              </w:rPr>
              <w:t>Payments</w:t>
            </w:r>
          </w:p>
        </w:tc>
        <w:tc>
          <w:tcPr>
            <w:tcW w:w="964" w:type="dxa"/>
            <w:gridSpan w:val="2"/>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963" w:type="dxa"/>
            <w:gridSpan w:val="2"/>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964" w:type="dxa"/>
            <w:gridSpan w:val="2"/>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1077"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1078" w:type="dxa"/>
            <w:gridSpan w:val="2"/>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1674" w:type="dxa"/>
            <w:gridSpan w:val="2"/>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71181">
        <w:tblPrEx>
          <w:tblCellMar>
            <w:top w:w="0" w:type="dxa"/>
            <w:left w:w="0" w:type="dxa"/>
            <w:bottom w:w="0" w:type="dxa"/>
            <w:right w:w="0" w:type="dxa"/>
          </w:tblCellMar>
        </w:tblPrEx>
        <w:trPr>
          <w:trHeight w:val="113"/>
        </w:trPr>
        <w:tc>
          <w:tcPr>
            <w:tcW w:w="3345" w:type="dxa"/>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pPr>
            <w:r w:rsidRPr="00771181">
              <w:rPr>
                <w:spacing w:val="-5"/>
              </w:rPr>
              <w:t>Payments of grants and other transfers</w:t>
            </w:r>
          </w:p>
        </w:tc>
        <w:tc>
          <w:tcPr>
            <w:tcW w:w="964" w:type="dxa"/>
            <w:gridSpan w:val="2"/>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(1,306) </w:t>
            </w:r>
          </w:p>
        </w:tc>
        <w:tc>
          <w:tcPr>
            <w:tcW w:w="963" w:type="dxa"/>
            <w:gridSpan w:val="2"/>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(1,337) </w:t>
            </w:r>
          </w:p>
        </w:tc>
        <w:tc>
          <w:tcPr>
            <w:tcW w:w="964" w:type="dxa"/>
            <w:gridSpan w:val="2"/>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(1,391) </w:t>
            </w:r>
          </w:p>
        </w:tc>
        <w:tc>
          <w:tcPr>
            <w:tcW w:w="1077" w:type="dxa"/>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(85) </w:t>
            </w:r>
          </w:p>
        </w:tc>
        <w:tc>
          <w:tcPr>
            <w:tcW w:w="1078" w:type="dxa"/>
            <w:gridSpan w:val="2"/>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(54) </w:t>
            </w:r>
          </w:p>
        </w:tc>
        <w:tc>
          <w:tcPr>
            <w:tcW w:w="1674" w:type="dxa"/>
            <w:gridSpan w:val="2"/>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(iv)</w:t>
            </w:r>
          </w:p>
        </w:tc>
      </w:tr>
      <w:tr w:rsidRPr="00771181" w:rsidR="000D6E6A" w:rsidTr="00771181">
        <w:tblPrEx>
          <w:tblCellMar>
            <w:top w:w="0" w:type="dxa"/>
            <w:left w:w="0" w:type="dxa"/>
            <w:bottom w:w="0" w:type="dxa"/>
            <w:right w:w="0" w:type="dxa"/>
          </w:tblCellMar>
        </w:tblPrEx>
        <w:trPr>
          <w:trHeight w:val="113"/>
        </w:trPr>
        <w:tc>
          <w:tcPr>
            <w:tcW w:w="3345"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pPr>
            <w:r w:rsidRPr="00771181">
              <w:t>Payments to suppliers and employees</w:t>
            </w:r>
          </w:p>
        </w:tc>
        <w:tc>
          <w:tcPr>
            <w:tcW w:w="96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(4,950) </w:t>
            </w:r>
          </w:p>
        </w:tc>
        <w:tc>
          <w:tcPr>
            <w:tcW w:w="963"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(5,014) </w:t>
            </w:r>
          </w:p>
        </w:tc>
        <w:tc>
          <w:tcPr>
            <w:tcW w:w="96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(4,929) </w:t>
            </w:r>
          </w:p>
        </w:tc>
        <w:tc>
          <w:tcPr>
            <w:tcW w:w="107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21 </w:t>
            </w:r>
          </w:p>
        </w:tc>
        <w:tc>
          <w:tcPr>
            <w:tcW w:w="1078"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85 </w:t>
            </w:r>
          </w:p>
        </w:tc>
        <w:tc>
          <w:tcPr>
            <w:tcW w:w="167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(v)</w:t>
            </w:r>
          </w:p>
        </w:tc>
      </w:tr>
      <w:tr w:rsidRPr="00771181" w:rsidR="000D6E6A" w:rsidTr="00771181">
        <w:tblPrEx>
          <w:tblCellMar>
            <w:top w:w="0" w:type="dxa"/>
            <w:left w:w="0" w:type="dxa"/>
            <w:bottom w:w="0" w:type="dxa"/>
            <w:right w:w="0" w:type="dxa"/>
          </w:tblCellMar>
        </w:tblPrEx>
        <w:trPr>
          <w:trHeight w:val="113"/>
        </w:trPr>
        <w:tc>
          <w:tcPr>
            <w:tcW w:w="3345"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pPr>
            <w:r w:rsidRPr="00771181">
              <w:t>Capital asset charge</w:t>
            </w:r>
          </w:p>
        </w:tc>
        <w:tc>
          <w:tcPr>
            <w:tcW w:w="96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(268) </w:t>
            </w:r>
          </w:p>
        </w:tc>
        <w:tc>
          <w:tcPr>
            <w:tcW w:w="963"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(268) </w:t>
            </w:r>
          </w:p>
        </w:tc>
        <w:tc>
          <w:tcPr>
            <w:tcW w:w="96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(268) </w:t>
            </w:r>
          </w:p>
        </w:tc>
        <w:tc>
          <w:tcPr>
            <w:tcW w:w="107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1078"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167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71181">
        <w:tblPrEx>
          <w:tblCellMar>
            <w:top w:w="0" w:type="dxa"/>
            <w:left w:w="0" w:type="dxa"/>
            <w:bottom w:w="0" w:type="dxa"/>
            <w:right w:w="0" w:type="dxa"/>
          </w:tblCellMar>
        </w:tblPrEx>
        <w:trPr>
          <w:trHeight w:val="113"/>
        </w:trPr>
        <w:tc>
          <w:tcPr>
            <w:tcW w:w="3345"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pPr>
            <w:r w:rsidRPr="00771181">
              <w:rPr>
                <w:spacing w:val="-5"/>
              </w:rPr>
              <w:t>Interest and other costs of finance paid</w:t>
            </w:r>
          </w:p>
        </w:tc>
        <w:tc>
          <w:tcPr>
            <w:tcW w:w="96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(54) </w:t>
            </w:r>
          </w:p>
        </w:tc>
        <w:tc>
          <w:tcPr>
            <w:tcW w:w="963"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(54) </w:t>
            </w:r>
          </w:p>
        </w:tc>
        <w:tc>
          <w:tcPr>
            <w:tcW w:w="96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(53) </w:t>
            </w:r>
          </w:p>
        </w:tc>
        <w:tc>
          <w:tcPr>
            <w:tcW w:w="107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 </w:t>
            </w:r>
          </w:p>
        </w:tc>
        <w:tc>
          <w:tcPr>
            <w:tcW w:w="1078"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 </w:t>
            </w:r>
          </w:p>
        </w:tc>
        <w:tc>
          <w:tcPr>
            <w:tcW w:w="167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71181">
        <w:tblPrEx>
          <w:tblCellMar>
            <w:top w:w="0" w:type="dxa"/>
            <w:left w:w="0" w:type="dxa"/>
            <w:bottom w:w="0" w:type="dxa"/>
            <w:right w:w="0" w:type="dxa"/>
          </w:tblCellMar>
        </w:tblPrEx>
        <w:trPr>
          <w:trHeight w:val="113"/>
        </w:trPr>
        <w:tc>
          <w:tcPr>
            <w:tcW w:w="3345"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pPr>
            <w:r w:rsidRPr="00771181">
              <w:rPr>
                <w:rStyle w:val="medium"/>
                <w:b/>
                <w:bCs/>
              </w:rPr>
              <w:t>Total payments</w:t>
            </w:r>
          </w:p>
        </w:tc>
        <w:tc>
          <w:tcPr>
            <w:tcW w:w="964" w:type="dxa"/>
            <w:gridSpan w:val="2"/>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(6,577) </w:t>
            </w:r>
          </w:p>
        </w:tc>
        <w:tc>
          <w:tcPr>
            <w:tcW w:w="963" w:type="dxa"/>
            <w:gridSpan w:val="2"/>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(6,672) </w:t>
            </w:r>
          </w:p>
        </w:tc>
        <w:tc>
          <w:tcPr>
            <w:tcW w:w="964" w:type="dxa"/>
            <w:gridSpan w:val="2"/>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(6,641) </w:t>
            </w:r>
          </w:p>
        </w:tc>
        <w:tc>
          <w:tcPr>
            <w:tcW w:w="1077"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(63) </w:t>
            </w:r>
          </w:p>
        </w:tc>
        <w:tc>
          <w:tcPr>
            <w:tcW w:w="1078" w:type="dxa"/>
            <w:gridSpan w:val="2"/>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32 </w:t>
            </w:r>
          </w:p>
        </w:tc>
        <w:tc>
          <w:tcPr>
            <w:tcW w:w="1674" w:type="dxa"/>
            <w:gridSpan w:val="2"/>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71181">
        <w:tblPrEx>
          <w:tblCellMar>
            <w:top w:w="0" w:type="dxa"/>
            <w:left w:w="0" w:type="dxa"/>
            <w:bottom w:w="0" w:type="dxa"/>
            <w:right w:w="0" w:type="dxa"/>
          </w:tblCellMar>
        </w:tblPrEx>
        <w:trPr>
          <w:trHeight w:val="113"/>
        </w:trPr>
        <w:tc>
          <w:tcPr>
            <w:tcW w:w="3345"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pPr>
            <w:r w:rsidRPr="00771181">
              <w:rPr>
                <w:rStyle w:val="medium"/>
                <w:b/>
                <w:bCs/>
              </w:rPr>
              <w:t>Net cash flows from</w:t>
            </w:r>
            <w:proofErr w:type="gramStart"/>
            <w:r w:rsidRPr="00771181">
              <w:rPr>
                <w:rStyle w:val="medium"/>
                <w:b/>
                <w:bCs/>
              </w:rPr>
              <w:t>/(</w:t>
            </w:r>
            <w:proofErr w:type="gramEnd"/>
            <w:r w:rsidRPr="00771181">
              <w:rPr>
                <w:rStyle w:val="medium"/>
                <w:b/>
                <w:bCs/>
              </w:rPr>
              <w:t>used in) operating activities</w:t>
            </w:r>
          </w:p>
        </w:tc>
        <w:tc>
          <w:tcPr>
            <w:tcW w:w="964" w:type="dxa"/>
            <w:gridSpan w:val="2"/>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125 </w:t>
            </w:r>
          </w:p>
        </w:tc>
        <w:tc>
          <w:tcPr>
            <w:tcW w:w="963" w:type="dxa"/>
            <w:gridSpan w:val="2"/>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122 </w:t>
            </w:r>
          </w:p>
        </w:tc>
        <w:tc>
          <w:tcPr>
            <w:tcW w:w="964" w:type="dxa"/>
            <w:gridSpan w:val="2"/>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217 </w:t>
            </w:r>
          </w:p>
        </w:tc>
        <w:tc>
          <w:tcPr>
            <w:tcW w:w="1077"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93 </w:t>
            </w:r>
          </w:p>
        </w:tc>
        <w:tc>
          <w:tcPr>
            <w:tcW w:w="1078" w:type="dxa"/>
            <w:gridSpan w:val="2"/>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96 </w:t>
            </w:r>
          </w:p>
        </w:tc>
        <w:tc>
          <w:tcPr>
            <w:tcW w:w="1674" w:type="dxa"/>
            <w:gridSpan w:val="2"/>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71181">
        <w:tblPrEx>
          <w:tblCellMar>
            <w:top w:w="0" w:type="dxa"/>
            <w:left w:w="0" w:type="dxa"/>
            <w:bottom w:w="0" w:type="dxa"/>
            <w:right w:w="0" w:type="dxa"/>
          </w:tblCellMar>
        </w:tblPrEx>
        <w:trPr>
          <w:trHeight w:val="113"/>
        </w:trPr>
        <w:tc>
          <w:tcPr>
            <w:tcW w:w="3345" w:type="dxa"/>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pPr>
            <w:r w:rsidRPr="00771181">
              <w:rPr>
                <w:rStyle w:val="mediumpurple"/>
                <w:b/>
                <w:bCs/>
              </w:rPr>
              <w:t>Cash flows from investing activities</w:t>
            </w:r>
          </w:p>
        </w:tc>
        <w:tc>
          <w:tcPr>
            <w:tcW w:w="964" w:type="dxa"/>
            <w:gridSpan w:val="2"/>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963" w:type="dxa"/>
            <w:gridSpan w:val="2"/>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964" w:type="dxa"/>
            <w:gridSpan w:val="2"/>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1077" w:type="dxa"/>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1078" w:type="dxa"/>
            <w:gridSpan w:val="2"/>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1674" w:type="dxa"/>
            <w:gridSpan w:val="2"/>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71181">
        <w:tblPrEx>
          <w:tblCellMar>
            <w:top w:w="0" w:type="dxa"/>
            <w:left w:w="0" w:type="dxa"/>
            <w:bottom w:w="0" w:type="dxa"/>
            <w:right w:w="0" w:type="dxa"/>
          </w:tblCellMar>
        </w:tblPrEx>
        <w:trPr>
          <w:trHeight w:val="113"/>
        </w:trPr>
        <w:tc>
          <w:tcPr>
            <w:tcW w:w="3345"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pPr>
            <w:r w:rsidRPr="00771181">
              <w:t>Net investment</w:t>
            </w:r>
          </w:p>
        </w:tc>
        <w:tc>
          <w:tcPr>
            <w:tcW w:w="96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(9) </w:t>
            </w:r>
          </w:p>
        </w:tc>
        <w:tc>
          <w:tcPr>
            <w:tcW w:w="963"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111 </w:t>
            </w:r>
          </w:p>
        </w:tc>
        <w:tc>
          <w:tcPr>
            <w:tcW w:w="96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93 </w:t>
            </w:r>
          </w:p>
        </w:tc>
        <w:tc>
          <w:tcPr>
            <w:tcW w:w="107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102 </w:t>
            </w:r>
          </w:p>
        </w:tc>
        <w:tc>
          <w:tcPr>
            <w:tcW w:w="1078"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(18) </w:t>
            </w:r>
          </w:p>
        </w:tc>
        <w:tc>
          <w:tcPr>
            <w:tcW w:w="167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(vi)</w:t>
            </w:r>
          </w:p>
        </w:tc>
      </w:tr>
      <w:tr w:rsidRPr="00771181" w:rsidR="000D6E6A" w:rsidTr="00771181">
        <w:tblPrEx>
          <w:tblCellMar>
            <w:top w:w="0" w:type="dxa"/>
            <w:left w:w="0" w:type="dxa"/>
            <w:bottom w:w="0" w:type="dxa"/>
            <w:right w:w="0" w:type="dxa"/>
          </w:tblCellMar>
        </w:tblPrEx>
        <w:trPr>
          <w:trHeight w:val="113"/>
        </w:trPr>
        <w:tc>
          <w:tcPr>
            <w:tcW w:w="3345"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pPr>
            <w:r w:rsidRPr="00771181">
              <w:t>Payments for non-financial assets</w:t>
            </w:r>
          </w:p>
        </w:tc>
        <w:tc>
          <w:tcPr>
            <w:tcW w:w="96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(848) </w:t>
            </w:r>
          </w:p>
        </w:tc>
        <w:tc>
          <w:tcPr>
            <w:tcW w:w="963"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(847) </w:t>
            </w:r>
          </w:p>
        </w:tc>
        <w:tc>
          <w:tcPr>
            <w:tcW w:w="96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(738) </w:t>
            </w:r>
          </w:p>
        </w:tc>
        <w:tc>
          <w:tcPr>
            <w:tcW w:w="107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110 </w:t>
            </w:r>
          </w:p>
        </w:tc>
        <w:tc>
          <w:tcPr>
            <w:tcW w:w="1078"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109 </w:t>
            </w:r>
          </w:p>
        </w:tc>
        <w:tc>
          <w:tcPr>
            <w:tcW w:w="167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(vii)</w:t>
            </w:r>
          </w:p>
        </w:tc>
      </w:tr>
      <w:tr w:rsidRPr="00771181" w:rsidR="000D6E6A" w:rsidTr="00771181">
        <w:tblPrEx>
          <w:tblCellMar>
            <w:top w:w="0" w:type="dxa"/>
            <w:left w:w="0" w:type="dxa"/>
            <w:bottom w:w="0" w:type="dxa"/>
            <w:right w:w="0" w:type="dxa"/>
          </w:tblCellMar>
        </w:tblPrEx>
        <w:trPr>
          <w:trHeight w:val="113"/>
        </w:trPr>
        <w:tc>
          <w:tcPr>
            <w:tcW w:w="3345"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pPr>
            <w:r w:rsidRPr="00771181">
              <w:rPr>
                <w:spacing w:val="-5"/>
              </w:rPr>
              <w:t>Proceeds from sale of non-financial assets</w:t>
            </w:r>
          </w:p>
        </w:tc>
        <w:tc>
          <w:tcPr>
            <w:tcW w:w="96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34 </w:t>
            </w:r>
          </w:p>
        </w:tc>
        <w:tc>
          <w:tcPr>
            <w:tcW w:w="963"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34 </w:t>
            </w:r>
          </w:p>
        </w:tc>
        <w:tc>
          <w:tcPr>
            <w:tcW w:w="96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28 </w:t>
            </w:r>
          </w:p>
        </w:tc>
        <w:tc>
          <w:tcPr>
            <w:tcW w:w="107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(6) </w:t>
            </w:r>
          </w:p>
        </w:tc>
        <w:tc>
          <w:tcPr>
            <w:tcW w:w="1078"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(6) </w:t>
            </w:r>
          </w:p>
        </w:tc>
        <w:tc>
          <w:tcPr>
            <w:tcW w:w="167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71181">
        <w:tblPrEx>
          <w:tblCellMar>
            <w:top w:w="0" w:type="dxa"/>
            <w:left w:w="0" w:type="dxa"/>
            <w:bottom w:w="0" w:type="dxa"/>
            <w:right w:w="0" w:type="dxa"/>
          </w:tblCellMar>
        </w:tblPrEx>
        <w:trPr>
          <w:trHeight w:val="113"/>
        </w:trPr>
        <w:tc>
          <w:tcPr>
            <w:tcW w:w="3345"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pPr>
            <w:r w:rsidRPr="00771181">
              <w:t>Net loans to other parties</w:t>
            </w:r>
          </w:p>
        </w:tc>
        <w:tc>
          <w:tcPr>
            <w:tcW w:w="96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963"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96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(9) </w:t>
            </w:r>
          </w:p>
        </w:tc>
        <w:tc>
          <w:tcPr>
            <w:tcW w:w="107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(9) </w:t>
            </w:r>
          </w:p>
        </w:tc>
        <w:tc>
          <w:tcPr>
            <w:tcW w:w="1078"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(9) </w:t>
            </w:r>
          </w:p>
        </w:tc>
        <w:tc>
          <w:tcPr>
            <w:tcW w:w="167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71181">
        <w:tblPrEx>
          <w:tblCellMar>
            <w:top w:w="0" w:type="dxa"/>
            <w:left w:w="0" w:type="dxa"/>
            <w:bottom w:w="0" w:type="dxa"/>
            <w:right w:w="0" w:type="dxa"/>
          </w:tblCellMar>
        </w:tblPrEx>
        <w:trPr>
          <w:trHeight w:val="113"/>
        </w:trPr>
        <w:tc>
          <w:tcPr>
            <w:tcW w:w="3345"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pPr>
            <w:r w:rsidRPr="00771181">
              <w:rPr>
                <w:rStyle w:val="medium"/>
                <w:b/>
                <w:bCs/>
              </w:rPr>
              <w:t>Cash flows from</w:t>
            </w:r>
            <w:proofErr w:type="gramStart"/>
            <w:r w:rsidRPr="00771181">
              <w:rPr>
                <w:rStyle w:val="medium"/>
                <w:b/>
                <w:bCs/>
              </w:rPr>
              <w:t>/(</w:t>
            </w:r>
            <w:proofErr w:type="gramEnd"/>
            <w:r w:rsidRPr="00771181">
              <w:rPr>
                <w:rStyle w:val="medium"/>
                <w:b/>
                <w:bCs/>
              </w:rPr>
              <w:t>used in) investing activities</w:t>
            </w:r>
          </w:p>
        </w:tc>
        <w:tc>
          <w:tcPr>
            <w:tcW w:w="964" w:type="dxa"/>
            <w:gridSpan w:val="2"/>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(823) </w:t>
            </w:r>
          </w:p>
        </w:tc>
        <w:tc>
          <w:tcPr>
            <w:tcW w:w="963" w:type="dxa"/>
            <w:gridSpan w:val="2"/>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(702) </w:t>
            </w:r>
          </w:p>
        </w:tc>
        <w:tc>
          <w:tcPr>
            <w:tcW w:w="964" w:type="dxa"/>
            <w:gridSpan w:val="2"/>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(626) </w:t>
            </w:r>
          </w:p>
        </w:tc>
        <w:tc>
          <w:tcPr>
            <w:tcW w:w="1077"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197 </w:t>
            </w:r>
          </w:p>
        </w:tc>
        <w:tc>
          <w:tcPr>
            <w:tcW w:w="1078" w:type="dxa"/>
            <w:gridSpan w:val="2"/>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76 </w:t>
            </w:r>
          </w:p>
        </w:tc>
        <w:tc>
          <w:tcPr>
            <w:tcW w:w="1674" w:type="dxa"/>
            <w:gridSpan w:val="2"/>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71181">
        <w:tblPrEx>
          <w:tblCellMar>
            <w:top w:w="0" w:type="dxa"/>
            <w:left w:w="0" w:type="dxa"/>
            <w:bottom w:w="0" w:type="dxa"/>
            <w:right w:w="0" w:type="dxa"/>
          </w:tblCellMar>
        </w:tblPrEx>
        <w:trPr>
          <w:trHeight w:val="113"/>
        </w:trPr>
        <w:tc>
          <w:tcPr>
            <w:tcW w:w="3345" w:type="dxa"/>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pPr>
            <w:r w:rsidRPr="00771181">
              <w:rPr>
                <w:rStyle w:val="mediumpurple"/>
                <w:b/>
                <w:bCs/>
              </w:rPr>
              <w:t>Cash flows from financing activities</w:t>
            </w:r>
          </w:p>
        </w:tc>
        <w:tc>
          <w:tcPr>
            <w:tcW w:w="964" w:type="dxa"/>
            <w:gridSpan w:val="2"/>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963" w:type="dxa"/>
            <w:gridSpan w:val="2"/>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964" w:type="dxa"/>
            <w:gridSpan w:val="2"/>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1077" w:type="dxa"/>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1078" w:type="dxa"/>
            <w:gridSpan w:val="2"/>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1674" w:type="dxa"/>
            <w:gridSpan w:val="2"/>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71181">
        <w:tblPrEx>
          <w:tblCellMar>
            <w:top w:w="0" w:type="dxa"/>
            <w:left w:w="0" w:type="dxa"/>
            <w:bottom w:w="0" w:type="dxa"/>
            <w:right w:w="0" w:type="dxa"/>
          </w:tblCellMar>
        </w:tblPrEx>
        <w:trPr>
          <w:trHeight w:val="113"/>
        </w:trPr>
        <w:tc>
          <w:tcPr>
            <w:tcW w:w="3345"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pPr>
            <w:r w:rsidRPr="00771181">
              <w:lastRenderedPageBreak/>
              <w:t>Owner contributions by State Government</w:t>
            </w:r>
          </w:p>
        </w:tc>
        <w:tc>
          <w:tcPr>
            <w:tcW w:w="96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626 </w:t>
            </w:r>
          </w:p>
        </w:tc>
        <w:tc>
          <w:tcPr>
            <w:tcW w:w="963"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623 </w:t>
            </w:r>
          </w:p>
        </w:tc>
        <w:tc>
          <w:tcPr>
            <w:tcW w:w="96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447 </w:t>
            </w:r>
          </w:p>
        </w:tc>
        <w:tc>
          <w:tcPr>
            <w:tcW w:w="107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(179) </w:t>
            </w:r>
          </w:p>
        </w:tc>
        <w:tc>
          <w:tcPr>
            <w:tcW w:w="1078"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(176) </w:t>
            </w:r>
          </w:p>
        </w:tc>
        <w:tc>
          <w:tcPr>
            <w:tcW w:w="167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(viii)</w:t>
            </w:r>
          </w:p>
        </w:tc>
      </w:tr>
      <w:tr w:rsidRPr="00771181" w:rsidR="000D6E6A" w:rsidTr="00771181">
        <w:tblPrEx>
          <w:tblCellMar>
            <w:top w:w="0" w:type="dxa"/>
            <w:left w:w="0" w:type="dxa"/>
            <w:bottom w:w="0" w:type="dxa"/>
            <w:right w:w="0" w:type="dxa"/>
          </w:tblCellMar>
        </w:tblPrEx>
        <w:trPr>
          <w:trHeight w:val="113"/>
        </w:trPr>
        <w:tc>
          <w:tcPr>
            <w:tcW w:w="3345"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pPr>
            <w:r w:rsidRPr="00771181">
              <w:t>Repayment of finance leases</w:t>
            </w:r>
          </w:p>
        </w:tc>
        <w:tc>
          <w:tcPr>
            <w:tcW w:w="96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(18) </w:t>
            </w:r>
          </w:p>
        </w:tc>
        <w:tc>
          <w:tcPr>
            <w:tcW w:w="963"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(18) </w:t>
            </w:r>
          </w:p>
        </w:tc>
        <w:tc>
          <w:tcPr>
            <w:tcW w:w="96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(7) </w:t>
            </w:r>
          </w:p>
        </w:tc>
        <w:tc>
          <w:tcPr>
            <w:tcW w:w="107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11 </w:t>
            </w:r>
          </w:p>
        </w:tc>
        <w:tc>
          <w:tcPr>
            <w:tcW w:w="1078"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11 </w:t>
            </w:r>
          </w:p>
        </w:tc>
        <w:tc>
          <w:tcPr>
            <w:tcW w:w="167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71181">
        <w:tblPrEx>
          <w:tblCellMar>
            <w:top w:w="0" w:type="dxa"/>
            <w:left w:w="0" w:type="dxa"/>
            <w:bottom w:w="0" w:type="dxa"/>
            <w:right w:w="0" w:type="dxa"/>
          </w:tblCellMar>
        </w:tblPrEx>
        <w:trPr>
          <w:trHeight w:val="113"/>
        </w:trPr>
        <w:tc>
          <w:tcPr>
            <w:tcW w:w="3345"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pPr>
            <w:r w:rsidRPr="00771181">
              <w:t>Net borrowings</w:t>
            </w:r>
          </w:p>
        </w:tc>
        <w:tc>
          <w:tcPr>
            <w:tcW w:w="96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(19) </w:t>
            </w:r>
          </w:p>
        </w:tc>
        <w:tc>
          <w:tcPr>
            <w:tcW w:w="963"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(19) </w:t>
            </w:r>
          </w:p>
        </w:tc>
        <w:tc>
          <w:tcPr>
            <w:tcW w:w="96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4 </w:t>
            </w:r>
          </w:p>
        </w:tc>
        <w:tc>
          <w:tcPr>
            <w:tcW w:w="107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23 </w:t>
            </w:r>
          </w:p>
        </w:tc>
        <w:tc>
          <w:tcPr>
            <w:tcW w:w="1078"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23 </w:t>
            </w:r>
          </w:p>
        </w:tc>
        <w:tc>
          <w:tcPr>
            <w:tcW w:w="1674" w:type="dxa"/>
            <w:gridSpan w:val="2"/>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(ix)</w:t>
            </w:r>
          </w:p>
        </w:tc>
      </w:tr>
      <w:tr w:rsidRPr="00771181" w:rsidR="000D6E6A" w:rsidTr="00771181">
        <w:tblPrEx>
          <w:tblCellMar>
            <w:top w:w="0" w:type="dxa"/>
            <w:left w:w="0" w:type="dxa"/>
            <w:bottom w:w="0" w:type="dxa"/>
            <w:right w:w="0" w:type="dxa"/>
          </w:tblCellMar>
        </w:tblPrEx>
        <w:trPr>
          <w:trHeight w:val="113"/>
        </w:trPr>
        <w:tc>
          <w:tcPr>
            <w:tcW w:w="3345"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pPr>
            <w:r w:rsidRPr="00771181">
              <w:rPr>
                <w:rStyle w:val="medium"/>
                <w:b/>
                <w:bCs/>
              </w:rPr>
              <w:t>Net cash flows from</w:t>
            </w:r>
            <w:proofErr w:type="gramStart"/>
            <w:r w:rsidRPr="00771181">
              <w:rPr>
                <w:rStyle w:val="medium"/>
                <w:b/>
                <w:bCs/>
              </w:rPr>
              <w:t>/(</w:t>
            </w:r>
            <w:proofErr w:type="gramEnd"/>
            <w:r w:rsidRPr="00771181">
              <w:rPr>
                <w:rStyle w:val="medium"/>
                <w:b/>
                <w:bCs/>
              </w:rPr>
              <w:t>used in) financing activities</w:t>
            </w:r>
          </w:p>
        </w:tc>
        <w:tc>
          <w:tcPr>
            <w:tcW w:w="964" w:type="dxa"/>
            <w:gridSpan w:val="2"/>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590 </w:t>
            </w:r>
          </w:p>
        </w:tc>
        <w:tc>
          <w:tcPr>
            <w:tcW w:w="963" w:type="dxa"/>
            <w:gridSpan w:val="2"/>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587 </w:t>
            </w:r>
          </w:p>
        </w:tc>
        <w:tc>
          <w:tcPr>
            <w:tcW w:w="964" w:type="dxa"/>
            <w:gridSpan w:val="2"/>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444 </w:t>
            </w:r>
          </w:p>
        </w:tc>
        <w:tc>
          <w:tcPr>
            <w:tcW w:w="1077"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(145) </w:t>
            </w:r>
          </w:p>
        </w:tc>
        <w:tc>
          <w:tcPr>
            <w:tcW w:w="1078" w:type="dxa"/>
            <w:gridSpan w:val="2"/>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(142) </w:t>
            </w:r>
          </w:p>
        </w:tc>
        <w:tc>
          <w:tcPr>
            <w:tcW w:w="1674" w:type="dxa"/>
            <w:gridSpan w:val="2"/>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71181">
        <w:tblPrEx>
          <w:tblCellMar>
            <w:top w:w="0" w:type="dxa"/>
            <w:left w:w="0" w:type="dxa"/>
            <w:bottom w:w="0" w:type="dxa"/>
            <w:right w:w="0" w:type="dxa"/>
          </w:tblCellMar>
        </w:tblPrEx>
        <w:trPr>
          <w:trHeight w:val="113"/>
        </w:trPr>
        <w:tc>
          <w:tcPr>
            <w:tcW w:w="3345"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pPr>
            <w:r w:rsidRPr="00771181">
              <w:rPr>
                <w:rStyle w:val="medium"/>
                <w:b/>
                <w:bCs/>
              </w:rPr>
              <w:t>Net increase/(decrease) in cash and cash equivalents</w:t>
            </w:r>
          </w:p>
        </w:tc>
        <w:tc>
          <w:tcPr>
            <w:tcW w:w="964" w:type="dxa"/>
            <w:gridSpan w:val="2"/>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(109) </w:t>
            </w:r>
          </w:p>
        </w:tc>
        <w:tc>
          <w:tcPr>
            <w:tcW w:w="963" w:type="dxa"/>
            <w:gridSpan w:val="2"/>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7 </w:t>
            </w:r>
          </w:p>
        </w:tc>
        <w:tc>
          <w:tcPr>
            <w:tcW w:w="964" w:type="dxa"/>
            <w:gridSpan w:val="2"/>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35 </w:t>
            </w:r>
          </w:p>
        </w:tc>
        <w:tc>
          <w:tcPr>
            <w:tcW w:w="1077"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145 </w:t>
            </w:r>
          </w:p>
        </w:tc>
        <w:tc>
          <w:tcPr>
            <w:tcW w:w="1078" w:type="dxa"/>
            <w:gridSpan w:val="2"/>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30 </w:t>
            </w:r>
          </w:p>
        </w:tc>
        <w:tc>
          <w:tcPr>
            <w:tcW w:w="1674" w:type="dxa"/>
            <w:gridSpan w:val="2"/>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71181">
        <w:tblPrEx>
          <w:tblCellMar>
            <w:top w:w="0" w:type="dxa"/>
            <w:left w:w="0" w:type="dxa"/>
            <w:bottom w:w="0" w:type="dxa"/>
            <w:right w:w="0" w:type="dxa"/>
          </w:tblCellMar>
        </w:tblPrEx>
        <w:trPr>
          <w:trHeight w:val="113"/>
        </w:trPr>
        <w:tc>
          <w:tcPr>
            <w:tcW w:w="3345" w:type="dxa"/>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pPr>
            <w:r w:rsidRPr="00771181">
              <w:t>Cash and cash equivalents at beginning of financial year</w:t>
            </w:r>
          </w:p>
        </w:tc>
        <w:tc>
          <w:tcPr>
            <w:tcW w:w="964" w:type="dxa"/>
            <w:gridSpan w:val="2"/>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355 </w:t>
            </w:r>
          </w:p>
        </w:tc>
        <w:tc>
          <w:tcPr>
            <w:tcW w:w="963" w:type="dxa"/>
            <w:gridSpan w:val="2"/>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206 </w:t>
            </w:r>
          </w:p>
        </w:tc>
        <w:tc>
          <w:tcPr>
            <w:tcW w:w="964" w:type="dxa"/>
            <w:gridSpan w:val="2"/>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206 </w:t>
            </w:r>
          </w:p>
        </w:tc>
        <w:tc>
          <w:tcPr>
            <w:tcW w:w="1077" w:type="dxa"/>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149 </w:t>
            </w:r>
          </w:p>
        </w:tc>
        <w:tc>
          <w:tcPr>
            <w:tcW w:w="1078" w:type="dxa"/>
            <w:gridSpan w:val="2"/>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1674" w:type="dxa"/>
            <w:gridSpan w:val="2"/>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71181">
        <w:tblPrEx>
          <w:tblCellMar>
            <w:top w:w="0" w:type="dxa"/>
            <w:left w:w="0" w:type="dxa"/>
            <w:bottom w:w="0" w:type="dxa"/>
            <w:right w:w="0" w:type="dxa"/>
          </w:tblCellMar>
        </w:tblPrEx>
        <w:trPr>
          <w:trHeight w:val="113"/>
        </w:trPr>
        <w:tc>
          <w:tcPr>
            <w:tcW w:w="3345"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pPr>
            <w:r w:rsidRPr="00771181">
              <w:rPr>
                <w:rStyle w:val="medium"/>
                <w:b/>
                <w:bCs/>
              </w:rPr>
              <w:t>Cash and cash equivalents at end of financial year</w:t>
            </w:r>
          </w:p>
        </w:tc>
        <w:tc>
          <w:tcPr>
            <w:tcW w:w="964" w:type="dxa"/>
            <w:gridSpan w:val="2"/>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246 </w:t>
            </w:r>
          </w:p>
        </w:tc>
        <w:tc>
          <w:tcPr>
            <w:tcW w:w="963" w:type="dxa"/>
            <w:gridSpan w:val="2"/>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213 </w:t>
            </w:r>
          </w:p>
        </w:tc>
        <w:tc>
          <w:tcPr>
            <w:tcW w:w="964" w:type="dxa"/>
            <w:gridSpan w:val="2"/>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241 </w:t>
            </w:r>
          </w:p>
        </w:tc>
        <w:tc>
          <w:tcPr>
            <w:tcW w:w="1077"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294 </w:t>
            </w:r>
          </w:p>
        </w:tc>
        <w:tc>
          <w:tcPr>
            <w:tcW w:w="1078" w:type="dxa"/>
            <w:gridSpan w:val="2"/>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30 </w:t>
            </w:r>
          </w:p>
        </w:tc>
        <w:tc>
          <w:tcPr>
            <w:tcW w:w="1674" w:type="dxa"/>
            <w:gridSpan w:val="2"/>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bl>
    <w:p w:rsidR="000D6E6A" w:rsidP="00771181" w:rsidRDefault="000D6E6A">
      <w:pPr>
        <w:pStyle w:val="notestable"/>
        <w:tabs>
          <w:tab w:val="clear" w:pos="283"/>
        </w:tabs>
        <w:spacing w:before="60"/>
        <w:ind w:left="284" w:hanging="284"/>
        <w:rPr>
          <w:sz w:val="13"/>
          <w:szCs w:val="13"/>
        </w:rPr>
      </w:pPr>
      <w:r>
        <w:rPr>
          <w:sz w:val="13"/>
          <w:szCs w:val="13"/>
        </w:rPr>
        <w:t>(</w:t>
      </w:r>
      <w:proofErr w:type="spellStart"/>
      <w:r>
        <w:rPr>
          <w:sz w:val="13"/>
          <w:szCs w:val="13"/>
        </w:rPr>
        <w:t>i</w:t>
      </w:r>
      <w:proofErr w:type="spellEnd"/>
      <w:r>
        <w:rPr>
          <w:sz w:val="13"/>
          <w:szCs w:val="13"/>
        </w:rPr>
        <w:t xml:space="preserve">) </w:t>
      </w:r>
      <w:r>
        <w:rPr>
          <w:sz w:val="13"/>
          <w:szCs w:val="13"/>
        </w:rPr>
        <w:tab/>
        <w:t>Figures published in the 2017-18 Victorian Budget, Budget Paper No. 5</w:t>
      </w:r>
    </w:p>
    <w:p w:rsidR="000D6E6A" w:rsidP="00771181" w:rsidRDefault="000D6E6A">
      <w:pPr>
        <w:pStyle w:val="notestable"/>
        <w:tabs>
          <w:tab w:val="clear" w:pos="283"/>
        </w:tabs>
        <w:ind w:left="284" w:hanging="284"/>
        <w:rPr>
          <w:sz w:val="13"/>
          <w:szCs w:val="13"/>
        </w:rPr>
      </w:pPr>
      <w:r>
        <w:rPr>
          <w:sz w:val="13"/>
          <w:szCs w:val="13"/>
        </w:rPr>
        <w:t xml:space="preserve">(ii) </w:t>
      </w:r>
      <w:r>
        <w:rPr>
          <w:sz w:val="13"/>
          <w:szCs w:val="13"/>
        </w:rPr>
        <w:tab/>
        <w:t xml:space="preserve">Figures published in the 2018-19 Victorian Budget, Budget Paper No. 5.  </w:t>
      </w:r>
    </w:p>
    <w:p w:rsidR="000D6E6A" w:rsidP="00771181" w:rsidRDefault="000D6E6A">
      <w:pPr>
        <w:pStyle w:val="notestable"/>
        <w:tabs>
          <w:tab w:val="clear" w:pos="283"/>
        </w:tabs>
        <w:ind w:left="284" w:hanging="284"/>
        <w:rPr>
          <w:sz w:val="13"/>
          <w:szCs w:val="13"/>
        </w:rPr>
      </w:pPr>
      <w:r>
        <w:rPr>
          <w:sz w:val="13"/>
          <w:szCs w:val="13"/>
        </w:rPr>
        <w:t xml:space="preserve">(iii) </w:t>
      </w:r>
      <w:r>
        <w:rPr>
          <w:sz w:val="13"/>
          <w:szCs w:val="13"/>
        </w:rPr>
        <w:tab/>
        <w:t>Receipts from government were higher than the original and revised budgets mainly due to additional funding announced post Budget for initiatives including Prison Capacity Expansion, the Youth Justice Review and Strategy, the Community Safety Statement and firefighting related activities including the Fire Services Statement.</w:t>
      </w:r>
    </w:p>
    <w:p w:rsidR="000D6E6A" w:rsidP="00771181" w:rsidRDefault="000D6E6A">
      <w:pPr>
        <w:pStyle w:val="notestable"/>
        <w:tabs>
          <w:tab w:val="clear" w:pos="283"/>
        </w:tabs>
        <w:ind w:left="284" w:hanging="284"/>
        <w:rPr>
          <w:sz w:val="13"/>
          <w:szCs w:val="13"/>
        </w:rPr>
      </w:pPr>
      <w:r>
        <w:rPr>
          <w:sz w:val="13"/>
          <w:szCs w:val="13"/>
        </w:rPr>
        <w:t xml:space="preserve">(iv) </w:t>
      </w:r>
      <w:r>
        <w:rPr>
          <w:sz w:val="13"/>
          <w:szCs w:val="13"/>
        </w:rPr>
        <w:tab/>
        <w:t>Payments of grants and other transfers were higher than the original budget mainly due to additional grants announced post Budget for firefighting related activities including the Fire Services Statement and additional grants provided to emergency service organisations for the Emergency Management Operational Communications Program.  Payments of grants and other transfers were higher than the revised budget mainly due to the additional grants provided to emergency service organisations for the Emergency Management Operational Communications Program.</w:t>
      </w:r>
    </w:p>
    <w:p w:rsidR="000D6E6A" w:rsidP="00771181" w:rsidRDefault="000D6E6A">
      <w:pPr>
        <w:pStyle w:val="notestable"/>
        <w:tabs>
          <w:tab w:val="clear" w:pos="283"/>
        </w:tabs>
        <w:ind w:left="284" w:hanging="284"/>
        <w:rPr>
          <w:sz w:val="13"/>
          <w:szCs w:val="13"/>
        </w:rPr>
      </w:pPr>
      <w:r>
        <w:rPr>
          <w:sz w:val="13"/>
          <w:szCs w:val="13"/>
        </w:rPr>
        <w:t xml:space="preserve">(v) </w:t>
      </w:r>
      <w:r>
        <w:rPr>
          <w:sz w:val="13"/>
          <w:szCs w:val="13"/>
        </w:rPr>
        <w:tab/>
        <w:t>Payment to suppliers and employees were lower than revised budget mainly due to the carryover of funds from 2017-18 into 2018-19 for initiatives including Public Safety, Community Safety Statement, Police Digital Radio Upgrade Program and an environmental offset for New youth justice facility in Cherry Creek.</w:t>
      </w:r>
    </w:p>
    <w:p w:rsidR="000D6E6A" w:rsidP="00771181" w:rsidRDefault="000D6E6A">
      <w:pPr>
        <w:pStyle w:val="notestable"/>
        <w:tabs>
          <w:tab w:val="clear" w:pos="283"/>
        </w:tabs>
        <w:ind w:left="284" w:hanging="284"/>
        <w:rPr>
          <w:sz w:val="13"/>
          <w:szCs w:val="13"/>
        </w:rPr>
      </w:pPr>
      <w:r>
        <w:rPr>
          <w:sz w:val="13"/>
          <w:szCs w:val="13"/>
        </w:rPr>
        <w:t xml:space="preserve">(vi) </w:t>
      </w:r>
      <w:r>
        <w:rPr>
          <w:sz w:val="13"/>
          <w:szCs w:val="13"/>
        </w:rPr>
        <w:tab/>
        <w:t>The variance of actual cash movements against the original budget was mainly due to the funding transfer from the department’s Victorian Property Fund to the Departmental of Treasury and Finance’s Victorian Social Housing Growth Fund in 2017-18.  The variance of actual cash movements against the revised budget was mainly driven by funding movements in term deposits held for more than three months for the Domestic Builders Fund being classified as net investment. This reflects the department’s investment strategy to maximise returns subject to available funding to meet operational requirements.</w:t>
      </w:r>
    </w:p>
    <w:p w:rsidR="000D6E6A" w:rsidP="00771181" w:rsidRDefault="000D6E6A">
      <w:pPr>
        <w:pStyle w:val="notestable"/>
        <w:tabs>
          <w:tab w:val="clear" w:pos="283"/>
        </w:tabs>
        <w:ind w:left="284" w:hanging="284"/>
        <w:rPr>
          <w:sz w:val="13"/>
          <w:szCs w:val="13"/>
        </w:rPr>
      </w:pPr>
      <w:r>
        <w:rPr>
          <w:sz w:val="13"/>
          <w:szCs w:val="13"/>
        </w:rPr>
        <w:t xml:space="preserve">(vii) </w:t>
      </w:r>
      <w:r>
        <w:rPr>
          <w:sz w:val="13"/>
          <w:szCs w:val="13"/>
        </w:rPr>
        <w:tab/>
        <w:t xml:space="preserve">Payments for non-financial assets were lower than the original and revised budgets mainly due to the </w:t>
      </w:r>
      <w:proofErr w:type="spellStart"/>
      <w:r>
        <w:rPr>
          <w:sz w:val="13"/>
          <w:szCs w:val="13"/>
        </w:rPr>
        <w:t>rephase</w:t>
      </w:r>
      <w:proofErr w:type="spellEnd"/>
      <w:r>
        <w:rPr>
          <w:sz w:val="13"/>
          <w:szCs w:val="13"/>
        </w:rPr>
        <w:t xml:space="preserve"> and carryover of capital funding to align with expected timing of project deliverables from 2017-18 into future years for various prison related initiatives. This was partially offset by a higher than budgeted capital expenditure on software development for Victoria Police.</w:t>
      </w:r>
    </w:p>
    <w:p w:rsidR="000D6E6A" w:rsidP="00771181" w:rsidRDefault="000D6E6A">
      <w:pPr>
        <w:pStyle w:val="notestable"/>
        <w:tabs>
          <w:tab w:val="clear" w:pos="283"/>
        </w:tabs>
        <w:ind w:left="284" w:hanging="284"/>
        <w:rPr>
          <w:sz w:val="13"/>
          <w:szCs w:val="13"/>
        </w:rPr>
      </w:pPr>
      <w:r>
        <w:rPr>
          <w:sz w:val="13"/>
          <w:szCs w:val="13"/>
        </w:rPr>
        <w:t>(viii)</w:t>
      </w:r>
      <w:r>
        <w:rPr>
          <w:sz w:val="13"/>
          <w:szCs w:val="13"/>
        </w:rPr>
        <w:tab/>
        <w:t xml:space="preserve">Owner contributions by State Government were lower than the original and revised budgets mainly due to the </w:t>
      </w:r>
      <w:proofErr w:type="spellStart"/>
      <w:r>
        <w:rPr>
          <w:sz w:val="13"/>
          <w:szCs w:val="13"/>
        </w:rPr>
        <w:t>rephasing</w:t>
      </w:r>
      <w:proofErr w:type="spellEnd"/>
      <w:r>
        <w:rPr>
          <w:sz w:val="13"/>
          <w:szCs w:val="13"/>
        </w:rPr>
        <w:t xml:space="preserve"> and carryover of capital funding into 2018-19 and future years to align with expected deliverables for prison related initiatives.</w:t>
      </w:r>
    </w:p>
    <w:p w:rsidR="000D6E6A" w:rsidP="00771181" w:rsidRDefault="000D6E6A">
      <w:pPr>
        <w:pStyle w:val="notestable"/>
        <w:tabs>
          <w:tab w:val="clear" w:pos="283"/>
        </w:tabs>
        <w:ind w:left="284" w:hanging="284"/>
        <w:rPr>
          <w:sz w:val="13"/>
          <w:szCs w:val="13"/>
        </w:rPr>
      </w:pPr>
      <w:r>
        <w:rPr>
          <w:sz w:val="13"/>
          <w:szCs w:val="13"/>
        </w:rPr>
        <w:t xml:space="preserve">(ix) </w:t>
      </w:r>
      <w:r>
        <w:rPr>
          <w:sz w:val="13"/>
          <w:szCs w:val="13"/>
        </w:rPr>
        <w:tab/>
        <w:t>The actual cash movement against the original and revised budgets was mainly due to higher than budgeted motor vehicle lease costs to support Victoria Police’s operations.</w:t>
      </w:r>
    </w:p>
    <w:p w:rsidR="000D6E6A" w:rsidRDefault="000D6E6A">
      <w:pPr>
        <w:pStyle w:val="notestable"/>
        <w:rPr>
          <w:sz w:val="13"/>
          <w:szCs w:val="13"/>
        </w:rPr>
      </w:pPr>
    </w:p>
    <w:p w:rsidR="000D6E6A" w:rsidRDefault="000D6E6A">
      <w:pPr>
        <w:pStyle w:val="notestable"/>
        <w:rPr>
          <w:b/>
          <w:bCs/>
          <w:color w:val="542E8E"/>
          <w:sz w:val="24"/>
          <w:szCs w:val="24"/>
        </w:rPr>
      </w:pPr>
      <w:r>
        <w:rPr>
          <w:b/>
          <w:bCs/>
          <w:color w:val="542E8E"/>
          <w:sz w:val="24"/>
          <w:szCs w:val="24"/>
        </w:rPr>
        <w:t>Statement of changes in equity for the year ended 30 June 2018</w:t>
      </w:r>
    </w:p>
    <w:tbl>
      <w:tblPr>
        <w:tblW w:w="0" w:type="auto"/>
        <w:tblInd w:w="57" w:type="dxa"/>
        <w:tblLayout w:type="fixed"/>
        <w:tblCellMar>
          <w:left w:w="0" w:type="dxa"/>
          <w:right w:w="0" w:type="dxa"/>
        </w:tblCellMar>
        <w:tblLook w:firstRow="0" w:lastRow="0" w:firstColumn="0" w:lastColumn="0" w:noHBand="0" w:noVBand="0" w:val="0000"/>
      </w:tblPr>
      <w:tblGrid>
        <w:gridCol w:w="4111"/>
        <w:gridCol w:w="1418"/>
        <w:gridCol w:w="1275"/>
        <w:gridCol w:w="1276"/>
        <w:gridCol w:w="851"/>
        <w:gridCol w:w="1134"/>
      </w:tblGrid>
      <w:tr w:rsidRPr="00771181" w:rsidR="000D6E6A" w:rsidTr="00771181">
        <w:tblPrEx>
          <w:tblCellMar>
            <w:top w:w="0" w:type="dxa"/>
            <w:left w:w="0" w:type="dxa"/>
            <w:bottom w:w="0" w:type="dxa"/>
            <w:right w:w="0" w:type="dxa"/>
          </w:tblCellMar>
        </w:tblPrEx>
        <w:trPr>
          <w:trHeight w:val="113"/>
          <w:tblHeader/>
        </w:trPr>
        <w:tc>
          <w:tcPr>
            <w:tcW w:w="4111"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1418"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1275"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1276"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851"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1134"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purple"/>
                <w:b/>
                <w:bCs/>
              </w:rPr>
              <w:t>($ million)</w:t>
            </w:r>
          </w:p>
        </w:tc>
      </w:tr>
      <w:tr w:rsidRPr="00771181" w:rsidR="000D6E6A" w:rsidTr="00771181">
        <w:tblPrEx>
          <w:tblCellMar>
            <w:top w:w="0" w:type="dxa"/>
            <w:left w:w="0" w:type="dxa"/>
            <w:bottom w:w="0" w:type="dxa"/>
            <w:right w:w="0" w:type="dxa"/>
          </w:tblCellMar>
        </w:tblPrEx>
        <w:trPr>
          <w:trHeight w:val="113"/>
          <w:tblHeader/>
        </w:trPr>
        <w:tc>
          <w:tcPr>
            <w:tcW w:w="4111"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1418"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purple"/>
                <w:b/>
                <w:bCs/>
              </w:rPr>
              <w:t>Accumulated surplus/(deficit)</w:t>
            </w:r>
          </w:p>
        </w:tc>
        <w:tc>
          <w:tcPr>
            <w:tcW w:w="1275"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purple"/>
                <w:b/>
                <w:bCs/>
              </w:rPr>
              <w:t>Contributions by owners</w:t>
            </w:r>
          </w:p>
        </w:tc>
        <w:tc>
          <w:tcPr>
            <w:tcW w:w="1276"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purple"/>
                <w:b/>
                <w:bCs/>
              </w:rPr>
              <w:t>Revaluation surplus</w:t>
            </w:r>
          </w:p>
        </w:tc>
        <w:tc>
          <w:tcPr>
            <w:tcW w:w="851"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purple"/>
                <w:b/>
                <w:bCs/>
              </w:rPr>
              <w:t>Other reserves</w:t>
            </w:r>
          </w:p>
        </w:tc>
        <w:tc>
          <w:tcPr>
            <w:tcW w:w="1134"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purple"/>
                <w:b/>
                <w:bCs/>
              </w:rPr>
              <w:t>Total equity</w:t>
            </w:r>
          </w:p>
        </w:tc>
      </w:tr>
      <w:tr w:rsidRPr="00771181" w:rsidR="000D6E6A" w:rsidTr="00771181">
        <w:tblPrEx>
          <w:tblCellMar>
            <w:top w:w="0" w:type="dxa"/>
            <w:left w:w="0" w:type="dxa"/>
            <w:bottom w:w="0" w:type="dxa"/>
            <w:right w:w="0" w:type="dxa"/>
          </w:tblCellMar>
        </w:tblPrEx>
        <w:trPr>
          <w:trHeight w:val="113"/>
        </w:trPr>
        <w:tc>
          <w:tcPr>
            <w:tcW w:w="4111"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pPr>
            <w:r w:rsidRPr="00771181">
              <w:rPr>
                <w:rStyle w:val="mediumpurple"/>
                <w:b/>
                <w:bCs/>
              </w:rPr>
              <w:t>Original budget 2017-18 (</w:t>
            </w:r>
            <w:proofErr w:type="spellStart"/>
            <w:r w:rsidRPr="00771181">
              <w:rPr>
                <w:rStyle w:val="mediumpurple"/>
                <w:b/>
                <w:bCs/>
              </w:rPr>
              <w:t>i</w:t>
            </w:r>
            <w:proofErr w:type="spellEnd"/>
            <w:r w:rsidRPr="00771181">
              <w:rPr>
                <w:rStyle w:val="mediumpurple"/>
                <w:b/>
                <w:bCs/>
              </w:rPr>
              <w:t>)</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1275"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71181">
        <w:tblPrEx>
          <w:tblCellMar>
            <w:top w:w="0" w:type="dxa"/>
            <w:left w:w="0" w:type="dxa"/>
            <w:bottom w:w="0" w:type="dxa"/>
            <w:right w:w="0" w:type="dxa"/>
          </w:tblCellMar>
        </w:tblPrEx>
        <w:trPr>
          <w:trHeight w:val="113"/>
        </w:trPr>
        <w:tc>
          <w:tcPr>
            <w:tcW w:w="4111"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pPr>
            <w:r w:rsidRPr="00771181">
              <w:rPr>
                <w:rStyle w:val="medium"/>
                <w:b/>
                <w:bCs/>
              </w:rPr>
              <w:t>Opening balance 1 July 2017</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1,157 </w:t>
            </w:r>
          </w:p>
        </w:tc>
        <w:tc>
          <w:tcPr>
            <w:tcW w:w="1275"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2,017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1,312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4,486 </w:t>
            </w:r>
          </w:p>
        </w:tc>
      </w:tr>
      <w:tr w:rsidRPr="00771181" w:rsidR="000D6E6A" w:rsidTr="00771181">
        <w:tblPrEx>
          <w:tblCellMar>
            <w:top w:w="0" w:type="dxa"/>
            <w:left w:w="0" w:type="dxa"/>
            <w:bottom w:w="0" w:type="dxa"/>
            <w:right w:w="0" w:type="dxa"/>
          </w:tblCellMar>
        </w:tblPrEx>
        <w:trPr>
          <w:trHeight w:val="113"/>
        </w:trPr>
        <w:tc>
          <w:tcPr>
            <w:tcW w:w="4111"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pPr>
            <w:r w:rsidRPr="00771181">
              <w:t>Comprehensive result</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4 </w:t>
            </w:r>
          </w:p>
        </w:tc>
        <w:tc>
          <w:tcPr>
            <w:tcW w:w="1275"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4 </w:t>
            </w:r>
          </w:p>
        </w:tc>
      </w:tr>
      <w:tr w:rsidRPr="00771181" w:rsidR="000D6E6A" w:rsidTr="00771181">
        <w:tblPrEx>
          <w:tblCellMar>
            <w:top w:w="0" w:type="dxa"/>
            <w:left w:w="0" w:type="dxa"/>
            <w:bottom w:w="0" w:type="dxa"/>
            <w:right w:w="0" w:type="dxa"/>
          </w:tblCellMar>
        </w:tblPrEx>
        <w:trPr>
          <w:trHeight w:val="113"/>
        </w:trPr>
        <w:tc>
          <w:tcPr>
            <w:tcW w:w="4111"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pPr>
            <w:r w:rsidRPr="00771181">
              <w:t>Transactions with owners in their capacity as owners</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1275"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626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626 </w:t>
            </w:r>
          </w:p>
        </w:tc>
      </w:tr>
      <w:tr w:rsidRPr="00771181" w:rsidR="000D6E6A" w:rsidTr="00771181">
        <w:tblPrEx>
          <w:tblCellMar>
            <w:top w:w="0" w:type="dxa"/>
            <w:left w:w="0" w:type="dxa"/>
            <w:bottom w:w="0" w:type="dxa"/>
            <w:right w:w="0" w:type="dxa"/>
          </w:tblCellMar>
        </w:tblPrEx>
        <w:trPr>
          <w:trHeight w:val="113"/>
        </w:trPr>
        <w:tc>
          <w:tcPr>
            <w:tcW w:w="4111"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pPr>
            <w:r w:rsidRPr="00771181">
              <w:rPr>
                <w:rStyle w:val="medium"/>
                <w:b/>
                <w:bCs/>
              </w:rPr>
              <w:t>Closing balance 30 June 2018</w:t>
            </w:r>
          </w:p>
        </w:tc>
        <w:tc>
          <w:tcPr>
            <w:tcW w:w="1418"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1,160 </w:t>
            </w:r>
          </w:p>
        </w:tc>
        <w:tc>
          <w:tcPr>
            <w:tcW w:w="1275"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2,643 </w:t>
            </w:r>
          </w:p>
        </w:tc>
        <w:tc>
          <w:tcPr>
            <w:tcW w:w="1276"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1,312 </w:t>
            </w:r>
          </w:p>
        </w:tc>
        <w:tc>
          <w:tcPr>
            <w:tcW w:w="851"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0 </w:t>
            </w:r>
          </w:p>
        </w:tc>
        <w:tc>
          <w:tcPr>
            <w:tcW w:w="1134"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5,115 </w:t>
            </w:r>
          </w:p>
        </w:tc>
      </w:tr>
      <w:tr w:rsidRPr="00771181" w:rsidR="000D6E6A" w:rsidTr="00771181">
        <w:tblPrEx>
          <w:tblCellMar>
            <w:top w:w="0" w:type="dxa"/>
            <w:left w:w="0" w:type="dxa"/>
            <w:bottom w:w="0" w:type="dxa"/>
            <w:right w:w="0" w:type="dxa"/>
          </w:tblCellMar>
        </w:tblPrEx>
        <w:trPr>
          <w:trHeight w:val="113"/>
        </w:trPr>
        <w:tc>
          <w:tcPr>
            <w:tcW w:w="4111" w:type="dxa"/>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pPr>
            <w:r w:rsidRPr="00771181">
              <w:rPr>
                <w:rStyle w:val="mediumpurple"/>
                <w:b/>
                <w:bCs/>
              </w:rPr>
              <w:t>Revised budget 2017-18 (ii)</w:t>
            </w:r>
          </w:p>
        </w:tc>
        <w:tc>
          <w:tcPr>
            <w:tcW w:w="1418" w:type="dxa"/>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1275" w:type="dxa"/>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1276" w:type="dxa"/>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851" w:type="dxa"/>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1134" w:type="dxa"/>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71181">
        <w:tblPrEx>
          <w:tblCellMar>
            <w:top w:w="0" w:type="dxa"/>
            <w:left w:w="0" w:type="dxa"/>
            <w:bottom w:w="0" w:type="dxa"/>
            <w:right w:w="0" w:type="dxa"/>
          </w:tblCellMar>
        </w:tblPrEx>
        <w:trPr>
          <w:trHeight w:val="113"/>
        </w:trPr>
        <w:tc>
          <w:tcPr>
            <w:tcW w:w="4111"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pPr>
            <w:r w:rsidRPr="00771181">
              <w:rPr>
                <w:rStyle w:val="medium"/>
                <w:b/>
                <w:bCs/>
              </w:rPr>
              <w:t>Opening balance 1 July 2017</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1,195 </w:t>
            </w:r>
          </w:p>
        </w:tc>
        <w:tc>
          <w:tcPr>
            <w:tcW w:w="1275"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1,919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1,363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4,477 </w:t>
            </w:r>
          </w:p>
        </w:tc>
      </w:tr>
      <w:tr w:rsidRPr="00771181" w:rsidR="000D6E6A" w:rsidTr="00771181">
        <w:tblPrEx>
          <w:tblCellMar>
            <w:top w:w="0" w:type="dxa"/>
            <w:left w:w="0" w:type="dxa"/>
            <w:bottom w:w="0" w:type="dxa"/>
            <w:right w:w="0" w:type="dxa"/>
          </w:tblCellMar>
        </w:tblPrEx>
        <w:trPr>
          <w:trHeight w:val="113"/>
        </w:trPr>
        <w:tc>
          <w:tcPr>
            <w:tcW w:w="4111"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pPr>
            <w:r w:rsidRPr="00771181">
              <w:t>Comprehensive result</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(20) </w:t>
            </w:r>
          </w:p>
        </w:tc>
        <w:tc>
          <w:tcPr>
            <w:tcW w:w="1275"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(20) </w:t>
            </w:r>
          </w:p>
        </w:tc>
      </w:tr>
      <w:tr w:rsidRPr="00771181" w:rsidR="000D6E6A" w:rsidTr="00771181">
        <w:tblPrEx>
          <w:tblCellMar>
            <w:top w:w="0" w:type="dxa"/>
            <w:left w:w="0" w:type="dxa"/>
            <w:bottom w:w="0" w:type="dxa"/>
            <w:right w:w="0" w:type="dxa"/>
          </w:tblCellMar>
        </w:tblPrEx>
        <w:trPr>
          <w:trHeight w:val="113"/>
        </w:trPr>
        <w:tc>
          <w:tcPr>
            <w:tcW w:w="4111"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pPr>
            <w:r w:rsidRPr="00771181">
              <w:t>Transactions with owners in their capacity as owners</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1275"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623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623 </w:t>
            </w:r>
          </w:p>
        </w:tc>
      </w:tr>
      <w:tr w:rsidRPr="00771181" w:rsidR="000D6E6A" w:rsidTr="00771181">
        <w:tblPrEx>
          <w:tblCellMar>
            <w:top w:w="0" w:type="dxa"/>
            <w:left w:w="0" w:type="dxa"/>
            <w:bottom w:w="0" w:type="dxa"/>
            <w:right w:w="0" w:type="dxa"/>
          </w:tblCellMar>
        </w:tblPrEx>
        <w:trPr>
          <w:trHeight w:val="113"/>
        </w:trPr>
        <w:tc>
          <w:tcPr>
            <w:tcW w:w="4111"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pPr>
            <w:r w:rsidRPr="00771181">
              <w:rPr>
                <w:rStyle w:val="medium"/>
                <w:b/>
                <w:bCs/>
              </w:rPr>
              <w:t>Closing balance 30 June 2018</w:t>
            </w:r>
          </w:p>
        </w:tc>
        <w:tc>
          <w:tcPr>
            <w:tcW w:w="1418"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1,175 </w:t>
            </w:r>
          </w:p>
        </w:tc>
        <w:tc>
          <w:tcPr>
            <w:tcW w:w="1275"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2,542 </w:t>
            </w:r>
          </w:p>
        </w:tc>
        <w:tc>
          <w:tcPr>
            <w:tcW w:w="1276"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1,363 </w:t>
            </w:r>
          </w:p>
        </w:tc>
        <w:tc>
          <w:tcPr>
            <w:tcW w:w="851"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0 </w:t>
            </w:r>
          </w:p>
        </w:tc>
        <w:tc>
          <w:tcPr>
            <w:tcW w:w="1134"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5,080 </w:t>
            </w:r>
          </w:p>
        </w:tc>
      </w:tr>
      <w:tr w:rsidRPr="00771181" w:rsidR="000D6E6A" w:rsidTr="00771181">
        <w:tblPrEx>
          <w:tblCellMar>
            <w:top w:w="0" w:type="dxa"/>
            <w:left w:w="0" w:type="dxa"/>
            <w:bottom w:w="0" w:type="dxa"/>
            <w:right w:w="0" w:type="dxa"/>
          </w:tblCellMar>
        </w:tblPrEx>
        <w:trPr>
          <w:trHeight w:val="113"/>
        </w:trPr>
        <w:tc>
          <w:tcPr>
            <w:tcW w:w="4111" w:type="dxa"/>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pPr>
            <w:r w:rsidRPr="00771181">
              <w:rPr>
                <w:rStyle w:val="mediumpurple"/>
                <w:b/>
                <w:bCs/>
              </w:rPr>
              <w:t>Actual 2017-18</w:t>
            </w:r>
          </w:p>
        </w:tc>
        <w:tc>
          <w:tcPr>
            <w:tcW w:w="1418" w:type="dxa"/>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1275" w:type="dxa"/>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1276" w:type="dxa"/>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851" w:type="dxa"/>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1134" w:type="dxa"/>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71181">
        <w:tblPrEx>
          <w:tblCellMar>
            <w:top w:w="0" w:type="dxa"/>
            <w:left w:w="0" w:type="dxa"/>
            <w:bottom w:w="0" w:type="dxa"/>
            <w:right w:w="0" w:type="dxa"/>
          </w:tblCellMar>
        </w:tblPrEx>
        <w:trPr>
          <w:trHeight w:val="113"/>
        </w:trPr>
        <w:tc>
          <w:tcPr>
            <w:tcW w:w="4111"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pPr>
            <w:r w:rsidRPr="00771181">
              <w:rPr>
                <w:rStyle w:val="medium"/>
                <w:b/>
                <w:bCs/>
              </w:rPr>
              <w:t>Opening balance 1 July 2017</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1,195 </w:t>
            </w:r>
          </w:p>
        </w:tc>
        <w:tc>
          <w:tcPr>
            <w:tcW w:w="1275"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1,919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1,363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4,477 </w:t>
            </w:r>
          </w:p>
        </w:tc>
      </w:tr>
      <w:tr w:rsidRPr="00771181" w:rsidR="000D6E6A" w:rsidTr="00771181">
        <w:tblPrEx>
          <w:tblCellMar>
            <w:top w:w="0" w:type="dxa"/>
            <w:left w:w="0" w:type="dxa"/>
            <w:bottom w:w="0" w:type="dxa"/>
            <w:right w:w="0" w:type="dxa"/>
          </w:tblCellMar>
        </w:tblPrEx>
        <w:trPr>
          <w:trHeight w:val="113"/>
        </w:trPr>
        <w:tc>
          <w:tcPr>
            <w:tcW w:w="4111"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pPr>
            <w:r w:rsidRPr="00771181">
              <w:t>Comprehensive result</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54 </w:t>
            </w:r>
          </w:p>
        </w:tc>
        <w:tc>
          <w:tcPr>
            <w:tcW w:w="1275"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30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84 </w:t>
            </w:r>
          </w:p>
        </w:tc>
      </w:tr>
      <w:tr w:rsidRPr="00771181" w:rsidR="000D6E6A" w:rsidTr="00771181">
        <w:tblPrEx>
          <w:tblCellMar>
            <w:top w:w="0" w:type="dxa"/>
            <w:left w:w="0" w:type="dxa"/>
            <w:bottom w:w="0" w:type="dxa"/>
            <w:right w:w="0" w:type="dxa"/>
          </w:tblCellMar>
        </w:tblPrEx>
        <w:trPr>
          <w:trHeight w:val="113"/>
        </w:trPr>
        <w:tc>
          <w:tcPr>
            <w:tcW w:w="4111"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pPr>
            <w:r w:rsidRPr="00771181">
              <w:t>Transactions with owners in their capacity as owners</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1275"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447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447 </w:t>
            </w:r>
          </w:p>
        </w:tc>
      </w:tr>
      <w:tr w:rsidRPr="00771181" w:rsidR="000D6E6A" w:rsidTr="00771181">
        <w:tblPrEx>
          <w:tblCellMar>
            <w:top w:w="0" w:type="dxa"/>
            <w:left w:w="0" w:type="dxa"/>
            <w:bottom w:w="0" w:type="dxa"/>
            <w:right w:w="0" w:type="dxa"/>
          </w:tblCellMar>
        </w:tblPrEx>
        <w:trPr>
          <w:trHeight w:val="113"/>
        </w:trPr>
        <w:tc>
          <w:tcPr>
            <w:tcW w:w="4111"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pPr>
            <w:r w:rsidRPr="00771181">
              <w:rPr>
                <w:rStyle w:val="medium"/>
                <w:b/>
                <w:bCs/>
              </w:rPr>
              <w:t>Closing balance 30 June 2018</w:t>
            </w:r>
          </w:p>
        </w:tc>
        <w:tc>
          <w:tcPr>
            <w:tcW w:w="1418"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1,249 </w:t>
            </w:r>
          </w:p>
        </w:tc>
        <w:tc>
          <w:tcPr>
            <w:tcW w:w="1275"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2,366 </w:t>
            </w:r>
          </w:p>
        </w:tc>
        <w:tc>
          <w:tcPr>
            <w:tcW w:w="1276"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1,393 </w:t>
            </w:r>
          </w:p>
        </w:tc>
        <w:tc>
          <w:tcPr>
            <w:tcW w:w="851"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0 </w:t>
            </w:r>
          </w:p>
        </w:tc>
        <w:tc>
          <w:tcPr>
            <w:tcW w:w="1134"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5,008 </w:t>
            </w:r>
          </w:p>
        </w:tc>
      </w:tr>
      <w:tr w:rsidRPr="00771181" w:rsidR="000D6E6A" w:rsidTr="00771181">
        <w:tblPrEx>
          <w:tblCellMar>
            <w:top w:w="0" w:type="dxa"/>
            <w:left w:w="0" w:type="dxa"/>
            <w:bottom w:w="0" w:type="dxa"/>
            <w:right w:w="0" w:type="dxa"/>
          </w:tblCellMar>
        </w:tblPrEx>
        <w:trPr>
          <w:trHeight w:val="113"/>
        </w:trPr>
        <w:tc>
          <w:tcPr>
            <w:tcW w:w="10065" w:type="dxa"/>
            <w:gridSpan w:val="6"/>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pPr>
            <w:r w:rsidRPr="00771181">
              <w:rPr>
                <w:rStyle w:val="mediumpurple"/>
                <w:b/>
                <w:bCs/>
              </w:rPr>
              <w:t>Variance for original budget to actual 2017-18</w:t>
            </w:r>
          </w:p>
        </w:tc>
      </w:tr>
      <w:tr w:rsidRPr="00771181" w:rsidR="000D6E6A" w:rsidTr="00771181">
        <w:tblPrEx>
          <w:tblCellMar>
            <w:top w:w="0" w:type="dxa"/>
            <w:left w:w="0" w:type="dxa"/>
            <w:bottom w:w="0" w:type="dxa"/>
            <w:right w:w="0" w:type="dxa"/>
          </w:tblCellMar>
        </w:tblPrEx>
        <w:trPr>
          <w:trHeight w:val="113"/>
        </w:trPr>
        <w:tc>
          <w:tcPr>
            <w:tcW w:w="4111"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pPr>
            <w:r w:rsidRPr="00771181">
              <w:rPr>
                <w:rStyle w:val="medium"/>
                <w:b/>
                <w:bCs/>
              </w:rPr>
              <w:t>Opening balance 1 July 2017</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38 </w:t>
            </w:r>
          </w:p>
        </w:tc>
        <w:tc>
          <w:tcPr>
            <w:tcW w:w="1275"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(98)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51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9 </w:t>
            </w:r>
          </w:p>
        </w:tc>
      </w:tr>
      <w:tr w:rsidRPr="00771181" w:rsidR="000D6E6A" w:rsidTr="00771181">
        <w:tblPrEx>
          <w:tblCellMar>
            <w:top w:w="0" w:type="dxa"/>
            <w:left w:w="0" w:type="dxa"/>
            <w:bottom w:w="0" w:type="dxa"/>
            <w:right w:w="0" w:type="dxa"/>
          </w:tblCellMar>
        </w:tblPrEx>
        <w:trPr>
          <w:trHeight w:val="113"/>
        </w:trPr>
        <w:tc>
          <w:tcPr>
            <w:tcW w:w="4111"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pPr>
            <w:r w:rsidRPr="00771181">
              <w:t>Comprehensive result</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50 </w:t>
            </w:r>
          </w:p>
        </w:tc>
        <w:tc>
          <w:tcPr>
            <w:tcW w:w="1275"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30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(80) </w:t>
            </w:r>
          </w:p>
        </w:tc>
      </w:tr>
      <w:tr w:rsidRPr="00771181" w:rsidR="000D6E6A" w:rsidTr="00771181">
        <w:tblPrEx>
          <w:tblCellMar>
            <w:top w:w="0" w:type="dxa"/>
            <w:left w:w="0" w:type="dxa"/>
            <w:bottom w:w="0" w:type="dxa"/>
            <w:right w:w="0" w:type="dxa"/>
          </w:tblCellMar>
        </w:tblPrEx>
        <w:trPr>
          <w:trHeight w:val="113"/>
        </w:trPr>
        <w:tc>
          <w:tcPr>
            <w:tcW w:w="4111"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pPr>
            <w:r w:rsidRPr="00771181">
              <w:t>Transactions with owners in their capacity as owners</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1275"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(179)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179 </w:t>
            </w:r>
          </w:p>
        </w:tc>
      </w:tr>
      <w:tr w:rsidRPr="00771181" w:rsidR="000D6E6A" w:rsidTr="00771181">
        <w:tblPrEx>
          <w:tblCellMar>
            <w:top w:w="0" w:type="dxa"/>
            <w:left w:w="0" w:type="dxa"/>
            <w:bottom w:w="0" w:type="dxa"/>
            <w:right w:w="0" w:type="dxa"/>
          </w:tblCellMar>
        </w:tblPrEx>
        <w:trPr>
          <w:trHeight w:val="113"/>
        </w:trPr>
        <w:tc>
          <w:tcPr>
            <w:tcW w:w="4111"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pPr>
            <w:r w:rsidRPr="00771181">
              <w:rPr>
                <w:rStyle w:val="medium"/>
                <w:b/>
                <w:bCs/>
              </w:rPr>
              <w:t>Closing balance 30 June 2018</w:t>
            </w:r>
          </w:p>
        </w:tc>
        <w:tc>
          <w:tcPr>
            <w:tcW w:w="1418"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88 </w:t>
            </w:r>
          </w:p>
        </w:tc>
        <w:tc>
          <w:tcPr>
            <w:tcW w:w="1275"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(277) </w:t>
            </w:r>
          </w:p>
        </w:tc>
        <w:tc>
          <w:tcPr>
            <w:tcW w:w="1276"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81 </w:t>
            </w:r>
          </w:p>
        </w:tc>
        <w:tc>
          <w:tcPr>
            <w:tcW w:w="851"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0 </w:t>
            </w:r>
          </w:p>
        </w:tc>
        <w:tc>
          <w:tcPr>
            <w:tcW w:w="1134"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108 </w:t>
            </w:r>
          </w:p>
        </w:tc>
      </w:tr>
      <w:tr w:rsidRPr="00771181" w:rsidR="000D6E6A" w:rsidTr="00771181">
        <w:tblPrEx>
          <w:tblCellMar>
            <w:top w:w="0" w:type="dxa"/>
            <w:left w:w="0" w:type="dxa"/>
            <w:bottom w:w="0" w:type="dxa"/>
            <w:right w:w="0" w:type="dxa"/>
          </w:tblCellMar>
        </w:tblPrEx>
        <w:trPr>
          <w:trHeight w:val="113"/>
        </w:trPr>
        <w:tc>
          <w:tcPr>
            <w:tcW w:w="10065" w:type="dxa"/>
            <w:gridSpan w:val="6"/>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pPr>
            <w:r w:rsidRPr="00771181">
              <w:rPr>
                <w:rStyle w:val="mediumpurple"/>
                <w:b/>
                <w:bCs/>
              </w:rPr>
              <w:t>Variance for revised budget to actual 2017-18</w:t>
            </w:r>
          </w:p>
        </w:tc>
      </w:tr>
      <w:tr w:rsidRPr="00771181" w:rsidR="000D6E6A" w:rsidTr="00771181">
        <w:tblPrEx>
          <w:tblCellMar>
            <w:top w:w="0" w:type="dxa"/>
            <w:left w:w="0" w:type="dxa"/>
            <w:bottom w:w="0" w:type="dxa"/>
            <w:right w:w="0" w:type="dxa"/>
          </w:tblCellMar>
        </w:tblPrEx>
        <w:trPr>
          <w:trHeight w:val="113"/>
        </w:trPr>
        <w:tc>
          <w:tcPr>
            <w:tcW w:w="4111"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pPr>
            <w:r w:rsidRPr="00771181">
              <w:rPr>
                <w:rStyle w:val="medium"/>
                <w:b/>
                <w:bCs/>
              </w:rPr>
              <w:lastRenderedPageBreak/>
              <w:t>Opening balance 1 July 2017</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1275"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r>
      <w:tr w:rsidRPr="00771181" w:rsidR="000D6E6A" w:rsidTr="00771181">
        <w:tblPrEx>
          <w:tblCellMar>
            <w:top w:w="0" w:type="dxa"/>
            <w:left w:w="0" w:type="dxa"/>
            <w:bottom w:w="0" w:type="dxa"/>
            <w:right w:w="0" w:type="dxa"/>
          </w:tblCellMar>
        </w:tblPrEx>
        <w:trPr>
          <w:trHeight w:val="113"/>
        </w:trPr>
        <w:tc>
          <w:tcPr>
            <w:tcW w:w="4111"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pPr>
            <w:r w:rsidRPr="00771181">
              <w:t>Comprehensive result</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74 </w:t>
            </w:r>
          </w:p>
        </w:tc>
        <w:tc>
          <w:tcPr>
            <w:tcW w:w="1275"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30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(104) </w:t>
            </w:r>
          </w:p>
        </w:tc>
      </w:tr>
      <w:tr w:rsidRPr="00771181" w:rsidR="000D6E6A" w:rsidTr="00771181">
        <w:tblPrEx>
          <w:tblCellMar>
            <w:top w:w="0" w:type="dxa"/>
            <w:left w:w="0" w:type="dxa"/>
            <w:bottom w:w="0" w:type="dxa"/>
            <w:right w:w="0" w:type="dxa"/>
          </w:tblCellMar>
        </w:tblPrEx>
        <w:trPr>
          <w:trHeight w:val="113"/>
        </w:trPr>
        <w:tc>
          <w:tcPr>
            <w:tcW w:w="4111"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pPr>
            <w:r w:rsidRPr="00771181">
              <w:t>Transactions with owners in their capacity as owners</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1275"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(176)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851"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176 </w:t>
            </w:r>
          </w:p>
        </w:tc>
      </w:tr>
      <w:tr w:rsidRPr="00771181" w:rsidR="000D6E6A" w:rsidTr="00771181">
        <w:tblPrEx>
          <w:tblCellMar>
            <w:top w:w="0" w:type="dxa"/>
            <w:left w:w="0" w:type="dxa"/>
            <w:bottom w:w="0" w:type="dxa"/>
            <w:right w:w="0" w:type="dxa"/>
          </w:tblCellMar>
        </w:tblPrEx>
        <w:trPr>
          <w:trHeight w:val="113"/>
        </w:trPr>
        <w:tc>
          <w:tcPr>
            <w:tcW w:w="4111"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pPr>
            <w:r w:rsidRPr="00771181">
              <w:rPr>
                <w:rStyle w:val="medium"/>
                <w:b/>
                <w:bCs/>
              </w:rPr>
              <w:t>Closing balance 30 June 2018</w:t>
            </w:r>
          </w:p>
        </w:tc>
        <w:tc>
          <w:tcPr>
            <w:tcW w:w="1418"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74 </w:t>
            </w:r>
          </w:p>
        </w:tc>
        <w:tc>
          <w:tcPr>
            <w:tcW w:w="1275"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(176) </w:t>
            </w:r>
          </w:p>
        </w:tc>
        <w:tc>
          <w:tcPr>
            <w:tcW w:w="1276"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30 </w:t>
            </w:r>
          </w:p>
        </w:tc>
        <w:tc>
          <w:tcPr>
            <w:tcW w:w="851"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0 </w:t>
            </w:r>
          </w:p>
        </w:tc>
        <w:tc>
          <w:tcPr>
            <w:tcW w:w="1134"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72 </w:t>
            </w:r>
          </w:p>
        </w:tc>
      </w:tr>
    </w:tbl>
    <w:p w:rsidR="000D6E6A" w:rsidP="007F156A" w:rsidRDefault="000D6E6A">
      <w:pPr>
        <w:pStyle w:val="notestable"/>
        <w:spacing w:before="60"/>
      </w:pPr>
      <w:r>
        <w:t>(</w:t>
      </w:r>
      <w:proofErr w:type="spellStart"/>
      <w:r>
        <w:t>i</w:t>
      </w:r>
      <w:proofErr w:type="spellEnd"/>
      <w:r>
        <w:t>) Figures published in the 2017-18 Victorian Budget, Budget Paper No. 5.</w:t>
      </w:r>
    </w:p>
    <w:p w:rsidR="000D6E6A" w:rsidRDefault="000D6E6A">
      <w:pPr>
        <w:pStyle w:val="notestable"/>
      </w:pPr>
      <w:r>
        <w:t>(ii) Figures published in the 2018-19 Victorian Budget, Budget Paper No. 5.</w:t>
      </w:r>
    </w:p>
    <w:p w:rsidR="000D6E6A" w:rsidRDefault="000D6E6A">
      <w:pPr>
        <w:pStyle w:val="notestable"/>
      </w:pPr>
    </w:p>
    <w:p w:rsidR="000D6E6A" w:rsidRDefault="000D6E6A">
      <w:pPr>
        <w:pStyle w:val="H3"/>
      </w:pPr>
      <w:r>
        <w:t>Administered items statement for the year ended 30 June 2018</w:t>
      </w:r>
    </w:p>
    <w:tbl>
      <w:tblPr>
        <w:tblW w:w="0" w:type="auto"/>
        <w:tblInd w:w="57" w:type="dxa"/>
        <w:tblLayout w:type="fixed"/>
        <w:tblCellMar>
          <w:left w:w="0" w:type="dxa"/>
          <w:right w:w="0" w:type="dxa"/>
        </w:tblCellMar>
        <w:tblLook w:firstRow="0" w:lastRow="0" w:firstColumn="0" w:lastColumn="0" w:noHBand="0" w:noVBand="0" w:val="0000"/>
      </w:tblPr>
      <w:tblGrid>
        <w:gridCol w:w="3969"/>
        <w:gridCol w:w="993"/>
        <w:gridCol w:w="992"/>
        <w:gridCol w:w="709"/>
        <w:gridCol w:w="1417"/>
        <w:gridCol w:w="1418"/>
        <w:gridCol w:w="567"/>
      </w:tblGrid>
      <w:tr w:rsidRPr="00771181" w:rsidR="000D6E6A" w:rsidTr="007F156A">
        <w:tblPrEx>
          <w:tblCellMar>
            <w:top w:w="0" w:type="dxa"/>
            <w:left w:w="0" w:type="dxa"/>
            <w:bottom w:w="0" w:type="dxa"/>
            <w:right w:w="0" w:type="dxa"/>
          </w:tblCellMar>
        </w:tblPrEx>
        <w:trPr>
          <w:trHeight w:val="113"/>
          <w:tblHeader/>
        </w:trPr>
        <w:tc>
          <w:tcPr>
            <w:tcW w:w="10065" w:type="dxa"/>
            <w:gridSpan w:val="7"/>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purple"/>
                <w:b/>
                <w:bCs/>
              </w:rPr>
              <w:t>($ million)</w:t>
            </w:r>
          </w:p>
        </w:tc>
      </w:tr>
      <w:tr w:rsidRPr="00771181" w:rsidR="000D6E6A" w:rsidTr="007F156A">
        <w:tblPrEx>
          <w:tblCellMar>
            <w:top w:w="0" w:type="dxa"/>
            <w:left w:w="0" w:type="dxa"/>
            <w:bottom w:w="0" w:type="dxa"/>
            <w:right w:w="0" w:type="dxa"/>
          </w:tblCellMar>
        </w:tblPrEx>
        <w:trPr>
          <w:trHeight w:val="113"/>
          <w:tblHeader/>
        </w:trPr>
        <w:tc>
          <w:tcPr>
            <w:tcW w:w="3969" w:type="dxa"/>
            <w:tcBorders>
              <w:top w:val="single" w:color="542E8E" w:sz="6" w:space="0"/>
              <w:left w:val="nil"/>
              <w:bottom w:val="dotted" w:color="542E8E" w:sz="4" w:space="0"/>
              <w:right w:val="nil"/>
            </w:tcBorders>
            <w:shd w:val="solid" w:color="FFFFFF" w:fill="auto"/>
            <w:tcMar>
              <w:top w:w="57" w:type="dxa"/>
              <w:left w:w="57" w:type="dxa"/>
              <w:bottom w:w="57" w:type="dxa"/>
              <w:right w:w="57" w:type="dxa"/>
            </w:tcMar>
            <w:vAlign w:val="bottom"/>
          </w:tcPr>
          <w:p w:rsidRPr="00771181" w:rsidR="000D6E6A" w:rsidP="00771181" w:rsidRDefault="000D6E6A">
            <w:pPr>
              <w:pStyle w:val="NoParagraphStyle"/>
              <w:spacing w:line="240" w:lineRule="auto"/>
              <w:jc w:val="right"/>
              <w:textAlignment w:val="auto"/>
              <w:rPr>
                <w:color w:val="auto"/>
                <w:sz w:val="16"/>
                <w:szCs w:val="16"/>
              </w:rPr>
            </w:pPr>
          </w:p>
        </w:tc>
        <w:tc>
          <w:tcPr>
            <w:tcW w:w="993" w:type="dxa"/>
            <w:tcBorders>
              <w:top w:val="single" w:color="542E8E" w:sz="6" w:space="0"/>
              <w:left w:val="nil"/>
              <w:bottom w:val="dotted" w:color="542E8E" w:sz="4" w:space="0"/>
              <w:right w:val="nil"/>
            </w:tcBorders>
            <w:shd w:val="solid" w:color="FFFFFF" w:fill="auto"/>
            <w:tcMar>
              <w:top w:w="57" w:type="dxa"/>
              <w:left w:w="57" w:type="dxa"/>
              <w:bottom w:w="57" w:type="dxa"/>
              <w:right w:w="57" w:type="dxa"/>
            </w:tcMar>
            <w:vAlign w:val="bottom"/>
          </w:tcPr>
          <w:p w:rsidRPr="00771181" w:rsidR="000D6E6A" w:rsidP="00771181" w:rsidRDefault="000D6E6A">
            <w:pPr>
              <w:pStyle w:val="bodycopytabletable"/>
              <w:jc w:val="right"/>
            </w:pPr>
            <w:r w:rsidRPr="00771181">
              <w:rPr>
                <w:rStyle w:val="mediumpurple"/>
                <w:b/>
                <w:bCs/>
              </w:rPr>
              <w:t>Original budget</w:t>
            </w:r>
            <w:r w:rsidRPr="00771181">
              <w:rPr>
                <w:rStyle w:val="mediumpurple"/>
                <w:b/>
                <w:bCs/>
              </w:rPr>
              <w:br/>
              <w:t>2017-18 (</w:t>
            </w:r>
            <w:proofErr w:type="spellStart"/>
            <w:r w:rsidRPr="00771181">
              <w:rPr>
                <w:rStyle w:val="mediumpurple"/>
                <w:b/>
                <w:bCs/>
              </w:rPr>
              <w:t>i</w:t>
            </w:r>
            <w:proofErr w:type="spellEnd"/>
            <w:r w:rsidRPr="00771181">
              <w:rPr>
                <w:rStyle w:val="mediumpurple"/>
                <w:b/>
                <w:bCs/>
              </w:rPr>
              <w:t>)</w:t>
            </w:r>
          </w:p>
        </w:tc>
        <w:tc>
          <w:tcPr>
            <w:tcW w:w="992" w:type="dxa"/>
            <w:tcBorders>
              <w:top w:val="single" w:color="542E8E" w:sz="6" w:space="0"/>
              <w:left w:val="nil"/>
              <w:bottom w:val="dotted" w:color="542E8E" w:sz="4" w:space="0"/>
              <w:right w:val="nil"/>
            </w:tcBorders>
            <w:shd w:val="solid" w:color="FFFFFF" w:fill="auto"/>
            <w:tcMar>
              <w:top w:w="57" w:type="dxa"/>
              <w:left w:w="57" w:type="dxa"/>
              <w:bottom w:w="57" w:type="dxa"/>
              <w:right w:w="57" w:type="dxa"/>
            </w:tcMar>
            <w:vAlign w:val="bottom"/>
          </w:tcPr>
          <w:p w:rsidRPr="00771181" w:rsidR="000D6E6A" w:rsidP="00771181" w:rsidRDefault="000D6E6A">
            <w:pPr>
              <w:pStyle w:val="bodycopytabletable"/>
              <w:jc w:val="right"/>
            </w:pPr>
            <w:r w:rsidRPr="00771181">
              <w:rPr>
                <w:rStyle w:val="mediumpurple"/>
                <w:b/>
                <w:bCs/>
              </w:rPr>
              <w:t xml:space="preserve">Revised budget </w:t>
            </w:r>
            <w:r w:rsidRPr="00771181">
              <w:rPr>
                <w:rStyle w:val="mediumpurple"/>
                <w:b/>
                <w:bCs/>
              </w:rPr>
              <w:br/>
              <w:t>2017-18 (ii)</w:t>
            </w:r>
          </w:p>
        </w:tc>
        <w:tc>
          <w:tcPr>
            <w:tcW w:w="709" w:type="dxa"/>
            <w:tcBorders>
              <w:top w:val="single" w:color="542E8E" w:sz="6" w:space="0"/>
              <w:left w:val="nil"/>
              <w:bottom w:val="dotted" w:color="542E8E" w:sz="4" w:space="0"/>
              <w:right w:val="nil"/>
            </w:tcBorders>
            <w:shd w:val="solid" w:color="FFFFFF" w:fill="auto"/>
            <w:tcMar>
              <w:top w:w="57" w:type="dxa"/>
              <w:left w:w="57" w:type="dxa"/>
              <w:bottom w:w="57" w:type="dxa"/>
              <w:right w:w="57" w:type="dxa"/>
            </w:tcMar>
            <w:vAlign w:val="bottom"/>
          </w:tcPr>
          <w:p w:rsidRPr="00771181" w:rsidR="000D6E6A" w:rsidP="00771181" w:rsidRDefault="000D6E6A">
            <w:pPr>
              <w:pStyle w:val="bodycopytabletable"/>
              <w:jc w:val="right"/>
            </w:pPr>
            <w:r w:rsidRPr="00771181">
              <w:rPr>
                <w:rStyle w:val="mediumpurple"/>
                <w:b/>
                <w:bCs/>
              </w:rPr>
              <w:t>Actual</w:t>
            </w:r>
            <w:r w:rsidRPr="00771181">
              <w:rPr>
                <w:rStyle w:val="mediumpurple"/>
                <w:b/>
                <w:bCs/>
              </w:rPr>
              <w:br/>
              <w:t>2017-18</w:t>
            </w:r>
          </w:p>
        </w:tc>
        <w:tc>
          <w:tcPr>
            <w:tcW w:w="1417" w:type="dxa"/>
            <w:tcBorders>
              <w:top w:val="single" w:color="542E8E" w:sz="6" w:space="0"/>
              <w:left w:val="nil"/>
              <w:bottom w:val="dotted" w:color="542E8E" w:sz="4" w:space="0"/>
              <w:right w:val="nil"/>
            </w:tcBorders>
            <w:shd w:val="solid" w:color="FFFFFF" w:fill="auto"/>
            <w:tcMar>
              <w:top w:w="57" w:type="dxa"/>
              <w:left w:w="57" w:type="dxa"/>
              <w:bottom w:w="57" w:type="dxa"/>
              <w:right w:w="57" w:type="dxa"/>
            </w:tcMar>
            <w:vAlign w:val="bottom"/>
          </w:tcPr>
          <w:p w:rsidRPr="00771181" w:rsidR="000D6E6A" w:rsidP="00771181" w:rsidRDefault="000D6E6A">
            <w:pPr>
              <w:pStyle w:val="bodycopytabletable"/>
              <w:jc w:val="right"/>
            </w:pPr>
            <w:r w:rsidRPr="00771181">
              <w:rPr>
                <w:rStyle w:val="mediumpurple"/>
                <w:b/>
                <w:bCs/>
                <w:spacing w:val="-5"/>
              </w:rPr>
              <w:t>Variance for original budget to actual 2017-18</w:t>
            </w:r>
          </w:p>
        </w:tc>
        <w:tc>
          <w:tcPr>
            <w:tcW w:w="1418" w:type="dxa"/>
            <w:tcBorders>
              <w:top w:val="single" w:color="542E8E" w:sz="6" w:space="0"/>
              <w:left w:val="nil"/>
              <w:bottom w:val="dotted" w:color="542E8E" w:sz="4" w:space="0"/>
              <w:right w:val="nil"/>
            </w:tcBorders>
            <w:shd w:val="solid" w:color="FFFFFF" w:fill="auto"/>
            <w:tcMar>
              <w:top w:w="57" w:type="dxa"/>
              <w:left w:w="57" w:type="dxa"/>
              <w:bottom w:w="57" w:type="dxa"/>
              <w:right w:w="57" w:type="dxa"/>
            </w:tcMar>
            <w:vAlign w:val="bottom"/>
          </w:tcPr>
          <w:p w:rsidRPr="00771181" w:rsidR="000D6E6A" w:rsidP="00771181" w:rsidRDefault="000D6E6A">
            <w:pPr>
              <w:pStyle w:val="bodycopytabletable"/>
              <w:jc w:val="right"/>
            </w:pPr>
            <w:r w:rsidRPr="00771181">
              <w:rPr>
                <w:rStyle w:val="mediumpurple"/>
                <w:b/>
                <w:bCs/>
                <w:spacing w:val="-5"/>
              </w:rPr>
              <w:t>Variance for revised budget to actual 2017-18</w:t>
            </w:r>
          </w:p>
        </w:tc>
        <w:tc>
          <w:tcPr>
            <w:tcW w:w="567" w:type="dxa"/>
            <w:tcBorders>
              <w:top w:val="single" w:color="542E8E" w:sz="6" w:space="0"/>
              <w:left w:val="nil"/>
              <w:bottom w:val="dotted" w:color="542E8E" w:sz="4" w:space="0"/>
              <w:right w:val="nil"/>
            </w:tcBorders>
            <w:shd w:val="solid" w:color="FFFFFF" w:fill="auto"/>
            <w:tcMar>
              <w:top w:w="57" w:type="dxa"/>
              <w:left w:w="57" w:type="dxa"/>
              <w:bottom w:w="57" w:type="dxa"/>
              <w:right w:w="57" w:type="dxa"/>
            </w:tcMar>
            <w:vAlign w:val="bottom"/>
          </w:tcPr>
          <w:p w:rsidRPr="00771181" w:rsidR="000D6E6A" w:rsidP="00771181" w:rsidRDefault="000D6E6A">
            <w:pPr>
              <w:pStyle w:val="bodycopytabletable"/>
              <w:jc w:val="right"/>
            </w:pPr>
            <w:r w:rsidRPr="00771181">
              <w:rPr>
                <w:rStyle w:val="mediumpurple"/>
                <w:b/>
                <w:bCs/>
              </w:rPr>
              <w:t>Notes</w:t>
            </w:r>
          </w:p>
        </w:tc>
      </w:tr>
      <w:tr w:rsidRPr="00771181" w:rsidR="000D6E6A" w:rsidTr="007F156A">
        <w:tblPrEx>
          <w:tblCellMar>
            <w:top w:w="0" w:type="dxa"/>
            <w:left w:w="0" w:type="dxa"/>
            <w:bottom w:w="0" w:type="dxa"/>
            <w:right w:w="0" w:type="dxa"/>
          </w:tblCellMar>
        </w:tblPrEx>
        <w:trPr>
          <w:trHeight w:val="113"/>
        </w:trPr>
        <w:tc>
          <w:tcPr>
            <w:tcW w:w="3969" w:type="dxa"/>
            <w:tcBorders>
              <w:top w:val="dotted" w:color="542E8E" w:sz="4" w:space="0"/>
              <w:left w:val="nil"/>
              <w:bottom w:val="dotted" w:color="542E8E" w:sz="4" w:space="0"/>
              <w:right w:val="nil"/>
            </w:tcBorders>
            <w:tcMar>
              <w:top w:w="57" w:type="dxa"/>
              <w:left w:w="57" w:type="dxa"/>
              <w:bottom w:w="57" w:type="dxa"/>
              <w:right w:w="0" w:type="dxa"/>
            </w:tcMar>
          </w:tcPr>
          <w:p w:rsidRPr="00771181" w:rsidR="000D6E6A" w:rsidP="00771181" w:rsidRDefault="000D6E6A">
            <w:pPr>
              <w:pStyle w:val="bodycopytabletable"/>
            </w:pPr>
            <w:r w:rsidRPr="00771181">
              <w:rPr>
                <w:rStyle w:val="mediumpurple"/>
                <w:b/>
                <w:bCs/>
              </w:rPr>
              <w:t>Administered income</w:t>
            </w:r>
          </w:p>
        </w:tc>
        <w:tc>
          <w:tcPr>
            <w:tcW w:w="993"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709"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56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F156A">
        <w:tblPrEx>
          <w:tblCellMar>
            <w:top w:w="0" w:type="dxa"/>
            <w:left w:w="0" w:type="dxa"/>
            <w:bottom w:w="0" w:type="dxa"/>
            <w:right w:w="0" w:type="dxa"/>
          </w:tblCellMar>
        </w:tblPrEx>
        <w:trPr>
          <w:trHeight w:val="113"/>
        </w:trPr>
        <w:tc>
          <w:tcPr>
            <w:tcW w:w="3969" w:type="dxa"/>
            <w:tcBorders>
              <w:top w:val="dotted" w:color="542E8E" w:sz="4" w:space="0"/>
              <w:left w:val="nil"/>
              <w:bottom w:val="dotted" w:color="542E8E" w:sz="4" w:space="0"/>
              <w:right w:val="nil"/>
            </w:tcBorders>
            <w:tcMar>
              <w:top w:w="57" w:type="dxa"/>
              <w:left w:w="57" w:type="dxa"/>
              <w:bottom w:w="57" w:type="dxa"/>
              <w:right w:w="0" w:type="dxa"/>
            </w:tcMar>
          </w:tcPr>
          <w:p w:rsidRPr="00771181" w:rsidR="000D6E6A" w:rsidP="00771181" w:rsidRDefault="000D6E6A">
            <w:pPr>
              <w:pStyle w:val="bodycopytabletable"/>
            </w:pPr>
            <w:r w:rsidRPr="00771181">
              <w:t>Appropriations - payments made on behalf of the State</w:t>
            </w:r>
          </w:p>
        </w:tc>
        <w:tc>
          <w:tcPr>
            <w:tcW w:w="993"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36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36 </w:t>
            </w:r>
          </w:p>
        </w:tc>
        <w:tc>
          <w:tcPr>
            <w:tcW w:w="709"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29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(7) </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(7) </w:t>
            </w:r>
          </w:p>
        </w:tc>
        <w:tc>
          <w:tcPr>
            <w:tcW w:w="56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F156A">
        <w:tblPrEx>
          <w:tblCellMar>
            <w:top w:w="0" w:type="dxa"/>
            <w:left w:w="0" w:type="dxa"/>
            <w:bottom w:w="0" w:type="dxa"/>
            <w:right w:w="0" w:type="dxa"/>
          </w:tblCellMar>
        </w:tblPrEx>
        <w:trPr>
          <w:trHeight w:val="113"/>
        </w:trPr>
        <w:tc>
          <w:tcPr>
            <w:tcW w:w="3969" w:type="dxa"/>
            <w:tcBorders>
              <w:top w:val="dotted" w:color="542E8E" w:sz="4" w:space="0"/>
              <w:left w:val="nil"/>
              <w:bottom w:val="dotted" w:color="542E8E" w:sz="4" w:space="0"/>
              <w:right w:val="nil"/>
            </w:tcBorders>
            <w:tcMar>
              <w:top w:w="57" w:type="dxa"/>
              <w:left w:w="57" w:type="dxa"/>
              <w:bottom w:w="57" w:type="dxa"/>
              <w:right w:w="0" w:type="dxa"/>
            </w:tcMar>
          </w:tcPr>
          <w:p w:rsidRPr="00771181" w:rsidR="000D6E6A" w:rsidP="00771181" w:rsidRDefault="000D6E6A">
            <w:pPr>
              <w:pStyle w:val="bodycopytabletable"/>
            </w:pPr>
            <w:r w:rsidRPr="00771181">
              <w:t>Special appropriations</w:t>
            </w:r>
          </w:p>
        </w:tc>
        <w:tc>
          <w:tcPr>
            <w:tcW w:w="993"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11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11 </w:t>
            </w:r>
          </w:p>
        </w:tc>
        <w:tc>
          <w:tcPr>
            <w:tcW w:w="709"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5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(6) </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(6) </w:t>
            </w:r>
          </w:p>
        </w:tc>
        <w:tc>
          <w:tcPr>
            <w:tcW w:w="56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F156A">
        <w:tblPrEx>
          <w:tblCellMar>
            <w:top w:w="0" w:type="dxa"/>
            <w:left w:w="0" w:type="dxa"/>
            <w:bottom w:w="0" w:type="dxa"/>
            <w:right w:w="0" w:type="dxa"/>
          </w:tblCellMar>
        </w:tblPrEx>
        <w:trPr>
          <w:trHeight w:val="113"/>
        </w:trPr>
        <w:tc>
          <w:tcPr>
            <w:tcW w:w="3969" w:type="dxa"/>
            <w:tcBorders>
              <w:top w:val="dotted" w:color="542E8E" w:sz="4" w:space="0"/>
              <w:left w:val="nil"/>
              <w:bottom w:val="dotted" w:color="542E8E" w:sz="4" w:space="0"/>
              <w:right w:val="nil"/>
            </w:tcBorders>
            <w:tcMar>
              <w:top w:w="57" w:type="dxa"/>
              <w:left w:w="57" w:type="dxa"/>
              <w:bottom w:w="57" w:type="dxa"/>
              <w:right w:w="0" w:type="dxa"/>
            </w:tcMar>
          </w:tcPr>
          <w:p w:rsidRPr="00771181" w:rsidR="000D6E6A" w:rsidP="00771181" w:rsidRDefault="000D6E6A">
            <w:pPr>
              <w:pStyle w:val="bodycopytabletable"/>
            </w:pPr>
            <w:r w:rsidRPr="00771181">
              <w:t>Sale of goods and services</w:t>
            </w:r>
          </w:p>
        </w:tc>
        <w:tc>
          <w:tcPr>
            <w:tcW w:w="993"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471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468 </w:t>
            </w:r>
          </w:p>
        </w:tc>
        <w:tc>
          <w:tcPr>
            <w:tcW w:w="709"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521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50 </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53 </w:t>
            </w:r>
          </w:p>
        </w:tc>
        <w:tc>
          <w:tcPr>
            <w:tcW w:w="56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F156A">
        <w:tblPrEx>
          <w:tblCellMar>
            <w:top w:w="0" w:type="dxa"/>
            <w:left w:w="0" w:type="dxa"/>
            <w:bottom w:w="0" w:type="dxa"/>
            <w:right w:w="0" w:type="dxa"/>
          </w:tblCellMar>
        </w:tblPrEx>
        <w:trPr>
          <w:trHeight w:val="113"/>
        </w:trPr>
        <w:tc>
          <w:tcPr>
            <w:tcW w:w="3969" w:type="dxa"/>
            <w:tcBorders>
              <w:top w:val="dotted" w:color="542E8E" w:sz="4" w:space="0"/>
              <w:left w:val="nil"/>
              <w:bottom w:val="dotted" w:color="542E8E" w:sz="4" w:space="0"/>
              <w:right w:val="nil"/>
            </w:tcBorders>
            <w:tcMar>
              <w:top w:w="57" w:type="dxa"/>
              <w:left w:w="57" w:type="dxa"/>
              <w:bottom w:w="57" w:type="dxa"/>
              <w:right w:w="0" w:type="dxa"/>
            </w:tcMar>
          </w:tcPr>
          <w:p w:rsidRPr="00771181" w:rsidR="000D6E6A" w:rsidP="00771181" w:rsidRDefault="000D6E6A">
            <w:pPr>
              <w:pStyle w:val="bodycopytabletable"/>
            </w:pPr>
            <w:r w:rsidRPr="00771181">
              <w:t>Grants</w:t>
            </w:r>
          </w:p>
        </w:tc>
        <w:tc>
          <w:tcPr>
            <w:tcW w:w="993"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4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4 </w:t>
            </w:r>
          </w:p>
        </w:tc>
        <w:tc>
          <w:tcPr>
            <w:tcW w:w="709"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4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56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F156A">
        <w:tblPrEx>
          <w:tblCellMar>
            <w:top w:w="0" w:type="dxa"/>
            <w:left w:w="0" w:type="dxa"/>
            <w:bottom w:w="0" w:type="dxa"/>
            <w:right w:w="0" w:type="dxa"/>
          </w:tblCellMar>
        </w:tblPrEx>
        <w:trPr>
          <w:trHeight w:val="113"/>
        </w:trPr>
        <w:tc>
          <w:tcPr>
            <w:tcW w:w="3969" w:type="dxa"/>
            <w:tcBorders>
              <w:top w:val="dotted" w:color="542E8E" w:sz="4" w:space="0"/>
              <w:left w:val="nil"/>
              <w:bottom w:val="dotted" w:color="542E8E" w:sz="4" w:space="0"/>
              <w:right w:val="nil"/>
            </w:tcBorders>
            <w:tcMar>
              <w:top w:w="57" w:type="dxa"/>
              <w:left w:w="57" w:type="dxa"/>
              <w:bottom w:w="57" w:type="dxa"/>
              <w:right w:w="0" w:type="dxa"/>
            </w:tcMar>
          </w:tcPr>
          <w:p w:rsidRPr="00771181" w:rsidR="000D6E6A" w:rsidP="00771181" w:rsidRDefault="000D6E6A">
            <w:pPr>
              <w:pStyle w:val="bodycopytabletable"/>
            </w:pPr>
            <w:r w:rsidRPr="00771181">
              <w:t>Interest</w:t>
            </w:r>
          </w:p>
        </w:tc>
        <w:tc>
          <w:tcPr>
            <w:tcW w:w="993"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13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13 </w:t>
            </w:r>
          </w:p>
        </w:tc>
        <w:tc>
          <w:tcPr>
            <w:tcW w:w="709"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11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(2) </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(2) </w:t>
            </w:r>
          </w:p>
        </w:tc>
        <w:tc>
          <w:tcPr>
            <w:tcW w:w="56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F156A">
        <w:tblPrEx>
          <w:tblCellMar>
            <w:top w:w="0" w:type="dxa"/>
            <w:left w:w="0" w:type="dxa"/>
            <w:bottom w:w="0" w:type="dxa"/>
            <w:right w:w="0" w:type="dxa"/>
          </w:tblCellMar>
        </w:tblPrEx>
        <w:trPr>
          <w:trHeight w:val="113"/>
        </w:trPr>
        <w:tc>
          <w:tcPr>
            <w:tcW w:w="3969" w:type="dxa"/>
            <w:tcBorders>
              <w:top w:val="dotted" w:color="542E8E" w:sz="4" w:space="0"/>
              <w:left w:val="nil"/>
              <w:bottom w:val="dotted" w:color="542E8E" w:sz="4" w:space="0"/>
              <w:right w:val="nil"/>
            </w:tcBorders>
            <w:tcMar>
              <w:top w:w="57" w:type="dxa"/>
              <w:left w:w="57" w:type="dxa"/>
              <w:bottom w:w="57" w:type="dxa"/>
              <w:right w:w="0" w:type="dxa"/>
            </w:tcMar>
          </w:tcPr>
          <w:p w:rsidRPr="00771181" w:rsidR="000D6E6A" w:rsidP="00771181" w:rsidRDefault="000D6E6A">
            <w:pPr>
              <w:pStyle w:val="bodycopytabletable"/>
            </w:pPr>
            <w:r w:rsidRPr="00771181">
              <w:t>Other income</w:t>
            </w:r>
          </w:p>
        </w:tc>
        <w:tc>
          <w:tcPr>
            <w:tcW w:w="993"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2,673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2,523 </w:t>
            </w:r>
          </w:p>
        </w:tc>
        <w:tc>
          <w:tcPr>
            <w:tcW w:w="709"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2,667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(6) </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144 </w:t>
            </w:r>
          </w:p>
        </w:tc>
        <w:tc>
          <w:tcPr>
            <w:tcW w:w="56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(iii)</w:t>
            </w:r>
          </w:p>
        </w:tc>
      </w:tr>
      <w:tr w:rsidRPr="00771181" w:rsidR="000D6E6A" w:rsidTr="007F156A">
        <w:tblPrEx>
          <w:tblCellMar>
            <w:top w:w="0" w:type="dxa"/>
            <w:left w:w="0" w:type="dxa"/>
            <w:bottom w:w="0" w:type="dxa"/>
            <w:right w:w="0" w:type="dxa"/>
          </w:tblCellMar>
        </w:tblPrEx>
        <w:trPr>
          <w:trHeight w:val="113"/>
        </w:trPr>
        <w:tc>
          <w:tcPr>
            <w:tcW w:w="3969" w:type="dxa"/>
            <w:tcBorders>
              <w:top w:val="dotted" w:color="542E8E" w:sz="4" w:space="0"/>
              <w:left w:val="nil"/>
              <w:bottom w:val="single" w:color="542E8E" w:sz="4" w:space="0"/>
              <w:right w:val="nil"/>
            </w:tcBorders>
            <w:shd w:val="solid" w:color="FFFFFF" w:fill="auto"/>
            <w:tcMar>
              <w:top w:w="57" w:type="dxa"/>
              <w:left w:w="57" w:type="dxa"/>
              <w:bottom w:w="57" w:type="dxa"/>
              <w:right w:w="0" w:type="dxa"/>
            </w:tcMar>
          </w:tcPr>
          <w:p w:rsidRPr="00771181" w:rsidR="000D6E6A" w:rsidP="00771181" w:rsidRDefault="000D6E6A">
            <w:pPr>
              <w:pStyle w:val="bodycopytabletable"/>
            </w:pPr>
            <w:r w:rsidRPr="00771181">
              <w:rPr>
                <w:rStyle w:val="medium"/>
                <w:b/>
                <w:bCs/>
              </w:rPr>
              <w:t>Total administered income</w:t>
            </w:r>
          </w:p>
        </w:tc>
        <w:tc>
          <w:tcPr>
            <w:tcW w:w="993"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3,209 </w:t>
            </w:r>
          </w:p>
        </w:tc>
        <w:tc>
          <w:tcPr>
            <w:tcW w:w="992"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3,055 </w:t>
            </w:r>
          </w:p>
        </w:tc>
        <w:tc>
          <w:tcPr>
            <w:tcW w:w="709"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3,237 </w:t>
            </w:r>
          </w:p>
        </w:tc>
        <w:tc>
          <w:tcPr>
            <w:tcW w:w="1417"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29 </w:t>
            </w:r>
          </w:p>
        </w:tc>
        <w:tc>
          <w:tcPr>
            <w:tcW w:w="1418"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182 </w:t>
            </w:r>
          </w:p>
        </w:tc>
        <w:tc>
          <w:tcPr>
            <w:tcW w:w="567"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F156A">
        <w:tblPrEx>
          <w:tblCellMar>
            <w:top w:w="0" w:type="dxa"/>
            <w:left w:w="0" w:type="dxa"/>
            <w:bottom w:w="0" w:type="dxa"/>
            <w:right w:w="0" w:type="dxa"/>
          </w:tblCellMar>
        </w:tblPrEx>
        <w:trPr>
          <w:trHeight w:val="113"/>
        </w:trPr>
        <w:tc>
          <w:tcPr>
            <w:tcW w:w="3969" w:type="dxa"/>
            <w:tcBorders>
              <w:top w:val="single" w:color="542E8E" w:sz="4" w:space="0"/>
              <w:left w:val="nil"/>
              <w:bottom w:val="dotted" w:color="542E8E" w:sz="4" w:space="0"/>
              <w:right w:val="nil"/>
            </w:tcBorders>
            <w:tcMar>
              <w:top w:w="57" w:type="dxa"/>
              <w:left w:w="57" w:type="dxa"/>
              <w:bottom w:w="57" w:type="dxa"/>
              <w:right w:w="0" w:type="dxa"/>
            </w:tcMar>
          </w:tcPr>
          <w:p w:rsidRPr="00771181" w:rsidR="000D6E6A" w:rsidP="00771181" w:rsidRDefault="000D6E6A">
            <w:pPr>
              <w:pStyle w:val="bodycopytabletable"/>
            </w:pPr>
            <w:r w:rsidRPr="00771181">
              <w:rPr>
                <w:rStyle w:val="mediumpurple"/>
                <w:b/>
                <w:bCs/>
              </w:rPr>
              <w:t>Administered expenses</w:t>
            </w:r>
          </w:p>
        </w:tc>
        <w:tc>
          <w:tcPr>
            <w:tcW w:w="993" w:type="dxa"/>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992" w:type="dxa"/>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709" w:type="dxa"/>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1417" w:type="dxa"/>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1418" w:type="dxa"/>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567" w:type="dxa"/>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F156A">
        <w:tblPrEx>
          <w:tblCellMar>
            <w:top w:w="0" w:type="dxa"/>
            <w:left w:w="0" w:type="dxa"/>
            <w:bottom w:w="0" w:type="dxa"/>
            <w:right w:w="0" w:type="dxa"/>
          </w:tblCellMar>
        </w:tblPrEx>
        <w:trPr>
          <w:trHeight w:val="113"/>
        </w:trPr>
        <w:tc>
          <w:tcPr>
            <w:tcW w:w="3969" w:type="dxa"/>
            <w:tcBorders>
              <w:top w:val="dotted" w:color="542E8E" w:sz="4" w:space="0"/>
              <w:left w:val="nil"/>
              <w:bottom w:val="dotted" w:color="542E8E" w:sz="4" w:space="0"/>
              <w:right w:val="nil"/>
            </w:tcBorders>
            <w:tcMar>
              <w:top w:w="57" w:type="dxa"/>
              <w:left w:w="57" w:type="dxa"/>
              <w:bottom w:w="57" w:type="dxa"/>
              <w:right w:w="0" w:type="dxa"/>
            </w:tcMar>
          </w:tcPr>
          <w:p w:rsidRPr="00771181" w:rsidR="000D6E6A" w:rsidP="00771181" w:rsidRDefault="000D6E6A">
            <w:pPr>
              <w:pStyle w:val="bodycopytabletable"/>
            </w:pPr>
            <w:r w:rsidRPr="00771181">
              <w:t>Expenses on behalf of the State</w:t>
            </w:r>
          </w:p>
        </w:tc>
        <w:tc>
          <w:tcPr>
            <w:tcW w:w="993"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13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13 </w:t>
            </w:r>
          </w:p>
        </w:tc>
        <w:tc>
          <w:tcPr>
            <w:tcW w:w="709"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26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13 </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13 </w:t>
            </w:r>
          </w:p>
        </w:tc>
        <w:tc>
          <w:tcPr>
            <w:tcW w:w="56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F156A">
        <w:tblPrEx>
          <w:tblCellMar>
            <w:top w:w="0" w:type="dxa"/>
            <w:left w:w="0" w:type="dxa"/>
            <w:bottom w:w="0" w:type="dxa"/>
            <w:right w:w="0" w:type="dxa"/>
          </w:tblCellMar>
        </w:tblPrEx>
        <w:trPr>
          <w:trHeight w:val="113"/>
        </w:trPr>
        <w:tc>
          <w:tcPr>
            <w:tcW w:w="3969" w:type="dxa"/>
            <w:tcBorders>
              <w:top w:val="dotted" w:color="542E8E" w:sz="4" w:space="0"/>
              <w:left w:val="nil"/>
              <w:bottom w:val="dotted" w:color="542E8E" w:sz="4" w:space="0"/>
              <w:right w:val="nil"/>
            </w:tcBorders>
            <w:tcMar>
              <w:top w:w="57" w:type="dxa"/>
              <w:left w:w="57" w:type="dxa"/>
              <w:bottom w:w="57" w:type="dxa"/>
              <w:right w:w="0" w:type="dxa"/>
            </w:tcMar>
          </w:tcPr>
          <w:p w:rsidRPr="00771181" w:rsidR="000D6E6A" w:rsidP="00771181" w:rsidRDefault="000D6E6A">
            <w:pPr>
              <w:pStyle w:val="bodycopytabletable"/>
            </w:pPr>
            <w:r w:rsidRPr="00771181">
              <w:t>Grants and other transfers</w:t>
            </w:r>
          </w:p>
        </w:tc>
        <w:tc>
          <w:tcPr>
            <w:tcW w:w="993"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5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5 </w:t>
            </w:r>
          </w:p>
        </w:tc>
        <w:tc>
          <w:tcPr>
            <w:tcW w:w="709"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(4) </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(4) </w:t>
            </w:r>
          </w:p>
        </w:tc>
        <w:tc>
          <w:tcPr>
            <w:tcW w:w="56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F156A">
        <w:tblPrEx>
          <w:tblCellMar>
            <w:top w:w="0" w:type="dxa"/>
            <w:left w:w="0" w:type="dxa"/>
            <w:bottom w:w="0" w:type="dxa"/>
            <w:right w:w="0" w:type="dxa"/>
          </w:tblCellMar>
        </w:tblPrEx>
        <w:trPr>
          <w:trHeight w:val="113"/>
        </w:trPr>
        <w:tc>
          <w:tcPr>
            <w:tcW w:w="3969" w:type="dxa"/>
            <w:tcBorders>
              <w:top w:val="dotted" w:color="542E8E" w:sz="4" w:space="0"/>
              <w:left w:val="nil"/>
              <w:bottom w:val="dotted" w:color="542E8E" w:sz="4" w:space="0"/>
              <w:right w:val="nil"/>
            </w:tcBorders>
            <w:tcMar>
              <w:top w:w="57" w:type="dxa"/>
              <w:left w:w="57" w:type="dxa"/>
              <w:bottom w:w="57" w:type="dxa"/>
              <w:right w:w="0" w:type="dxa"/>
            </w:tcMar>
          </w:tcPr>
          <w:p w:rsidRPr="00771181" w:rsidR="000D6E6A" w:rsidP="00771181" w:rsidRDefault="000D6E6A">
            <w:pPr>
              <w:pStyle w:val="bodycopytabletable"/>
            </w:pPr>
            <w:r w:rsidRPr="00771181">
              <w:t>Payments into the Consolidated Fund</w:t>
            </w:r>
          </w:p>
        </w:tc>
        <w:tc>
          <w:tcPr>
            <w:tcW w:w="993"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2,668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2,554 </w:t>
            </w:r>
          </w:p>
        </w:tc>
        <w:tc>
          <w:tcPr>
            <w:tcW w:w="709"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2,598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(70) </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44 </w:t>
            </w:r>
          </w:p>
        </w:tc>
        <w:tc>
          <w:tcPr>
            <w:tcW w:w="56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F156A">
        <w:tblPrEx>
          <w:tblCellMar>
            <w:top w:w="0" w:type="dxa"/>
            <w:left w:w="0" w:type="dxa"/>
            <w:bottom w:w="0" w:type="dxa"/>
            <w:right w:w="0" w:type="dxa"/>
          </w:tblCellMar>
        </w:tblPrEx>
        <w:trPr>
          <w:trHeight w:val="113"/>
        </w:trPr>
        <w:tc>
          <w:tcPr>
            <w:tcW w:w="3969" w:type="dxa"/>
            <w:tcBorders>
              <w:top w:val="dotted" w:color="542E8E" w:sz="4" w:space="0"/>
              <w:left w:val="nil"/>
              <w:bottom w:val="single" w:color="542E8E" w:sz="4" w:space="0"/>
              <w:right w:val="nil"/>
            </w:tcBorders>
            <w:shd w:val="solid" w:color="FFFFFF" w:fill="auto"/>
            <w:tcMar>
              <w:top w:w="57" w:type="dxa"/>
              <w:left w:w="57" w:type="dxa"/>
              <w:bottom w:w="57" w:type="dxa"/>
              <w:right w:w="0" w:type="dxa"/>
            </w:tcMar>
          </w:tcPr>
          <w:p w:rsidRPr="00771181" w:rsidR="000D6E6A" w:rsidP="00771181" w:rsidRDefault="000D6E6A">
            <w:pPr>
              <w:pStyle w:val="bodycopytabletable"/>
            </w:pPr>
            <w:r w:rsidRPr="00771181">
              <w:rPr>
                <w:rStyle w:val="medium"/>
                <w:b/>
                <w:bCs/>
              </w:rPr>
              <w:t>Total administered expenses</w:t>
            </w:r>
          </w:p>
        </w:tc>
        <w:tc>
          <w:tcPr>
            <w:tcW w:w="993"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2,687 </w:t>
            </w:r>
          </w:p>
        </w:tc>
        <w:tc>
          <w:tcPr>
            <w:tcW w:w="992"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2,573 </w:t>
            </w:r>
          </w:p>
        </w:tc>
        <w:tc>
          <w:tcPr>
            <w:tcW w:w="709"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2,625 </w:t>
            </w:r>
          </w:p>
        </w:tc>
        <w:tc>
          <w:tcPr>
            <w:tcW w:w="1417"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(61) </w:t>
            </w:r>
          </w:p>
        </w:tc>
        <w:tc>
          <w:tcPr>
            <w:tcW w:w="1418"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53 </w:t>
            </w:r>
          </w:p>
        </w:tc>
        <w:tc>
          <w:tcPr>
            <w:tcW w:w="567"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F156A">
        <w:tblPrEx>
          <w:tblCellMar>
            <w:top w:w="0" w:type="dxa"/>
            <w:left w:w="0" w:type="dxa"/>
            <w:bottom w:w="0" w:type="dxa"/>
            <w:right w:w="0" w:type="dxa"/>
          </w:tblCellMar>
        </w:tblPrEx>
        <w:trPr>
          <w:trHeight w:val="113"/>
        </w:trPr>
        <w:tc>
          <w:tcPr>
            <w:tcW w:w="3969" w:type="dxa"/>
            <w:tcBorders>
              <w:top w:val="single" w:color="542E8E" w:sz="4" w:space="0"/>
              <w:left w:val="nil"/>
              <w:bottom w:val="single" w:color="542E8E" w:sz="4" w:space="0"/>
              <w:right w:val="nil"/>
            </w:tcBorders>
            <w:shd w:val="solid" w:color="FFFFFF" w:fill="auto"/>
            <w:tcMar>
              <w:top w:w="57" w:type="dxa"/>
              <w:left w:w="57" w:type="dxa"/>
              <w:bottom w:w="57" w:type="dxa"/>
              <w:right w:w="0" w:type="dxa"/>
            </w:tcMar>
          </w:tcPr>
          <w:p w:rsidRPr="00771181" w:rsidR="000D6E6A" w:rsidP="00771181" w:rsidRDefault="000D6E6A">
            <w:pPr>
              <w:pStyle w:val="bodycopytabletable"/>
            </w:pPr>
            <w:r w:rsidRPr="00771181">
              <w:rPr>
                <w:rStyle w:val="medium"/>
                <w:b/>
                <w:bCs/>
              </w:rPr>
              <w:t>Income less expenses</w:t>
            </w:r>
          </w:p>
        </w:tc>
        <w:tc>
          <w:tcPr>
            <w:tcW w:w="993"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522 </w:t>
            </w:r>
          </w:p>
        </w:tc>
        <w:tc>
          <w:tcPr>
            <w:tcW w:w="992"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482 </w:t>
            </w:r>
          </w:p>
        </w:tc>
        <w:tc>
          <w:tcPr>
            <w:tcW w:w="709"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612 </w:t>
            </w:r>
          </w:p>
        </w:tc>
        <w:tc>
          <w:tcPr>
            <w:tcW w:w="1417"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90 </w:t>
            </w:r>
          </w:p>
        </w:tc>
        <w:tc>
          <w:tcPr>
            <w:tcW w:w="1418"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129 </w:t>
            </w:r>
          </w:p>
        </w:tc>
        <w:tc>
          <w:tcPr>
            <w:tcW w:w="567"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F156A">
        <w:tblPrEx>
          <w:tblCellMar>
            <w:top w:w="0" w:type="dxa"/>
            <w:left w:w="0" w:type="dxa"/>
            <w:bottom w:w="0" w:type="dxa"/>
            <w:right w:w="0" w:type="dxa"/>
          </w:tblCellMar>
        </w:tblPrEx>
        <w:trPr>
          <w:trHeight w:val="113"/>
        </w:trPr>
        <w:tc>
          <w:tcPr>
            <w:tcW w:w="10065" w:type="dxa"/>
            <w:gridSpan w:val="7"/>
            <w:tcBorders>
              <w:top w:val="single" w:color="542E8E" w:sz="4" w:space="0"/>
              <w:left w:val="nil"/>
              <w:bottom w:val="dotted" w:color="542E8E" w:sz="4" w:space="0"/>
              <w:right w:val="nil"/>
            </w:tcBorders>
            <w:tcMar>
              <w:top w:w="57" w:type="dxa"/>
              <w:left w:w="57" w:type="dxa"/>
              <w:bottom w:w="57" w:type="dxa"/>
              <w:right w:w="0" w:type="dxa"/>
            </w:tcMar>
          </w:tcPr>
          <w:p w:rsidRPr="00771181" w:rsidR="000D6E6A" w:rsidP="00771181" w:rsidRDefault="000D6E6A">
            <w:pPr>
              <w:pStyle w:val="bodycopytabletable"/>
            </w:pPr>
            <w:r w:rsidRPr="00771181">
              <w:rPr>
                <w:rStyle w:val="mediumpurple"/>
                <w:b/>
                <w:bCs/>
              </w:rPr>
              <w:t>Other economic flows included in net result</w:t>
            </w:r>
          </w:p>
        </w:tc>
      </w:tr>
      <w:tr w:rsidRPr="00771181" w:rsidR="000D6E6A" w:rsidTr="007F156A">
        <w:tblPrEx>
          <w:tblCellMar>
            <w:top w:w="0" w:type="dxa"/>
            <w:left w:w="0" w:type="dxa"/>
            <w:bottom w:w="0" w:type="dxa"/>
            <w:right w:w="0" w:type="dxa"/>
          </w:tblCellMar>
        </w:tblPrEx>
        <w:trPr>
          <w:trHeight w:val="113"/>
        </w:trPr>
        <w:tc>
          <w:tcPr>
            <w:tcW w:w="3969" w:type="dxa"/>
            <w:tcBorders>
              <w:top w:val="dotted" w:color="542E8E" w:sz="4" w:space="0"/>
              <w:left w:val="nil"/>
              <w:bottom w:val="dotted" w:color="542E8E" w:sz="4" w:space="0"/>
              <w:right w:val="nil"/>
            </w:tcBorders>
            <w:tcMar>
              <w:top w:w="57" w:type="dxa"/>
              <w:left w:w="57" w:type="dxa"/>
              <w:bottom w:w="57" w:type="dxa"/>
              <w:right w:w="0" w:type="dxa"/>
            </w:tcMar>
          </w:tcPr>
          <w:p w:rsidRPr="00771181" w:rsidR="000D6E6A" w:rsidP="00771181" w:rsidRDefault="000D6E6A">
            <w:pPr>
              <w:pStyle w:val="bodycopytabletable"/>
            </w:pPr>
            <w:r w:rsidRPr="00771181">
              <w:rPr>
                <w:spacing w:val="-3"/>
              </w:rPr>
              <w:t>Net gain/(loss) on non-financial assets</w:t>
            </w:r>
          </w:p>
        </w:tc>
        <w:tc>
          <w:tcPr>
            <w:tcW w:w="993"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 </w:t>
            </w:r>
          </w:p>
        </w:tc>
        <w:tc>
          <w:tcPr>
            <w:tcW w:w="709"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 </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 </w:t>
            </w:r>
          </w:p>
        </w:tc>
        <w:tc>
          <w:tcPr>
            <w:tcW w:w="56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F156A">
        <w:tblPrEx>
          <w:tblCellMar>
            <w:top w:w="0" w:type="dxa"/>
            <w:left w:w="0" w:type="dxa"/>
            <w:bottom w:w="0" w:type="dxa"/>
            <w:right w:w="0" w:type="dxa"/>
          </w:tblCellMar>
        </w:tblPrEx>
        <w:trPr>
          <w:trHeight w:val="113"/>
        </w:trPr>
        <w:tc>
          <w:tcPr>
            <w:tcW w:w="3969" w:type="dxa"/>
            <w:tcBorders>
              <w:top w:val="dotted" w:color="542E8E" w:sz="4" w:space="0"/>
              <w:left w:val="nil"/>
              <w:bottom w:val="dotted" w:color="542E8E" w:sz="4" w:space="0"/>
              <w:right w:val="nil"/>
            </w:tcBorders>
            <w:tcMar>
              <w:top w:w="57" w:type="dxa"/>
              <w:left w:w="57" w:type="dxa"/>
              <w:bottom w:w="57" w:type="dxa"/>
              <w:right w:w="0" w:type="dxa"/>
            </w:tcMar>
          </w:tcPr>
          <w:p w:rsidRPr="00771181" w:rsidR="000D6E6A" w:rsidP="007F156A" w:rsidRDefault="000D6E6A">
            <w:pPr>
              <w:pStyle w:val="bodycopytabletable"/>
            </w:pPr>
            <w:r w:rsidRPr="00771181">
              <w:t>Net gain/(loss) on financial instruments and statutory receivables/payables</w:t>
            </w:r>
          </w:p>
        </w:tc>
        <w:tc>
          <w:tcPr>
            <w:tcW w:w="993"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(315)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(275) </w:t>
            </w:r>
          </w:p>
        </w:tc>
        <w:tc>
          <w:tcPr>
            <w:tcW w:w="709"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(505)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(190) </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(230) </w:t>
            </w:r>
          </w:p>
        </w:tc>
        <w:tc>
          <w:tcPr>
            <w:tcW w:w="56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(iv)</w:t>
            </w:r>
          </w:p>
        </w:tc>
      </w:tr>
      <w:tr w:rsidRPr="00771181" w:rsidR="000D6E6A" w:rsidTr="007F156A">
        <w:tblPrEx>
          <w:tblCellMar>
            <w:top w:w="0" w:type="dxa"/>
            <w:left w:w="0" w:type="dxa"/>
            <w:bottom w:w="0" w:type="dxa"/>
            <w:right w:w="0" w:type="dxa"/>
          </w:tblCellMar>
        </w:tblPrEx>
        <w:trPr>
          <w:trHeight w:val="113"/>
        </w:trPr>
        <w:tc>
          <w:tcPr>
            <w:tcW w:w="3969" w:type="dxa"/>
            <w:tcBorders>
              <w:top w:val="dotted" w:color="542E8E" w:sz="4" w:space="0"/>
              <w:left w:val="nil"/>
              <w:bottom w:val="single" w:color="542E8E" w:sz="4" w:space="0"/>
              <w:right w:val="nil"/>
            </w:tcBorders>
            <w:shd w:val="solid" w:color="FFFFFF" w:fill="auto"/>
            <w:tcMar>
              <w:top w:w="57" w:type="dxa"/>
              <w:left w:w="57" w:type="dxa"/>
              <w:bottom w:w="57" w:type="dxa"/>
              <w:right w:w="0" w:type="dxa"/>
            </w:tcMar>
          </w:tcPr>
          <w:p w:rsidRPr="00771181" w:rsidR="000D6E6A" w:rsidP="00771181" w:rsidRDefault="000D6E6A">
            <w:pPr>
              <w:pStyle w:val="bodycopytabletable"/>
            </w:pPr>
            <w:r w:rsidRPr="00771181">
              <w:rPr>
                <w:rStyle w:val="medium"/>
                <w:b/>
                <w:bCs/>
              </w:rPr>
              <w:t>Total other economic flows included in net result</w:t>
            </w:r>
          </w:p>
        </w:tc>
        <w:tc>
          <w:tcPr>
            <w:tcW w:w="993"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(314) </w:t>
            </w:r>
          </w:p>
        </w:tc>
        <w:tc>
          <w:tcPr>
            <w:tcW w:w="992"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(274) </w:t>
            </w:r>
          </w:p>
        </w:tc>
        <w:tc>
          <w:tcPr>
            <w:tcW w:w="709"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(505) </w:t>
            </w:r>
          </w:p>
        </w:tc>
        <w:tc>
          <w:tcPr>
            <w:tcW w:w="1417"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(191) </w:t>
            </w:r>
          </w:p>
        </w:tc>
        <w:tc>
          <w:tcPr>
            <w:tcW w:w="1418"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(231) </w:t>
            </w:r>
          </w:p>
        </w:tc>
        <w:tc>
          <w:tcPr>
            <w:tcW w:w="567"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F156A">
        <w:tblPrEx>
          <w:tblCellMar>
            <w:top w:w="0" w:type="dxa"/>
            <w:left w:w="0" w:type="dxa"/>
            <w:bottom w:w="0" w:type="dxa"/>
            <w:right w:w="0" w:type="dxa"/>
          </w:tblCellMar>
        </w:tblPrEx>
        <w:trPr>
          <w:trHeight w:val="113"/>
        </w:trPr>
        <w:tc>
          <w:tcPr>
            <w:tcW w:w="3969" w:type="dxa"/>
            <w:tcBorders>
              <w:top w:val="single" w:color="542E8E" w:sz="4" w:space="0"/>
              <w:left w:val="nil"/>
              <w:bottom w:val="single" w:color="542E8E" w:sz="4" w:space="0"/>
              <w:right w:val="nil"/>
            </w:tcBorders>
            <w:shd w:val="solid" w:color="FFFFFF" w:fill="auto"/>
            <w:tcMar>
              <w:top w:w="57" w:type="dxa"/>
              <w:left w:w="57" w:type="dxa"/>
              <w:bottom w:w="57" w:type="dxa"/>
              <w:right w:w="0" w:type="dxa"/>
            </w:tcMar>
          </w:tcPr>
          <w:p w:rsidRPr="00771181" w:rsidR="000D6E6A" w:rsidP="00771181" w:rsidRDefault="000D6E6A">
            <w:pPr>
              <w:pStyle w:val="bodycopytabletable"/>
            </w:pPr>
            <w:r w:rsidRPr="00771181">
              <w:rPr>
                <w:rStyle w:val="medium"/>
                <w:b/>
                <w:bCs/>
              </w:rPr>
              <w:t>Net result</w:t>
            </w:r>
          </w:p>
        </w:tc>
        <w:tc>
          <w:tcPr>
            <w:tcW w:w="993"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208 </w:t>
            </w:r>
          </w:p>
        </w:tc>
        <w:tc>
          <w:tcPr>
            <w:tcW w:w="992"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208 </w:t>
            </w:r>
          </w:p>
        </w:tc>
        <w:tc>
          <w:tcPr>
            <w:tcW w:w="709"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107 </w:t>
            </w:r>
          </w:p>
        </w:tc>
        <w:tc>
          <w:tcPr>
            <w:tcW w:w="1417"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(101) </w:t>
            </w:r>
          </w:p>
        </w:tc>
        <w:tc>
          <w:tcPr>
            <w:tcW w:w="1418"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(102) </w:t>
            </w:r>
          </w:p>
        </w:tc>
        <w:tc>
          <w:tcPr>
            <w:tcW w:w="567"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F156A">
        <w:tblPrEx>
          <w:tblCellMar>
            <w:top w:w="0" w:type="dxa"/>
            <w:left w:w="0" w:type="dxa"/>
            <w:bottom w:w="0" w:type="dxa"/>
            <w:right w:w="0" w:type="dxa"/>
          </w:tblCellMar>
        </w:tblPrEx>
        <w:trPr>
          <w:trHeight w:val="113"/>
        </w:trPr>
        <w:tc>
          <w:tcPr>
            <w:tcW w:w="10065" w:type="dxa"/>
            <w:gridSpan w:val="7"/>
            <w:tcBorders>
              <w:top w:val="single" w:color="542E8E" w:sz="4" w:space="0"/>
              <w:left w:val="nil"/>
              <w:bottom w:val="dotted" w:color="542E8E" w:sz="4" w:space="0"/>
              <w:right w:val="nil"/>
            </w:tcBorders>
            <w:tcMar>
              <w:top w:w="57" w:type="dxa"/>
              <w:left w:w="57" w:type="dxa"/>
              <w:bottom w:w="57" w:type="dxa"/>
              <w:right w:w="0" w:type="dxa"/>
            </w:tcMar>
          </w:tcPr>
          <w:p w:rsidRPr="00771181" w:rsidR="000D6E6A" w:rsidP="00771181" w:rsidRDefault="000D6E6A">
            <w:pPr>
              <w:pStyle w:val="bodycopytabletable"/>
            </w:pPr>
            <w:r w:rsidRPr="00771181">
              <w:rPr>
                <w:rStyle w:val="mediumpurple"/>
                <w:b/>
                <w:bCs/>
              </w:rPr>
              <w:t>Other economic flows – other comprehensive income</w:t>
            </w:r>
          </w:p>
        </w:tc>
      </w:tr>
      <w:tr w:rsidRPr="00771181" w:rsidR="000D6E6A" w:rsidTr="007F156A">
        <w:tblPrEx>
          <w:tblCellMar>
            <w:top w:w="0" w:type="dxa"/>
            <w:left w:w="0" w:type="dxa"/>
            <w:bottom w:w="0" w:type="dxa"/>
            <w:right w:w="0" w:type="dxa"/>
          </w:tblCellMar>
        </w:tblPrEx>
        <w:trPr>
          <w:trHeight w:val="113"/>
        </w:trPr>
        <w:tc>
          <w:tcPr>
            <w:tcW w:w="3969" w:type="dxa"/>
            <w:tcBorders>
              <w:top w:val="dotted" w:color="542E8E" w:sz="4" w:space="0"/>
              <w:left w:val="nil"/>
              <w:bottom w:val="dotted" w:color="542E8E" w:sz="4" w:space="0"/>
              <w:right w:val="nil"/>
            </w:tcBorders>
            <w:tcMar>
              <w:top w:w="57" w:type="dxa"/>
              <w:left w:w="57" w:type="dxa"/>
              <w:bottom w:w="57" w:type="dxa"/>
              <w:right w:w="0" w:type="dxa"/>
            </w:tcMar>
          </w:tcPr>
          <w:p w:rsidRPr="00771181" w:rsidR="000D6E6A" w:rsidP="00771181" w:rsidRDefault="000D6E6A">
            <w:pPr>
              <w:pStyle w:val="bodycopytabletable"/>
            </w:pPr>
            <w:r w:rsidRPr="00771181">
              <w:t>Adjustment to accumulated surplus/(deficit)</w:t>
            </w:r>
          </w:p>
        </w:tc>
        <w:tc>
          <w:tcPr>
            <w:tcW w:w="993"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709"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56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F156A">
        <w:tblPrEx>
          <w:tblCellMar>
            <w:top w:w="0" w:type="dxa"/>
            <w:left w:w="0" w:type="dxa"/>
            <w:bottom w:w="0" w:type="dxa"/>
            <w:right w:w="0" w:type="dxa"/>
          </w:tblCellMar>
        </w:tblPrEx>
        <w:trPr>
          <w:trHeight w:val="113"/>
        </w:trPr>
        <w:tc>
          <w:tcPr>
            <w:tcW w:w="3969" w:type="dxa"/>
            <w:tcBorders>
              <w:top w:val="dotted" w:color="542E8E" w:sz="4" w:space="0"/>
              <w:left w:val="nil"/>
              <w:bottom w:val="single" w:color="542E8E" w:sz="4" w:space="0"/>
              <w:right w:val="nil"/>
            </w:tcBorders>
            <w:shd w:val="solid" w:color="FFFFFF" w:fill="auto"/>
            <w:tcMar>
              <w:top w:w="57" w:type="dxa"/>
              <w:left w:w="57" w:type="dxa"/>
              <w:bottom w:w="57" w:type="dxa"/>
              <w:right w:w="0" w:type="dxa"/>
            </w:tcMar>
          </w:tcPr>
          <w:p w:rsidRPr="00771181" w:rsidR="000D6E6A" w:rsidP="00771181" w:rsidRDefault="000D6E6A">
            <w:pPr>
              <w:pStyle w:val="bodycopytabletable"/>
            </w:pPr>
            <w:r w:rsidRPr="00771181">
              <w:rPr>
                <w:rStyle w:val="medium"/>
                <w:b/>
                <w:bCs/>
              </w:rPr>
              <w:t>Total other economic flows – other comprehensive income</w:t>
            </w:r>
          </w:p>
        </w:tc>
        <w:tc>
          <w:tcPr>
            <w:tcW w:w="993"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0 </w:t>
            </w:r>
          </w:p>
        </w:tc>
        <w:tc>
          <w:tcPr>
            <w:tcW w:w="992"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0 </w:t>
            </w:r>
          </w:p>
        </w:tc>
        <w:tc>
          <w:tcPr>
            <w:tcW w:w="709"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0 </w:t>
            </w:r>
          </w:p>
        </w:tc>
        <w:tc>
          <w:tcPr>
            <w:tcW w:w="1417"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0 </w:t>
            </w:r>
          </w:p>
        </w:tc>
        <w:tc>
          <w:tcPr>
            <w:tcW w:w="1418"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0 </w:t>
            </w:r>
          </w:p>
        </w:tc>
        <w:tc>
          <w:tcPr>
            <w:tcW w:w="567"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F156A">
        <w:tblPrEx>
          <w:tblCellMar>
            <w:top w:w="0" w:type="dxa"/>
            <w:left w:w="0" w:type="dxa"/>
            <w:bottom w:w="0" w:type="dxa"/>
            <w:right w:w="0" w:type="dxa"/>
          </w:tblCellMar>
        </w:tblPrEx>
        <w:trPr>
          <w:trHeight w:val="113"/>
        </w:trPr>
        <w:tc>
          <w:tcPr>
            <w:tcW w:w="3969" w:type="dxa"/>
            <w:tcBorders>
              <w:top w:val="single" w:color="542E8E" w:sz="4" w:space="0"/>
              <w:left w:val="nil"/>
              <w:bottom w:val="single" w:color="542E8E" w:sz="4" w:space="0"/>
              <w:right w:val="nil"/>
            </w:tcBorders>
            <w:shd w:val="solid" w:color="FFFFFF" w:fill="auto"/>
            <w:tcMar>
              <w:top w:w="57" w:type="dxa"/>
              <w:left w:w="57" w:type="dxa"/>
              <w:bottom w:w="57" w:type="dxa"/>
              <w:right w:w="0" w:type="dxa"/>
            </w:tcMar>
          </w:tcPr>
          <w:p w:rsidRPr="00771181" w:rsidR="000D6E6A" w:rsidP="00771181" w:rsidRDefault="000D6E6A">
            <w:pPr>
              <w:pStyle w:val="bodycopytabletable"/>
            </w:pPr>
            <w:r w:rsidRPr="00771181">
              <w:rPr>
                <w:rStyle w:val="medium"/>
                <w:b/>
                <w:bCs/>
              </w:rPr>
              <w:t>Comprehensive result</w:t>
            </w:r>
          </w:p>
        </w:tc>
        <w:tc>
          <w:tcPr>
            <w:tcW w:w="993"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208 </w:t>
            </w:r>
          </w:p>
        </w:tc>
        <w:tc>
          <w:tcPr>
            <w:tcW w:w="992"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208 </w:t>
            </w:r>
          </w:p>
        </w:tc>
        <w:tc>
          <w:tcPr>
            <w:tcW w:w="709"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107 </w:t>
            </w:r>
          </w:p>
        </w:tc>
        <w:tc>
          <w:tcPr>
            <w:tcW w:w="1417"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(101) </w:t>
            </w:r>
          </w:p>
        </w:tc>
        <w:tc>
          <w:tcPr>
            <w:tcW w:w="1418"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(102) </w:t>
            </w:r>
          </w:p>
        </w:tc>
        <w:tc>
          <w:tcPr>
            <w:tcW w:w="567"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F156A">
        <w:tblPrEx>
          <w:tblCellMar>
            <w:top w:w="0" w:type="dxa"/>
            <w:left w:w="0" w:type="dxa"/>
            <w:bottom w:w="0" w:type="dxa"/>
            <w:right w:w="0" w:type="dxa"/>
          </w:tblCellMar>
        </w:tblPrEx>
        <w:trPr>
          <w:trHeight w:val="113"/>
        </w:trPr>
        <w:tc>
          <w:tcPr>
            <w:tcW w:w="3969" w:type="dxa"/>
            <w:tcBorders>
              <w:top w:val="single" w:color="542E8E" w:sz="4" w:space="0"/>
              <w:left w:val="nil"/>
              <w:bottom w:val="dotted" w:color="542E8E" w:sz="4" w:space="0"/>
              <w:right w:val="nil"/>
            </w:tcBorders>
            <w:tcMar>
              <w:top w:w="57" w:type="dxa"/>
              <w:left w:w="57" w:type="dxa"/>
              <w:bottom w:w="57" w:type="dxa"/>
              <w:right w:w="0" w:type="dxa"/>
            </w:tcMar>
          </w:tcPr>
          <w:p w:rsidRPr="00771181" w:rsidR="000D6E6A" w:rsidP="00771181" w:rsidRDefault="000D6E6A">
            <w:pPr>
              <w:pStyle w:val="NoParagraphStyle"/>
              <w:spacing w:line="240" w:lineRule="auto"/>
              <w:textAlignment w:val="auto"/>
              <w:rPr>
                <w:color w:val="auto"/>
                <w:sz w:val="16"/>
                <w:szCs w:val="16"/>
              </w:rPr>
            </w:pPr>
          </w:p>
        </w:tc>
        <w:tc>
          <w:tcPr>
            <w:tcW w:w="993" w:type="dxa"/>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992" w:type="dxa"/>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709" w:type="dxa"/>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1417" w:type="dxa"/>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1418" w:type="dxa"/>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567" w:type="dxa"/>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F156A">
        <w:tblPrEx>
          <w:tblCellMar>
            <w:top w:w="0" w:type="dxa"/>
            <w:left w:w="0" w:type="dxa"/>
            <w:bottom w:w="0" w:type="dxa"/>
            <w:right w:w="0" w:type="dxa"/>
          </w:tblCellMar>
        </w:tblPrEx>
        <w:trPr>
          <w:trHeight w:val="113"/>
        </w:trPr>
        <w:tc>
          <w:tcPr>
            <w:tcW w:w="3969" w:type="dxa"/>
            <w:tcBorders>
              <w:top w:val="dotted" w:color="542E8E" w:sz="4" w:space="0"/>
              <w:left w:val="nil"/>
              <w:bottom w:val="dotted" w:color="542E8E" w:sz="4" w:space="0"/>
              <w:right w:val="nil"/>
            </w:tcBorders>
            <w:tcMar>
              <w:top w:w="57" w:type="dxa"/>
              <w:left w:w="57" w:type="dxa"/>
              <w:bottom w:w="57" w:type="dxa"/>
              <w:right w:w="0" w:type="dxa"/>
            </w:tcMar>
          </w:tcPr>
          <w:p w:rsidRPr="00771181" w:rsidR="000D6E6A" w:rsidP="00771181" w:rsidRDefault="000D6E6A">
            <w:pPr>
              <w:pStyle w:val="bodycopytabletable"/>
            </w:pPr>
            <w:r w:rsidRPr="00771181">
              <w:rPr>
                <w:rStyle w:val="mediumpurple"/>
                <w:b/>
                <w:bCs/>
              </w:rPr>
              <w:t>Administered assets</w:t>
            </w:r>
          </w:p>
        </w:tc>
        <w:tc>
          <w:tcPr>
            <w:tcW w:w="993"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709"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56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F156A">
        <w:tblPrEx>
          <w:tblCellMar>
            <w:top w:w="0" w:type="dxa"/>
            <w:left w:w="0" w:type="dxa"/>
            <w:bottom w:w="0" w:type="dxa"/>
            <w:right w:w="0" w:type="dxa"/>
          </w:tblCellMar>
        </w:tblPrEx>
        <w:trPr>
          <w:trHeight w:val="113"/>
        </w:trPr>
        <w:tc>
          <w:tcPr>
            <w:tcW w:w="3969" w:type="dxa"/>
            <w:tcBorders>
              <w:top w:val="dotted" w:color="542E8E" w:sz="4" w:space="0"/>
              <w:left w:val="nil"/>
              <w:bottom w:val="dotted" w:color="542E8E" w:sz="4" w:space="0"/>
              <w:right w:val="nil"/>
            </w:tcBorders>
            <w:tcMar>
              <w:top w:w="57" w:type="dxa"/>
              <w:left w:w="57" w:type="dxa"/>
              <w:bottom w:w="57" w:type="dxa"/>
              <w:right w:w="0" w:type="dxa"/>
            </w:tcMar>
          </w:tcPr>
          <w:p w:rsidRPr="00771181" w:rsidR="000D6E6A" w:rsidP="00771181" w:rsidRDefault="000D6E6A">
            <w:pPr>
              <w:pStyle w:val="bodycopytabletable"/>
            </w:pPr>
            <w:r w:rsidRPr="00771181">
              <w:t>Cash and deposits</w:t>
            </w:r>
          </w:p>
        </w:tc>
        <w:tc>
          <w:tcPr>
            <w:tcW w:w="993"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89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66 </w:t>
            </w:r>
          </w:p>
        </w:tc>
        <w:tc>
          <w:tcPr>
            <w:tcW w:w="709"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61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(28) </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(5) </w:t>
            </w:r>
          </w:p>
        </w:tc>
        <w:tc>
          <w:tcPr>
            <w:tcW w:w="56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F156A">
        <w:tblPrEx>
          <w:tblCellMar>
            <w:top w:w="0" w:type="dxa"/>
            <w:left w:w="0" w:type="dxa"/>
            <w:bottom w:w="0" w:type="dxa"/>
            <w:right w:w="0" w:type="dxa"/>
          </w:tblCellMar>
        </w:tblPrEx>
        <w:trPr>
          <w:trHeight w:val="113"/>
        </w:trPr>
        <w:tc>
          <w:tcPr>
            <w:tcW w:w="3969" w:type="dxa"/>
            <w:tcBorders>
              <w:top w:val="dotted" w:color="542E8E" w:sz="4" w:space="0"/>
              <w:left w:val="nil"/>
              <w:bottom w:val="dotted" w:color="542E8E" w:sz="4" w:space="0"/>
              <w:right w:val="nil"/>
            </w:tcBorders>
            <w:tcMar>
              <w:top w:w="57" w:type="dxa"/>
              <w:left w:w="57" w:type="dxa"/>
              <w:bottom w:w="57" w:type="dxa"/>
              <w:right w:w="0" w:type="dxa"/>
            </w:tcMar>
          </w:tcPr>
          <w:p w:rsidRPr="00771181" w:rsidR="000D6E6A" w:rsidP="00771181" w:rsidRDefault="000D6E6A">
            <w:pPr>
              <w:pStyle w:val="bodycopytabletable"/>
            </w:pPr>
            <w:r w:rsidRPr="00771181">
              <w:t>Receivables</w:t>
            </w:r>
          </w:p>
        </w:tc>
        <w:tc>
          <w:tcPr>
            <w:tcW w:w="993"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1,693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1,748 </w:t>
            </w:r>
          </w:p>
        </w:tc>
        <w:tc>
          <w:tcPr>
            <w:tcW w:w="709"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1,815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122 </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67 </w:t>
            </w:r>
          </w:p>
        </w:tc>
        <w:tc>
          <w:tcPr>
            <w:tcW w:w="56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(v)</w:t>
            </w:r>
          </w:p>
        </w:tc>
      </w:tr>
      <w:tr w:rsidRPr="00771181" w:rsidR="000D6E6A" w:rsidTr="007F156A">
        <w:tblPrEx>
          <w:tblCellMar>
            <w:top w:w="0" w:type="dxa"/>
            <w:left w:w="0" w:type="dxa"/>
            <w:bottom w:w="0" w:type="dxa"/>
            <w:right w:w="0" w:type="dxa"/>
          </w:tblCellMar>
        </w:tblPrEx>
        <w:trPr>
          <w:trHeight w:val="113"/>
        </w:trPr>
        <w:tc>
          <w:tcPr>
            <w:tcW w:w="3969" w:type="dxa"/>
            <w:tcBorders>
              <w:top w:val="dotted" w:color="542E8E" w:sz="4" w:space="0"/>
              <w:left w:val="nil"/>
              <w:bottom w:val="dotted" w:color="542E8E" w:sz="4" w:space="0"/>
              <w:right w:val="nil"/>
            </w:tcBorders>
            <w:tcMar>
              <w:top w:w="57" w:type="dxa"/>
              <w:left w:w="57" w:type="dxa"/>
              <w:bottom w:w="57" w:type="dxa"/>
              <w:right w:w="0" w:type="dxa"/>
            </w:tcMar>
          </w:tcPr>
          <w:p w:rsidRPr="00771181" w:rsidR="000D6E6A" w:rsidP="00771181" w:rsidRDefault="000D6E6A">
            <w:pPr>
              <w:pStyle w:val="bodycopytabletable"/>
            </w:pPr>
            <w:r w:rsidRPr="00771181">
              <w:t>Other financial assets</w:t>
            </w:r>
          </w:p>
        </w:tc>
        <w:tc>
          <w:tcPr>
            <w:tcW w:w="993"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4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2 </w:t>
            </w:r>
          </w:p>
        </w:tc>
        <w:tc>
          <w:tcPr>
            <w:tcW w:w="709"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(4) </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(2) </w:t>
            </w:r>
          </w:p>
        </w:tc>
        <w:tc>
          <w:tcPr>
            <w:tcW w:w="56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F156A">
        <w:tblPrEx>
          <w:tblCellMar>
            <w:top w:w="0" w:type="dxa"/>
            <w:left w:w="0" w:type="dxa"/>
            <w:bottom w:w="0" w:type="dxa"/>
            <w:right w:w="0" w:type="dxa"/>
          </w:tblCellMar>
        </w:tblPrEx>
        <w:trPr>
          <w:trHeight w:val="113"/>
        </w:trPr>
        <w:tc>
          <w:tcPr>
            <w:tcW w:w="3969" w:type="dxa"/>
            <w:tcBorders>
              <w:top w:val="dotted" w:color="542E8E" w:sz="4" w:space="0"/>
              <w:left w:val="nil"/>
              <w:bottom w:val="single" w:color="542E8E" w:sz="4" w:space="0"/>
              <w:right w:val="nil"/>
            </w:tcBorders>
            <w:shd w:val="solid" w:color="FFFFFF" w:fill="auto"/>
            <w:tcMar>
              <w:top w:w="57" w:type="dxa"/>
              <w:left w:w="57" w:type="dxa"/>
              <w:bottom w:w="57" w:type="dxa"/>
              <w:right w:w="0" w:type="dxa"/>
            </w:tcMar>
          </w:tcPr>
          <w:p w:rsidRPr="00771181" w:rsidR="000D6E6A" w:rsidP="00771181" w:rsidRDefault="000D6E6A">
            <w:pPr>
              <w:pStyle w:val="bodycopytabletable"/>
            </w:pPr>
            <w:r w:rsidRPr="00771181">
              <w:rPr>
                <w:rStyle w:val="medium"/>
                <w:b/>
                <w:bCs/>
              </w:rPr>
              <w:t>Total administered assets</w:t>
            </w:r>
          </w:p>
        </w:tc>
        <w:tc>
          <w:tcPr>
            <w:tcW w:w="993"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1,786 </w:t>
            </w:r>
          </w:p>
        </w:tc>
        <w:tc>
          <w:tcPr>
            <w:tcW w:w="992"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1,815 </w:t>
            </w:r>
          </w:p>
        </w:tc>
        <w:tc>
          <w:tcPr>
            <w:tcW w:w="709"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1,876 </w:t>
            </w:r>
          </w:p>
        </w:tc>
        <w:tc>
          <w:tcPr>
            <w:tcW w:w="1417"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90 </w:t>
            </w:r>
          </w:p>
        </w:tc>
        <w:tc>
          <w:tcPr>
            <w:tcW w:w="1418"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60 </w:t>
            </w:r>
          </w:p>
        </w:tc>
        <w:tc>
          <w:tcPr>
            <w:tcW w:w="567"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F156A">
        <w:tblPrEx>
          <w:tblCellMar>
            <w:top w:w="0" w:type="dxa"/>
            <w:left w:w="0" w:type="dxa"/>
            <w:bottom w:w="0" w:type="dxa"/>
            <w:right w:w="0" w:type="dxa"/>
          </w:tblCellMar>
        </w:tblPrEx>
        <w:trPr>
          <w:trHeight w:val="113"/>
        </w:trPr>
        <w:tc>
          <w:tcPr>
            <w:tcW w:w="3969" w:type="dxa"/>
            <w:tcBorders>
              <w:top w:val="single" w:color="542E8E" w:sz="4" w:space="0"/>
              <w:left w:val="nil"/>
              <w:bottom w:val="dotted" w:color="542E8E" w:sz="4" w:space="0"/>
              <w:right w:val="nil"/>
            </w:tcBorders>
            <w:tcMar>
              <w:top w:w="57" w:type="dxa"/>
              <w:left w:w="57" w:type="dxa"/>
              <w:bottom w:w="57" w:type="dxa"/>
              <w:right w:w="0" w:type="dxa"/>
            </w:tcMar>
          </w:tcPr>
          <w:p w:rsidRPr="00771181" w:rsidR="000D6E6A" w:rsidP="00771181" w:rsidRDefault="000D6E6A">
            <w:pPr>
              <w:pStyle w:val="bodycopytabletable"/>
            </w:pPr>
            <w:r w:rsidRPr="00771181">
              <w:rPr>
                <w:rStyle w:val="mediumpurple"/>
                <w:b/>
                <w:bCs/>
              </w:rPr>
              <w:t>Administered liabilities</w:t>
            </w:r>
          </w:p>
        </w:tc>
        <w:tc>
          <w:tcPr>
            <w:tcW w:w="993" w:type="dxa"/>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992" w:type="dxa"/>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709" w:type="dxa"/>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1417" w:type="dxa"/>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1418" w:type="dxa"/>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c>
          <w:tcPr>
            <w:tcW w:w="567" w:type="dxa"/>
            <w:tcBorders>
              <w:top w:val="single"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F156A">
        <w:tblPrEx>
          <w:tblCellMar>
            <w:top w:w="0" w:type="dxa"/>
            <w:left w:w="0" w:type="dxa"/>
            <w:bottom w:w="0" w:type="dxa"/>
            <w:right w:w="0" w:type="dxa"/>
          </w:tblCellMar>
        </w:tblPrEx>
        <w:trPr>
          <w:trHeight w:val="113"/>
        </w:trPr>
        <w:tc>
          <w:tcPr>
            <w:tcW w:w="3969" w:type="dxa"/>
            <w:tcBorders>
              <w:top w:val="dotted" w:color="542E8E" w:sz="4" w:space="0"/>
              <w:left w:val="nil"/>
              <w:bottom w:val="dotted" w:color="542E8E" w:sz="4" w:space="0"/>
              <w:right w:val="nil"/>
            </w:tcBorders>
            <w:tcMar>
              <w:top w:w="57" w:type="dxa"/>
              <w:left w:w="57" w:type="dxa"/>
              <w:bottom w:w="57" w:type="dxa"/>
              <w:right w:w="0" w:type="dxa"/>
            </w:tcMar>
          </w:tcPr>
          <w:p w:rsidRPr="00771181" w:rsidR="000D6E6A" w:rsidP="00771181" w:rsidRDefault="000D6E6A">
            <w:pPr>
              <w:pStyle w:val="bodycopytabletable"/>
            </w:pPr>
            <w:r w:rsidRPr="00771181">
              <w:t>Payables</w:t>
            </w:r>
          </w:p>
        </w:tc>
        <w:tc>
          <w:tcPr>
            <w:tcW w:w="993"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1,139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1,097 </w:t>
            </w:r>
          </w:p>
        </w:tc>
        <w:tc>
          <w:tcPr>
            <w:tcW w:w="709"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1,258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119 </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161 </w:t>
            </w:r>
          </w:p>
        </w:tc>
        <w:tc>
          <w:tcPr>
            <w:tcW w:w="56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(vi)</w:t>
            </w:r>
          </w:p>
        </w:tc>
      </w:tr>
      <w:tr w:rsidRPr="00771181" w:rsidR="000D6E6A" w:rsidTr="007F156A">
        <w:tblPrEx>
          <w:tblCellMar>
            <w:top w:w="0" w:type="dxa"/>
            <w:left w:w="0" w:type="dxa"/>
            <w:bottom w:w="0" w:type="dxa"/>
            <w:right w:w="0" w:type="dxa"/>
          </w:tblCellMar>
        </w:tblPrEx>
        <w:trPr>
          <w:trHeight w:val="113"/>
        </w:trPr>
        <w:tc>
          <w:tcPr>
            <w:tcW w:w="3969" w:type="dxa"/>
            <w:tcBorders>
              <w:top w:val="dotted" w:color="542E8E" w:sz="4" w:space="0"/>
              <w:left w:val="nil"/>
              <w:bottom w:val="dotted" w:color="542E8E" w:sz="4" w:space="0"/>
              <w:right w:val="nil"/>
            </w:tcBorders>
            <w:tcMar>
              <w:top w:w="57" w:type="dxa"/>
              <w:left w:w="57" w:type="dxa"/>
              <w:bottom w:w="57" w:type="dxa"/>
              <w:right w:w="0" w:type="dxa"/>
            </w:tcMar>
          </w:tcPr>
          <w:p w:rsidRPr="00771181" w:rsidR="000D6E6A" w:rsidP="00771181" w:rsidRDefault="000D6E6A">
            <w:pPr>
              <w:pStyle w:val="bodycopytabletable"/>
            </w:pPr>
            <w:r w:rsidRPr="00771181">
              <w:t>Provisions</w:t>
            </w:r>
          </w:p>
        </w:tc>
        <w:tc>
          <w:tcPr>
            <w:tcW w:w="993"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 </w:t>
            </w:r>
          </w:p>
        </w:tc>
        <w:tc>
          <w:tcPr>
            <w:tcW w:w="709"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1 </w:t>
            </w:r>
          </w:p>
        </w:tc>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bodycopytabletable"/>
              <w:jc w:val="right"/>
            </w:pPr>
            <w:r w:rsidRPr="00771181">
              <w:t xml:space="preserve">0 </w:t>
            </w:r>
          </w:p>
        </w:tc>
        <w:tc>
          <w:tcPr>
            <w:tcW w:w="567" w:type="dxa"/>
            <w:tcBorders>
              <w:top w:val="dotted" w:color="542E8E" w:sz="4" w:space="0"/>
              <w:left w:val="nil"/>
              <w:bottom w:val="dotted" w:color="542E8E" w:sz="4" w:space="0"/>
              <w:right w:val="nil"/>
            </w:tcBorders>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F156A">
        <w:tblPrEx>
          <w:tblCellMar>
            <w:top w:w="0" w:type="dxa"/>
            <w:left w:w="0" w:type="dxa"/>
            <w:bottom w:w="0" w:type="dxa"/>
            <w:right w:w="0" w:type="dxa"/>
          </w:tblCellMar>
        </w:tblPrEx>
        <w:trPr>
          <w:trHeight w:val="113"/>
        </w:trPr>
        <w:tc>
          <w:tcPr>
            <w:tcW w:w="3969" w:type="dxa"/>
            <w:tcBorders>
              <w:top w:val="dotted" w:color="542E8E" w:sz="4" w:space="0"/>
              <w:left w:val="nil"/>
              <w:bottom w:val="single" w:color="542E8E" w:sz="4" w:space="0"/>
              <w:right w:val="nil"/>
            </w:tcBorders>
            <w:shd w:val="solid" w:color="FFFFFF" w:fill="auto"/>
            <w:tcMar>
              <w:top w:w="57" w:type="dxa"/>
              <w:left w:w="57" w:type="dxa"/>
              <w:bottom w:w="57" w:type="dxa"/>
              <w:right w:w="0" w:type="dxa"/>
            </w:tcMar>
          </w:tcPr>
          <w:p w:rsidRPr="00771181" w:rsidR="000D6E6A" w:rsidP="00771181" w:rsidRDefault="000D6E6A">
            <w:pPr>
              <w:pStyle w:val="bodycopytabletable"/>
            </w:pPr>
            <w:r w:rsidRPr="00771181">
              <w:rPr>
                <w:rStyle w:val="medium"/>
                <w:b/>
                <w:bCs/>
              </w:rPr>
              <w:t>Total administered liabilities</w:t>
            </w:r>
          </w:p>
        </w:tc>
        <w:tc>
          <w:tcPr>
            <w:tcW w:w="993"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1,139 </w:t>
            </w:r>
          </w:p>
        </w:tc>
        <w:tc>
          <w:tcPr>
            <w:tcW w:w="992"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1,098 </w:t>
            </w:r>
          </w:p>
        </w:tc>
        <w:tc>
          <w:tcPr>
            <w:tcW w:w="709"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1,259 </w:t>
            </w:r>
          </w:p>
        </w:tc>
        <w:tc>
          <w:tcPr>
            <w:tcW w:w="1417"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119 </w:t>
            </w:r>
          </w:p>
        </w:tc>
        <w:tc>
          <w:tcPr>
            <w:tcW w:w="1418"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161 </w:t>
            </w:r>
          </w:p>
        </w:tc>
        <w:tc>
          <w:tcPr>
            <w:tcW w:w="567"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r w:rsidRPr="00771181" w:rsidR="000D6E6A" w:rsidTr="007F156A">
        <w:tblPrEx>
          <w:tblCellMar>
            <w:top w:w="0" w:type="dxa"/>
            <w:left w:w="0" w:type="dxa"/>
            <w:bottom w:w="0" w:type="dxa"/>
            <w:right w:w="0" w:type="dxa"/>
          </w:tblCellMar>
        </w:tblPrEx>
        <w:trPr>
          <w:trHeight w:val="113"/>
        </w:trPr>
        <w:tc>
          <w:tcPr>
            <w:tcW w:w="3969" w:type="dxa"/>
            <w:tcBorders>
              <w:top w:val="single" w:color="542E8E" w:sz="4" w:space="0"/>
              <w:left w:val="nil"/>
              <w:bottom w:val="single" w:color="542E8E" w:sz="4" w:space="0"/>
              <w:right w:val="nil"/>
            </w:tcBorders>
            <w:shd w:val="solid" w:color="FFFFFF" w:fill="auto"/>
            <w:tcMar>
              <w:top w:w="57" w:type="dxa"/>
              <w:left w:w="57" w:type="dxa"/>
              <w:bottom w:w="57" w:type="dxa"/>
              <w:right w:w="0" w:type="dxa"/>
            </w:tcMar>
          </w:tcPr>
          <w:p w:rsidRPr="00771181" w:rsidR="000D6E6A" w:rsidP="00771181" w:rsidRDefault="000D6E6A">
            <w:pPr>
              <w:pStyle w:val="bodycopytabletable"/>
            </w:pPr>
            <w:r w:rsidRPr="00771181">
              <w:rPr>
                <w:rStyle w:val="medium"/>
                <w:b/>
                <w:bCs/>
              </w:rPr>
              <w:t>Net assets</w:t>
            </w:r>
          </w:p>
        </w:tc>
        <w:tc>
          <w:tcPr>
            <w:tcW w:w="993"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647 </w:t>
            </w:r>
          </w:p>
        </w:tc>
        <w:tc>
          <w:tcPr>
            <w:tcW w:w="992"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718 </w:t>
            </w:r>
          </w:p>
        </w:tc>
        <w:tc>
          <w:tcPr>
            <w:tcW w:w="709"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617 </w:t>
            </w:r>
          </w:p>
        </w:tc>
        <w:tc>
          <w:tcPr>
            <w:tcW w:w="1417"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(29) </w:t>
            </w:r>
          </w:p>
        </w:tc>
        <w:tc>
          <w:tcPr>
            <w:tcW w:w="1418"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bodycopytabletable"/>
              <w:jc w:val="right"/>
            </w:pPr>
            <w:r w:rsidRPr="00771181">
              <w:rPr>
                <w:rStyle w:val="medium"/>
                <w:b/>
                <w:bCs/>
              </w:rPr>
              <w:t xml:space="preserve">(101) </w:t>
            </w:r>
          </w:p>
        </w:tc>
        <w:tc>
          <w:tcPr>
            <w:tcW w:w="567" w:type="dxa"/>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771181" w:rsidR="000D6E6A" w:rsidP="00771181" w:rsidRDefault="000D6E6A">
            <w:pPr>
              <w:pStyle w:val="NoParagraphStyle"/>
              <w:spacing w:line="240" w:lineRule="auto"/>
              <w:textAlignment w:val="auto"/>
              <w:rPr>
                <w:color w:val="auto"/>
                <w:sz w:val="16"/>
                <w:szCs w:val="16"/>
              </w:rPr>
            </w:pPr>
          </w:p>
        </w:tc>
      </w:tr>
    </w:tbl>
    <w:p w:rsidR="000D6E6A" w:rsidP="007F156A" w:rsidRDefault="000D6E6A">
      <w:pPr>
        <w:pStyle w:val="notestable"/>
        <w:tabs>
          <w:tab w:val="clear" w:pos="283"/>
        </w:tabs>
        <w:spacing w:before="60"/>
        <w:ind w:left="284" w:hanging="284"/>
      </w:pPr>
      <w:r>
        <w:t>(</w:t>
      </w:r>
      <w:proofErr w:type="spellStart"/>
      <w:r>
        <w:t>i</w:t>
      </w:r>
      <w:proofErr w:type="spellEnd"/>
      <w:r>
        <w:t xml:space="preserve">) </w:t>
      </w:r>
      <w:r>
        <w:tab/>
        <w:t>Figures published in the 2017-18 Victorian Budget, Budget Paper No. 5</w:t>
      </w:r>
    </w:p>
    <w:p w:rsidR="000D6E6A" w:rsidP="007F156A" w:rsidRDefault="000D6E6A">
      <w:pPr>
        <w:pStyle w:val="notestable"/>
        <w:tabs>
          <w:tab w:val="clear" w:pos="283"/>
        </w:tabs>
        <w:ind w:left="284" w:hanging="284"/>
      </w:pPr>
      <w:r>
        <w:lastRenderedPageBreak/>
        <w:t xml:space="preserve">(ii) </w:t>
      </w:r>
      <w:r>
        <w:tab/>
        <w:t xml:space="preserve">Figures published in the 2018-19 Victorian Budget, Budget Paper No. 5.  </w:t>
      </w:r>
    </w:p>
    <w:p w:rsidR="000D6E6A" w:rsidP="007F156A" w:rsidRDefault="000D6E6A">
      <w:pPr>
        <w:pStyle w:val="notestable"/>
        <w:tabs>
          <w:tab w:val="clear" w:pos="283"/>
        </w:tabs>
        <w:ind w:left="284" w:hanging="284"/>
      </w:pPr>
      <w:r>
        <w:t xml:space="preserve">(iii) </w:t>
      </w:r>
      <w:r>
        <w:tab/>
        <w:t>Other income was higher than the revised budget mainly due to an increase in court and traffic camera fines.</w:t>
      </w:r>
    </w:p>
    <w:p w:rsidR="000D6E6A" w:rsidP="007F156A" w:rsidRDefault="000D6E6A">
      <w:pPr>
        <w:pStyle w:val="notestable"/>
        <w:tabs>
          <w:tab w:val="clear" w:pos="283"/>
        </w:tabs>
        <w:ind w:left="284" w:hanging="284"/>
      </w:pPr>
      <w:r>
        <w:t xml:space="preserve">(iv) </w:t>
      </w:r>
      <w:r>
        <w:tab/>
        <w:t>Net gain/(loss) on financial instruments and statutory receivables/payables was higher than the original and revised budgets mainly due to an increase in doubtful debts expense.</w:t>
      </w:r>
    </w:p>
    <w:p w:rsidR="000D6E6A" w:rsidP="007F156A" w:rsidRDefault="000D6E6A">
      <w:pPr>
        <w:pStyle w:val="notestable"/>
        <w:tabs>
          <w:tab w:val="clear" w:pos="283"/>
        </w:tabs>
        <w:ind w:left="284" w:hanging="284"/>
      </w:pPr>
      <w:r>
        <w:t>(v)</w:t>
      </w:r>
      <w:r>
        <w:tab/>
        <w:t>Receivables were higher than the original and revised budgets mainly due to higher than expected receivables for fine-related enforcement activities. Outstanding debts will continue to be vigorously pursued through all legal means.</w:t>
      </w:r>
    </w:p>
    <w:p w:rsidR="000D6E6A" w:rsidP="007F156A" w:rsidRDefault="000D6E6A">
      <w:pPr>
        <w:pStyle w:val="notestable"/>
        <w:tabs>
          <w:tab w:val="clear" w:pos="283"/>
        </w:tabs>
        <w:ind w:left="284" w:hanging="284"/>
      </w:pPr>
      <w:r>
        <w:t>(vi)</w:t>
      </w:r>
      <w:r>
        <w:tab/>
        <w:t>Payables were higher than the original and revised budgets mainly due to revenue received in advance from Tatts Group Limited for the new Public Lottery Licence and Ancillary Agreement in June 2018 which was expected on 1 July 2018 as per the agreement.</w:t>
      </w:r>
    </w:p>
    <w:p w:rsidR="000D6E6A" w:rsidRDefault="000D6E6A">
      <w:pPr>
        <w:pStyle w:val="notestable"/>
      </w:pPr>
    </w:p>
    <w:p w:rsidR="000D6E6A" w:rsidP="007F156A" w:rsidRDefault="000D6E6A">
      <w:pPr>
        <w:pStyle w:val="H1"/>
      </w:pPr>
      <w:bookmarkStart w:id="5" w:name="_Toc525300160"/>
      <w:r>
        <w:t>3. Statutory authorities and offices by ministerial portfolio 2017–18</w:t>
      </w:r>
      <w:bookmarkEnd w:id="5"/>
    </w:p>
    <w:p w:rsidR="000D6E6A" w:rsidP="007F156A" w:rsidRDefault="000D6E6A">
      <w:pPr>
        <w:pStyle w:val="H2"/>
      </w:pPr>
      <w:r>
        <w:t>Attorney-General</w:t>
      </w:r>
    </w:p>
    <w:p w:rsidR="000D6E6A" w:rsidP="007F156A" w:rsidRDefault="000D6E6A">
      <w:pPr>
        <w:pStyle w:val="H4"/>
      </w:pPr>
      <w:r>
        <w:t>Statutory offices</w:t>
      </w:r>
    </w:p>
    <w:p w:rsidR="000D6E6A" w:rsidP="007F156A" w:rsidRDefault="000D6E6A">
      <w:pPr>
        <w:pStyle w:val="Bodycopy"/>
      </w:pPr>
      <w:r>
        <w:t xml:space="preserve">Chief Examiner and Examiner (jointly administered with the Minister for Police) </w:t>
      </w:r>
    </w:p>
    <w:p w:rsidR="000D6E6A" w:rsidRDefault="000D6E6A">
      <w:pPr>
        <w:pStyle w:val="Bodycopy"/>
      </w:pPr>
      <w:r>
        <w:t>Commissioner for Uniform Legal Services Regulation (jointly administered with the Attorney-General of New South Wales)</w:t>
      </w:r>
    </w:p>
    <w:p w:rsidR="000D6E6A" w:rsidRDefault="000D6E6A">
      <w:pPr>
        <w:pStyle w:val="Bodycopy"/>
      </w:pPr>
      <w:r>
        <w:t>Crown Counsel</w:t>
      </w:r>
    </w:p>
    <w:p w:rsidR="000D6E6A" w:rsidRDefault="000D6E6A">
      <w:pPr>
        <w:pStyle w:val="Bodycopy"/>
      </w:pPr>
      <w:r>
        <w:t>Crown Prosecutors</w:t>
      </w:r>
    </w:p>
    <w:p w:rsidR="000D6E6A" w:rsidRDefault="000D6E6A">
      <w:pPr>
        <w:pStyle w:val="Bodycopy"/>
      </w:pPr>
      <w:r>
        <w:t>Director of Public Prosecutions</w:t>
      </w:r>
    </w:p>
    <w:p w:rsidR="000D6E6A" w:rsidRDefault="000D6E6A">
      <w:pPr>
        <w:pStyle w:val="Bodycopy"/>
      </w:pPr>
      <w:r>
        <w:t>Public Advocate</w:t>
      </w:r>
    </w:p>
    <w:p w:rsidR="000D6E6A" w:rsidRDefault="000D6E6A">
      <w:pPr>
        <w:pStyle w:val="Bodycopy"/>
      </w:pPr>
      <w:r>
        <w:t>Solicitor-General</w:t>
      </w:r>
    </w:p>
    <w:p w:rsidR="000D6E6A" w:rsidRDefault="000D6E6A">
      <w:pPr>
        <w:pStyle w:val="Bodycopy"/>
      </w:pPr>
      <w:r>
        <w:t>Victims of Crime Commissioner</w:t>
      </w:r>
    </w:p>
    <w:p w:rsidR="000D6E6A" w:rsidRDefault="000D6E6A">
      <w:pPr>
        <w:pStyle w:val="Bodycopy"/>
      </w:pPr>
      <w:r>
        <w:t>Victorian Legal Services Commissioner</w:t>
      </w:r>
    </w:p>
    <w:p w:rsidR="000D6E6A" w:rsidRDefault="000D6E6A">
      <w:pPr>
        <w:pStyle w:val="H4"/>
      </w:pPr>
      <w:r>
        <w:t>Administrative offices</w:t>
      </w:r>
    </w:p>
    <w:p w:rsidR="000D6E6A" w:rsidRDefault="000D6E6A">
      <w:pPr>
        <w:pStyle w:val="Bodycopy"/>
      </w:pPr>
      <w:r>
        <w:t>Victorian Government Solicitor’s Office</w:t>
      </w:r>
    </w:p>
    <w:p w:rsidR="000D6E6A" w:rsidRDefault="000D6E6A">
      <w:pPr>
        <w:pStyle w:val="H4"/>
      </w:pPr>
      <w:r>
        <w:t>Statutory authorities</w:t>
      </w:r>
    </w:p>
    <w:p w:rsidR="000D6E6A" w:rsidRDefault="000D6E6A">
      <w:pPr>
        <w:pStyle w:val="Bodycopy"/>
      </w:pPr>
      <w:r>
        <w:t>Appeal Costs Board</w:t>
      </w:r>
    </w:p>
    <w:p w:rsidR="000D6E6A" w:rsidRDefault="000D6E6A">
      <w:pPr>
        <w:pStyle w:val="Bodycopy"/>
      </w:pPr>
      <w:r>
        <w:t>Coronial Council of Victoria</w:t>
      </w:r>
    </w:p>
    <w:p w:rsidR="000D6E6A" w:rsidRDefault="000D6E6A">
      <w:pPr>
        <w:pStyle w:val="Bodycopy"/>
      </w:pPr>
      <w:r>
        <w:t>Court Services Victoria</w:t>
      </w:r>
    </w:p>
    <w:p w:rsidR="000D6E6A" w:rsidRDefault="000D6E6A">
      <w:pPr>
        <w:pStyle w:val="Bodycopy"/>
      </w:pPr>
      <w:r>
        <w:t>Judicial College of Victoria</w:t>
      </w:r>
    </w:p>
    <w:p w:rsidR="000D6E6A" w:rsidRDefault="000D6E6A">
      <w:pPr>
        <w:pStyle w:val="Bodycopy"/>
      </w:pPr>
      <w:r>
        <w:t>Judicial Commission of Victoria</w:t>
      </w:r>
    </w:p>
    <w:p w:rsidR="000D6E6A" w:rsidRDefault="000D6E6A">
      <w:pPr>
        <w:pStyle w:val="Bodycopy"/>
      </w:pPr>
      <w:r>
        <w:t>Judicial Entitlements Panel</w:t>
      </w:r>
    </w:p>
    <w:p w:rsidR="000D6E6A" w:rsidRDefault="000D6E6A">
      <w:pPr>
        <w:pStyle w:val="Bodycopy"/>
      </w:pPr>
      <w:r>
        <w:t>Legal Practitioners’ Liability Committee</w:t>
      </w:r>
    </w:p>
    <w:p w:rsidR="000D6E6A" w:rsidRDefault="000D6E6A">
      <w:pPr>
        <w:pStyle w:val="Bodycopy"/>
      </w:pPr>
      <w:r>
        <w:t>Legal Services Council (Uniform Legal Services Regulation) (jointly administered with the Attorney-General of New South Wales)</w:t>
      </w:r>
    </w:p>
    <w:p w:rsidR="000D6E6A" w:rsidRDefault="000D6E6A">
      <w:pPr>
        <w:pStyle w:val="Bodycopy"/>
      </w:pPr>
      <w:r>
        <w:t>Office of Public Prosecutions</w:t>
      </w:r>
    </w:p>
    <w:p w:rsidR="000D6E6A" w:rsidRDefault="000D6E6A">
      <w:pPr>
        <w:pStyle w:val="Bodycopy"/>
      </w:pPr>
      <w:r>
        <w:t>Panel of Independent Reviewers – Legal Aid Act</w:t>
      </w:r>
    </w:p>
    <w:p w:rsidR="000D6E6A" w:rsidRDefault="000D6E6A">
      <w:pPr>
        <w:pStyle w:val="Bodycopy"/>
      </w:pPr>
      <w:r>
        <w:t>Sentencing Advisory Council</w:t>
      </w:r>
    </w:p>
    <w:p w:rsidR="000D6E6A" w:rsidRDefault="000D6E6A">
      <w:pPr>
        <w:pStyle w:val="Bodycopy"/>
      </w:pPr>
      <w:r>
        <w:t>Victorian Civil and Administrative Tribunal Rules Committee</w:t>
      </w:r>
    </w:p>
    <w:p w:rsidR="000D6E6A" w:rsidRDefault="000D6E6A">
      <w:pPr>
        <w:pStyle w:val="Bodycopy"/>
      </w:pPr>
      <w:r>
        <w:t>Victims of Crime Consultative Committee</w:t>
      </w:r>
    </w:p>
    <w:p w:rsidR="000D6E6A" w:rsidRDefault="000D6E6A">
      <w:pPr>
        <w:pStyle w:val="Bodycopy"/>
      </w:pPr>
      <w:r>
        <w:t>Victorian Equal Opportunity and Human Rights Commission</w:t>
      </w:r>
    </w:p>
    <w:p w:rsidR="000D6E6A" w:rsidRDefault="000D6E6A">
      <w:pPr>
        <w:pStyle w:val="Bodycopy"/>
      </w:pPr>
      <w:r>
        <w:t>Victoria Law Foundation</w:t>
      </w:r>
    </w:p>
    <w:p w:rsidR="000D6E6A" w:rsidRDefault="000D6E6A">
      <w:pPr>
        <w:pStyle w:val="Bodycopy"/>
      </w:pPr>
      <w:r>
        <w:t>Victoria Legal Aid</w:t>
      </w:r>
    </w:p>
    <w:p w:rsidR="000D6E6A" w:rsidRDefault="000D6E6A">
      <w:pPr>
        <w:pStyle w:val="Bodycopy"/>
      </w:pPr>
      <w:r>
        <w:t>Victorian Institute of Forensic Medicine</w:t>
      </w:r>
    </w:p>
    <w:p w:rsidR="000D6E6A" w:rsidRDefault="000D6E6A">
      <w:pPr>
        <w:pStyle w:val="Bodycopy"/>
      </w:pPr>
      <w:r>
        <w:t>Victorian Law Reform Commission</w:t>
      </w:r>
    </w:p>
    <w:p w:rsidR="000D6E6A" w:rsidRDefault="000D6E6A">
      <w:pPr>
        <w:pStyle w:val="Bodycopy"/>
      </w:pPr>
      <w:r>
        <w:t>Victorian Legal Services Board</w:t>
      </w:r>
    </w:p>
    <w:p w:rsidR="000D6E6A" w:rsidRDefault="000D6E6A">
      <w:pPr>
        <w:pStyle w:val="Bodycopy"/>
      </w:pPr>
      <w:r>
        <w:t>Victorian Legal Admissions Board</w:t>
      </w:r>
    </w:p>
    <w:p w:rsidR="000D6E6A" w:rsidRDefault="000D6E6A">
      <w:pPr>
        <w:pStyle w:val="Bodycopy"/>
      </w:pPr>
      <w:r>
        <w:t>Victorian Professional Standards Council</w:t>
      </w:r>
    </w:p>
    <w:p w:rsidR="000D6E6A" w:rsidRDefault="000D6E6A">
      <w:pPr>
        <w:pStyle w:val="Bodycopy"/>
      </w:pPr>
      <w:r>
        <w:t>Victorian Traditional Owners Trust</w:t>
      </w:r>
    </w:p>
    <w:p w:rsidR="000D6E6A" w:rsidRDefault="000D6E6A">
      <w:pPr>
        <w:pStyle w:val="H4"/>
      </w:pPr>
      <w:r>
        <w:lastRenderedPageBreak/>
        <w:t>Judicial and quasi-judicial bodies</w:t>
      </w:r>
    </w:p>
    <w:p w:rsidR="000D6E6A" w:rsidRDefault="000D6E6A">
      <w:pPr>
        <w:pStyle w:val="Bodycopy"/>
      </w:pPr>
      <w:r>
        <w:t>Supreme Court of Victoria</w:t>
      </w:r>
    </w:p>
    <w:p w:rsidR="000D6E6A" w:rsidRDefault="000D6E6A">
      <w:pPr>
        <w:pStyle w:val="Bodycopy"/>
      </w:pPr>
      <w:r>
        <w:t>County Court of Victoria</w:t>
      </w:r>
    </w:p>
    <w:p w:rsidR="000D6E6A" w:rsidRDefault="000D6E6A">
      <w:pPr>
        <w:pStyle w:val="Bodycopy"/>
      </w:pPr>
      <w:r>
        <w:t>Magistrates’ Court of Victoria</w:t>
      </w:r>
    </w:p>
    <w:p w:rsidR="000D6E6A" w:rsidRDefault="000D6E6A">
      <w:pPr>
        <w:pStyle w:val="Bodycopy"/>
      </w:pPr>
      <w:r>
        <w:t>Children’s Court of Victoria</w:t>
      </w:r>
    </w:p>
    <w:p w:rsidR="000D6E6A" w:rsidRDefault="000D6E6A">
      <w:pPr>
        <w:pStyle w:val="Bodycopy"/>
      </w:pPr>
      <w:r>
        <w:t>Coroners Court of Victoria</w:t>
      </w:r>
    </w:p>
    <w:p w:rsidR="000D6E6A" w:rsidRDefault="000D6E6A">
      <w:pPr>
        <w:pStyle w:val="Bodycopy"/>
      </w:pPr>
      <w:r>
        <w:t>Victorian Civil and Administrative Tribunal</w:t>
      </w:r>
    </w:p>
    <w:p w:rsidR="000D6E6A" w:rsidRDefault="000D6E6A">
      <w:pPr>
        <w:pStyle w:val="Bodycopy"/>
      </w:pPr>
      <w:r>
        <w:t>Victims of Crime Assistance Tribunal</w:t>
      </w:r>
    </w:p>
    <w:p w:rsidR="000D6E6A" w:rsidRDefault="000D6E6A">
      <w:pPr>
        <w:pStyle w:val="Bodycopy"/>
      </w:pPr>
      <w:r>
        <w:t>Municipal Electoral Tribunals</w:t>
      </w:r>
    </w:p>
    <w:p w:rsidR="000D6E6A" w:rsidRDefault="000D6E6A">
      <w:pPr>
        <w:pStyle w:val="H2"/>
      </w:pPr>
      <w:r>
        <w:t>Consumer affairs, gaming and liquor regulation</w:t>
      </w:r>
    </w:p>
    <w:p w:rsidR="000D6E6A" w:rsidRDefault="000D6E6A">
      <w:pPr>
        <w:pStyle w:val="H4"/>
      </w:pPr>
      <w:r>
        <w:t>Statutory offices</w:t>
      </w:r>
    </w:p>
    <w:p w:rsidR="000D6E6A" w:rsidRDefault="000D6E6A">
      <w:pPr>
        <w:pStyle w:val="Bodycopy"/>
      </w:pPr>
      <w:r>
        <w:t>Arbitrator, Sale of Land Act</w:t>
      </w:r>
    </w:p>
    <w:p w:rsidR="000D6E6A" w:rsidRDefault="000D6E6A">
      <w:pPr>
        <w:pStyle w:val="Bodycopy"/>
      </w:pPr>
      <w:r>
        <w:t>Director of Consumer Affairs Victoria</w:t>
      </w:r>
    </w:p>
    <w:p w:rsidR="000D6E6A" w:rsidRDefault="000D6E6A">
      <w:pPr>
        <w:pStyle w:val="H4"/>
      </w:pPr>
      <w:r>
        <w:t>Statutory authorities</w:t>
      </w:r>
    </w:p>
    <w:p w:rsidR="000D6E6A" w:rsidRDefault="000D6E6A">
      <w:pPr>
        <w:pStyle w:val="Bodycopy"/>
      </w:pPr>
      <w:r>
        <w:t>Business Licensing Authority</w:t>
      </w:r>
    </w:p>
    <w:p w:rsidR="000D6E6A" w:rsidRDefault="000D6E6A">
      <w:pPr>
        <w:pStyle w:val="Bodycopy"/>
      </w:pPr>
      <w:r>
        <w:t>Consumer Policy Research Centre</w:t>
      </w:r>
    </w:p>
    <w:p w:rsidR="000D6E6A" w:rsidRDefault="000D6E6A">
      <w:pPr>
        <w:pStyle w:val="Bodycopy"/>
      </w:pPr>
      <w:r>
        <w:t>Estate Agents Council</w:t>
      </w:r>
    </w:p>
    <w:p w:rsidR="000D6E6A" w:rsidRDefault="000D6E6A">
      <w:pPr>
        <w:pStyle w:val="Bodycopy"/>
      </w:pPr>
      <w:r>
        <w:t>Independent Review Panel</w:t>
      </w:r>
    </w:p>
    <w:p w:rsidR="000D6E6A" w:rsidRDefault="000D6E6A">
      <w:pPr>
        <w:pStyle w:val="Bodycopy"/>
      </w:pPr>
      <w:r>
        <w:t>Liquor Control Advisory Council</w:t>
      </w:r>
    </w:p>
    <w:p w:rsidR="000D6E6A" w:rsidRDefault="000D6E6A">
      <w:pPr>
        <w:pStyle w:val="Bodycopy"/>
      </w:pPr>
      <w:r>
        <w:t>Motor Car Traders Claims Committee</w:t>
      </w:r>
    </w:p>
    <w:p w:rsidR="000D6E6A" w:rsidRDefault="000D6E6A">
      <w:pPr>
        <w:pStyle w:val="Bodycopy"/>
      </w:pPr>
      <w:r>
        <w:t>Residential Tenancies Bond Authority</w:t>
      </w:r>
    </w:p>
    <w:p w:rsidR="000D6E6A" w:rsidRDefault="000D6E6A">
      <w:pPr>
        <w:pStyle w:val="Bodycopy"/>
      </w:pPr>
      <w:r>
        <w:t>Responsible Gambling Ministerial Advisory Council</w:t>
      </w:r>
    </w:p>
    <w:p w:rsidR="000D6E6A" w:rsidRDefault="000D6E6A">
      <w:pPr>
        <w:pStyle w:val="Bodycopy"/>
      </w:pPr>
      <w:r>
        <w:t>Sex Work Ministerial Advisory Committee</w:t>
      </w:r>
    </w:p>
    <w:p w:rsidR="000D6E6A" w:rsidRDefault="000D6E6A">
      <w:pPr>
        <w:pStyle w:val="Bodycopy"/>
      </w:pPr>
      <w:r>
        <w:t>Victorian Commission for Gambling and Liquor Regulation</w:t>
      </w:r>
    </w:p>
    <w:p w:rsidR="000D6E6A" w:rsidRDefault="000D6E6A">
      <w:pPr>
        <w:pStyle w:val="Bodycopy"/>
      </w:pPr>
      <w:r>
        <w:t>Victorian Responsible Gambling Foundation</w:t>
      </w:r>
    </w:p>
    <w:p w:rsidR="000D6E6A" w:rsidRDefault="000D6E6A">
      <w:pPr>
        <w:pStyle w:val="H2"/>
      </w:pPr>
      <w:r>
        <w:t>Corrections</w:t>
      </w:r>
    </w:p>
    <w:p w:rsidR="000D6E6A" w:rsidRDefault="000D6E6A">
      <w:pPr>
        <w:pStyle w:val="H4"/>
      </w:pPr>
      <w:r>
        <w:t>Statutory authorities</w:t>
      </w:r>
    </w:p>
    <w:p w:rsidR="000D6E6A" w:rsidRDefault="000D6E6A">
      <w:pPr>
        <w:pStyle w:val="Bodycopy"/>
      </w:pPr>
      <w:r>
        <w:t>Adult Parole Board</w:t>
      </w:r>
    </w:p>
    <w:p w:rsidR="000D6E6A" w:rsidRDefault="000D6E6A">
      <w:pPr>
        <w:pStyle w:val="Bodycopy"/>
      </w:pPr>
      <w:r>
        <w:t>Post Sentence Authority</w:t>
      </w:r>
    </w:p>
    <w:p w:rsidR="000D6E6A" w:rsidRDefault="000D6E6A">
      <w:pPr>
        <w:pStyle w:val="Bodycopy"/>
        <w:rPr>
          <w:spacing w:val="-4"/>
        </w:rPr>
      </w:pPr>
      <w:r>
        <w:rPr>
          <w:spacing w:val="-4"/>
        </w:rPr>
        <w:t>Women’s Correctional Services Advisory Committee</w:t>
      </w:r>
    </w:p>
    <w:p w:rsidR="000D6E6A" w:rsidRDefault="000D6E6A">
      <w:pPr>
        <w:pStyle w:val="Bodycopy"/>
      </w:pPr>
      <w:r>
        <w:t>Justice Health Ministerial Advisory Committee</w:t>
      </w:r>
    </w:p>
    <w:p w:rsidR="000D6E6A" w:rsidRDefault="000D6E6A">
      <w:pPr>
        <w:pStyle w:val="Bodycopy"/>
      </w:pPr>
      <w:r>
        <w:t>Ministerial Community Advisory Committee (Custodial Community Permit Program)</w:t>
      </w:r>
    </w:p>
    <w:p w:rsidR="000D6E6A" w:rsidRDefault="000D6E6A">
      <w:pPr>
        <w:pStyle w:val="H2"/>
      </w:pPr>
      <w:r>
        <w:t>Emergency services</w:t>
      </w:r>
    </w:p>
    <w:p w:rsidR="000D6E6A" w:rsidRDefault="000D6E6A">
      <w:pPr>
        <w:pStyle w:val="H4"/>
      </w:pPr>
      <w:r>
        <w:t>Statutory offices</w:t>
      </w:r>
    </w:p>
    <w:p w:rsidR="000D6E6A" w:rsidRDefault="000D6E6A">
      <w:pPr>
        <w:pStyle w:val="Bodycopy"/>
      </w:pPr>
      <w:r>
        <w:t>Emergency Management Commissioner</w:t>
      </w:r>
    </w:p>
    <w:p w:rsidR="000D6E6A" w:rsidRDefault="000D6E6A">
      <w:pPr>
        <w:pStyle w:val="H4"/>
      </w:pPr>
      <w:r>
        <w:t>Statutory authorities</w:t>
      </w:r>
    </w:p>
    <w:p w:rsidR="000D6E6A" w:rsidRDefault="000D6E6A">
      <w:pPr>
        <w:pStyle w:val="Bodycopy"/>
      </w:pPr>
      <w:r>
        <w:t>Country Fire Authority</w:t>
      </w:r>
    </w:p>
    <w:p w:rsidR="000D6E6A" w:rsidRDefault="000D6E6A">
      <w:pPr>
        <w:pStyle w:val="Bodycopy"/>
      </w:pPr>
      <w:r>
        <w:t>Country Fire Authority Appeals Commission</w:t>
      </w:r>
    </w:p>
    <w:p w:rsidR="000D6E6A" w:rsidRDefault="000D6E6A">
      <w:pPr>
        <w:pStyle w:val="Bodycopy"/>
      </w:pPr>
      <w:r>
        <w:t>Emergency Management Victoria</w:t>
      </w:r>
    </w:p>
    <w:p w:rsidR="000D6E6A" w:rsidRDefault="000D6E6A">
      <w:pPr>
        <w:pStyle w:val="Bodycopy"/>
      </w:pPr>
      <w:r>
        <w:t>Emergency Services Telecommunications Authority</w:t>
      </w:r>
    </w:p>
    <w:p w:rsidR="000D6E6A" w:rsidRDefault="000D6E6A">
      <w:pPr>
        <w:pStyle w:val="Bodycopy"/>
      </w:pPr>
      <w:r>
        <w:t>Metropolitan Fire and Emergency Services Appeals Commission</w:t>
      </w:r>
    </w:p>
    <w:p w:rsidR="000D6E6A" w:rsidRDefault="000D6E6A">
      <w:pPr>
        <w:pStyle w:val="Bodycopy"/>
      </w:pPr>
      <w:r>
        <w:t>Metropolitan Fire and Emergency Services Board</w:t>
      </w:r>
    </w:p>
    <w:p w:rsidR="000D6E6A" w:rsidRDefault="000D6E6A">
      <w:pPr>
        <w:pStyle w:val="Bodycopy"/>
      </w:pPr>
      <w:r>
        <w:t>Victoria State Emergency Service Authority</w:t>
      </w:r>
    </w:p>
    <w:p w:rsidR="000D6E6A" w:rsidRDefault="000D6E6A">
      <w:pPr>
        <w:pStyle w:val="H2"/>
      </w:pPr>
      <w:r>
        <w:lastRenderedPageBreak/>
        <w:t>Families and Children</w:t>
      </w:r>
    </w:p>
    <w:p w:rsidR="000D6E6A" w:rsidRDefault="000D6E6A">
      <w:pPr>
        <w:pStyle w:val="H4"/>
      </w:pPr>
      <w:r>
        <w:t>Statutory authorities</w:t>
      </w:r>
    </w:p>
    <w:p w:rsidR="000D6E6A" w:rsidRDefault="000D6E6A">
      <w:pPr>
        <w:pStyle w:val="Bodycopy"/>
      </w:pPr>
      <w:r>
        <w:t>Youth Parole Board</w:t>
      </w:r>
    </w:p>
    <w:p w:rsidR="000D6E6A" w:rsidRDefault="000D6E6A">
      <w:pPr>
        <w:pStyle w:val="H2"/>
      </w:pPr>
      <w:r>
        <w:t xml:space="preserve">Police </w:t>
      </w:r>
    </w:p>
    <w:p w:rsidR="000D6E6A" w:rsidRDefault="000D6E6A">
      <w:pPr>
        <w:pStyle w:val="H4"/>
      </w:pPr>
      <w:r>
        <w:t>Statutory offices</w:t>
      </w:r>
    </w:p>
    <w:p w:rsidR="000D6E6A" w:rsidRDefault="000D6E6A">
      <w:pPr>
        <w:pStyle w:val="Bodycopy"/>
      </w:pPr>
      <w:r>
        <w:t>Chief Commissioner and Deputy Commissioners of Police</w:t>
      </w:r>
    </w:p>
    <w:p w:rsidR="000D6E6A" w:rsidRDefault="000D6E6A">
      <w:pPr>
        <w:pStyle w:val="Bodycopy"/>
      </w:pPr>
      <w:r>
        <w:t>Chief Examiner and Examiner (jointly administered with the Attorney-General)</w:t>
      </w:r>
    </w:p>
    <w:p w:rsidR="000D6E6A" w:rsidRDefault="000D6E6A">
      <w:pPr>
        <w:pStyle w:val="Bodycopy"/>
      </w:pPr>
      <w:r>
        <w:t>Road Safety Camera Commissioner</w:t>
      </w:r>
    </w:p>
    <w:p w:rsidR="000D6E6A" w:rsidRDefault="000D6E6A">
      <w:pPr>
        <w:pStyle w:val="H4"/>
      </w:pPr>
      <w:r>
        <w:t>Statutory authorities</w:t>
      </w:r>
    </w:p>
    <w:p w:rsidR="000D6E6A" w:rsidRDefault="000D6E6A">
      <w:pPr>
        <w:pStyle w:val="Bodycopy"/>
      </w:pPr>
      <w:r>
        <w:t>Firearms Appeals Committee</w:t>
      </w:r>
    </w:p>
    <w:p w:rsidR="000D6E6A" w:rsidRDefault="000D6E6A">
      <w:pPr>
        <w:pStyle w:val="Bodycopy"/>
      </w:pPr>
      <w:r>
        <w:t>Police Registration and Services Board</w:t>
      </w:r>
    </w:p>
    <w:p w:rsidR="000D6E6A" w:rsidRDefault="000D6E6A">
      <w:pPr>
        <w:pStyle w:val="Bodycopy"/>
      </w:pPr>
      <w:r>
        <w:t>Road Safety Camera Commissioner Reference Group</w:t>
      </w:r>
    </w:p>
    <w:p w:rsidR="000D6E6A" w:rsidRDefault="000D6E6A">
      <w:pPr>
        <w:pStyle w:val="H4"/>
      </w:pPr>
      <w:r>
        <w:t>Portfolio agencies</w:t>
      </w:r>
    </w:p>
    <w:p w:rsidR="000D6E6A" w:rsidRDefault="000D6E6A">
      <w:pPr>
        <w:pStyle w:val="Bodycopy"/>
      </w:pPr>
      <w:r>
        <w:t>Victoria Police</w:t>
      </w:r>
    </w:p>
    <w:p w:rsidR="000D6E6A" w:rsidRDefault="000D6E6A">
      <w:pPr>
        <w:pStyle w:val="H2"/>
      </w:pPr>
      <w:r>
        <w:t>Racing</w:t>
      </w:r>
    </w:p>
    <w:p w:rsidR="000D6E6A" w:rsidRDefault="000D6E6A">
      <w:pPr>
        <w:pStyle w:val="H4"/>
      </w:pPr>
      <w:r>
        <w:t>Statutory offices</w:t>
      </w:r>
    </w:p>
    <w:p w:rsidR="000D6E6A" w:rsidRDefault="000D6E6A">
      <w:pPr>
        <w:pStyle w:val="Bodycopy"/>
      </w:pPr>
      <w:r>
        <w:t>Racing Integrity Commissioner</w:t>
      </w:r>
    </w:p>
    <w:p w:rsidR="000D6E6A" w:rsidRDefault="000D6E6A">
      <w:pPr>
        <w:pStyle w:val="H4"/>
      </w:pPr>
      <w:r>
        <w:t>Statutory authorities</w:t>
      </w:r>
    </w:p>
    <w:p w:rsidR="000D6E6A" w:rsidRDefault="000D6E6A">
      <w:pPr>
        <w:pStyle w:val="Bodycopy"/>
      </w:pPr>
      <w:r>
        <w:t>Greyhound Racing Victoria</w:t>
      </w:r>
    </w:p>
    <w:p w:rsidR="000D6E6A" w:rsidRDefault="000D6E6A">
      <w:pPr>
        <w:pStyle w:val="Bodycopy"/>
      </w:pPr>
      <w:r>
        <w:t>Harness Racing Victoria</w:t>
      </w:r>
    </w:p>
    <w:p w:rsidR="000D6E6A" w:rsidRDefault="000D6E6A">
      <w:pPr>
        <w:pStyle w:val="Bodycopy"/>
      </w:pPr>
      <w:r>
        <w:t>Racing Appeals and Disciplinary Boards</w:t>
      </w:r>
    </w:p>
    <w:p w:rsidR="000D6E6A" w:rsidRDefault="000D6E6A">
      <w:pPr>
        <w:pStyle w:val="Bodycopy"/>
      </w:pPr>
    </w:p>
    <w:p w:rsidR="000D6E6A" w:rsidRDefault="007F156A">
      <w:pPr>
        <w:pStyle w:val="H1"/>
      </w:pPr>
      <w:r>
        <w:br w:type="page"/>
      </w:r>
      <w:bookmarkStart w:id="6" w:name="_Toc525300161"/>
      <w:r w:rsidR="000D6E6A">
        <w:lastRenderedPageBreak/>
        <w:t>4. Acts administered by justice and regulation portfolios as at 30 June 2018</w:t>
      </w:r>
      <w:bookmarkEnd w:id="6"/>
    </w:p>
    <w:p w:rsidR="000D6E6A" w:rsidRDefault="000D6E6A">
      <w:pPr>
        <w:pStyle w:val="H2"/>
        <w:rPr>
          <w:rStyle w:val="italic"/>
          <w:b w:val="false"/>
          <w:bCs w:val="false"/>
        </w:rPr>
      </w:pPr>
      <w:r>
        <w:t>Attorney-General</w:t>
      </w:r>
    </w:p>
    <w:p w:rsidR="000D6E6A" w:rsidRDefault="000D6E6A">
      <w:pPr>
        <w:pStyle w:val="Bodycopy"/>
        <w:rPr>
          <w:rStyle w:val="italic"/>
        </w:rPr>
      </w:pPr>
      <w:r>
        <w:rPr>
          <w:rStyle w:val="italic"/>
        </w:rPr>
        <w:t xml:space="preserve">Acts Enumeration and Revision Act 1958 </w:t>
      </w:r>
    </w:p>
    <w:p w:rsidR="000D6E6A" w:rsidRDefault="000D6E6A">
      <w:pPr>
        <w:pStyle w:val="Bodycopy"/>
        <w:rPr>
          <w:rStyle w:val="italic"/>
        </w:rPr>
      </w:pPr>
      <w:r>
        <w:rPr>
          <w:rStyle w:val="italic"/>
        </w:rPr>
        <w:t xml:space="preserve">Administration and Probate Act 1958 </w:t>
      </w:r>
    </w:p>
    <w:p w:rsidR="000D6E6A" w:rsidRDefault="000D6E6A">
      <w:pPr>
        <w:pStyle w:val="Bodycopy"/>
        <w:rPr>
          <w:rStyle w:val="italic"/>
        </w:rPr>
      </w:pPr>
      <w:r>
        <w:rPr>
          <w:rStyle w:val="italic"/>
        </w:rPr>
        <w:t xml:space="preserve">Administrative Law Act 1978 </w:t>
      </w:r>
    </w:p>
    <w:p w:rsidR="000D6E6A" w:rsidRDefault="000D6E6A">
      <w:pPr>
        <w:pStyle w:val="Bodycopy"/>
        <w:rPr>
          <w:rStyle w:val="italic"/>
        </w:rPr>
      </w:pPr>
      <w:r>
        <w:rPr>
          <w:rStyle w:val="italic"/>
        </w:rPr>
        <w:t xml:space="preserve">Adoption Act 1984 – </w:t>
      </w:r>
    </w:p>
    <w:p w:rsidR="000D6E6A" w:rsidP="007F156A" w:rsidRDefault="000D6E6A">
      <w:pPr>
        <w:pStyle w:val="BodycopyBullet"/>
        <w:rPr>
          <w:rStyle w:val="italic"/>
        </w:rPr>
      </w:pPr>
      <w:r>
        <w:rPr>
          <w:rStyle w:val="italic"/>
        </w:rPr>
        <w:t xml:space="preserve">The Act is jointly and severally administered with the Minister for Families and Children </w:t>
      </w:r>
    </w:p>
    <w:p w:rsidR="000D6E6A" w:rsidRDefault="000D6E6A">
      <w:pPr>
        <w:pStyle w:val="Bodycopy"/>
        <w:rPr>
          <w:rStyle w:val="italic"/>
        </w:rPr>
      </w:pPr>
      <w:r>
        <w:rPr>
          <w:rStyle w:val="italic"/>
        </w:rPr>
        <w:t xml:space="preserve">Age of Majority Act 1977 </w:t>
      </w:r>
    </w:p>
    <w:p w:rsidR="000D6E6A" w:rsidRDefault="000D6E6A">
      <w:pPr>
        <w:pStyle w:val="Bodycopy"/>
        <w:rPr>
          <w:rStyle w:val="italic"/>
        </w:rPr>
      </w:pPr>
      <w:r>
        <w:rPr>
          <w:rStyle w:val="italic"/>
        </w:rPr>
        <w:t xml:space="preserve">Appeal Costs Act 1998 </w:t>
      </w:r>
    </w:p>
    <w:p w:rsidR="000D6E6A" w:rsidRDefault="000D6E6A">
      <w:pPr>
        <w:pStyle w:val="Bodycopy"/>
        <w:rPr>
          <w:rStyle w:val="italic"/>
        </w:rPr>
      </w:pPr>
      <w:r>
        <w:rPr>
          <w:rStyle w:val="italic"/>
        </w:rPr>
        <w:t xml:space="preserve">Attorney-General and Solicitor-General Act 1972 </w:t>
      </w:r>
    </w:p>
    <w:p w:rsidR="000D6E6A" w:rsidRDefault="000D6E6A">
      <w:pPr>
        <w:pStyle w:val="Bodycopy"/>
        <w:rPr>
          <w:rStyle w:val="italic"/>
        </w:rPr>
      </w:pPr>
      <w:r>
        <w:rPr>
          <w:rStyle w:val="italic"/>
        </w:rPr>
        <w:t>Bail Act 1977 – Except:</w:t>
      </w:r>
    </w:p>
    <w:p w:rsidR="000D6E6A" w:rsidRDefault="000D6E6A">
      <w:pPr>
        <w:pStyle w:val="BodycopyBulletspaceunder"/>
        <w:rPr>
          <w:rStyle w:val="italic"/>
        </w:rPr>
      </w:pPr>
      <w:r>
        <w:rPr>
          <w:rStyle w:val="italic"/>
        </w:rPr>
        <w:t>Section 3B (this section is jointly and severally administered with the Minister for Families and Children)</w:t>
      </w:r>
    </w:p>
    <w:p w:rsidR="000D6E6A" w:rsidRDefault="000D6E6A">
      <w:pPr>
        <w:pStyle w:val="Bodycopy"/>
        <w:rPr>
          <w:rStyle w:val="italic"/>
        </w:rPr>
      </w:pPr>
      <w:r>
        <w:rPr>
          <w:rStyle w:val="italic"/>
        </w:rPr>
        <w:t xml:space="preserve">Births, Deaths and Marriages Registration Act 1996 </w:t>
      </w:r>
    </w:p>
    <w:p w:rsidR="000D6E6A" w:rsidRDefault="000D6E6A">
      <w:pPr>
        <w:pStyle w:val="Bodycopy"/>
        <w:rPr>
          <w:rStyle w:val="italic"/>
        </w:rPr>
      </w:pPr>
      <w:r>
        <w:rPr>
          <w:rStyle w:val="italic"/>
        </w:rPr>
        <w:t xml:space="preserve">Charities Act 1978 </w:t>
      </w:r>
    </w:p>
    <w:p w:rsidR="000D6E6A" w:rsidRDefault="000D6E6A">
      <w:pPr>
        <w:pStyle w:val="Bodycopy"/>
        <w:rPr>
          <w:rStyle w:val="italic"/>
        </w:rPr>
      </w:pPr>
      <w:r>
        <w:rPr>
          <w:rStyle w:val="italic"/>
        </w:rPr>
        <w:t xml:space="preserve">Charter of Human Rights and Responsibilities Act 2006 </w:t>
      </w:r>
    </w:p>
    <w:p w:rsidR="000D6E6A" w:rsidRDefault="000D6E6A">
      <w:pPr>
        <w:pStyle w:val="Bodycopy"/>
        <w:rPr>
          <w:rStyle w:val="italic"/>
        </w:rPr>
      </w:pPr>
      <w:r>
        <w:rPr>
          <w:rStyle w:val="italic"/>
        </w:rPr>
        <w:t xml:space="preserve">Children, Youth and Families Act 2005 – </w:t>
      </w:r>
    </w:p>
    <w:p w:rsidR="000D6E6A" w:rsidRDefault="000D6E6A">
      <w:pPr>
        <w:pStyle w:val="BodycopyBulletspaceunder"/>
        <w:rPr>
          <w:rStyle w:val="italic"/>
        </w:rPr>
      </w:pPr>
      <w:r>
        <w:rPr>
          <w:rStyle w:val="italic"/>
        </w:rPr>
        <w:t>The Act is jointly and severally administered with the Minister for Families and Children</w:t>
      </w:r>
    </w:p>
    <w:p w:rsidR="000D6E6A" w:rsidRDefault="000D6E6A">
      <w:pPr>
        <w:pStyle w:val="Bodycopy"/>
        <w:rPr>
          <w:rStyle w:val="italic"/>
        </w:rPr>
      </w:pPr>
      <w:r>
        <w:rPr>
          <w:rStyle w:val="italic"/>
        </w:rPr>
        <w:t xml:space="preserve">Choice of Law (Limitation Periods) Act 1993 </w:t>
      </w:r>
    </w:p>
    <w:p w:rsidR="000D6E6A" w:rsidRDefault="000D6E6A">
      <w:pPr>
        <w:pStyle w:val="Bodycopy"/>
        <w:rPr>
          <w:rStyle w:val="italic"/>
        </w:rPr>
      </w:pPr>
      <w:r>
        <w:rPr>
          <w:rStyle w:val="italic"/>
        </w:rPr>
        <w:t>Civil Procedure Act 2010</w:t>
      </w:r>
    </w:p>
    <w:p w:rsidR="000D6E6A" w:rsidRDefault="000D6E6A">
      <w:pPr>
        <w:pStyle w:val="Bodycopy"/>
        <w:rPr>
          <w:rStyle w:val="italic"/>
        </w:rPr>
      </w:pPr>
      <w:r>
        <w:rPr>
          <w:rStyle w:val="italic"/>
        </w:rPr>
        <w:t xml:space="preserve">Classification (Publications, Films and Computer Games) (Enforcement) Act 1995 </w:t>
      </w:r>
    </w:p>
    <w:p w:rsidR="000D6E6A" w:rsidRDefault="000D6E6A">
      <w:pPr>
        <w:pStyle w:val="Bodycopy"/>
        <w:rPr>
          <w:rStyle w:val="italic"/>
        </w:rPr>
      </w:pPr>
      <w:r>
        <w:rPr>
          <w:rStyle w:val="italic"/>
        </w:rPr>
        <w:t>Commercial Arbitration Act 2011</w:t>
      </w:r>
    </w:p>
    <w:p w:rsidR="000D6E6A" w:rsidRDefault="000D6E6A">
      <w:pPr>
        <w:pStyle w:val="Bodycopy"/>
        <w:rPr>
          <w:rStyle w:val="italic"/>
        </w:rPr>
      </w:pPr>
      <w:r>
        <w:rPr>
          <w:rStyle w:val="italic"/>
        </w:rPr>
        <w:t xml:space="preserve">Commonwealth Places (Administration of Laws) Act 1970 </w:t>
      </w:r>
    </w:p>
    <w:p w:rsidR="000D6E6A" w:rsidRDefault="000D6E6A">
      <w:pPr>
        <w:pStyle w:val="Bodycopy"/>
        <w:rPr>
          <w:rStyle w:val="italic"/>
        </w:rPr>
      </w:pPr>
      <w:r>
        <w:rPr>
          <w:rStyle w:val="italic"/>
        </w:rPr>
        <w:t xml:space="preserve">Commonwealth Powers (De Facto Relationships) Act 2004 </w:t>
      </w:r>
    </w:p>
    <w:p w:rsidR="000D6E6A" w:rsidRDefault="000D6E6A">
      <w:pPr>
        <w:pStyle w:val="Bodycopy"/>
        <w:rPr>
          <w:rStyle w:val="italic"/>
        </w:rPr>
      </w:pPr>
      <w:r>
        <w:rPr>
          <w:rStyle w:val="italic"/>
        </w:rPr>
        <w:t xml:space="preserve">Commonwealth Powers (Family Law-Children) Act 1986 </w:t>
      </w:r>
    </w:p>
    <w:p w:rsidR="000D6E6A" w:rsidRDefault="000D6E6A">
      <w:pPr>
        <w:pStyle w:val="Bodycopy"/>
        <w:rPr>
          <w:rStyle w:val="italic"/>
        </w:rPr>
      </w:pPr>
      <w:r>
        <w:rPr>
          <w:rStyle w:val="italic"/>
        </w:rPr>
        <w:t>Confiscation Act 1997</w:t>
      </w:r>
    </w:p>
    <w:p w:rsidR="000D6E6A" w:rsidRDefault="000D6E6A">
      <w:pPr>
        <w:pStyle w:val="Bodycopy"/>
        <w:rPr>
          <w:rStyle w:val="italic"/>
        </w:rPr>
      </w:pPr>
      <w:r>
        <w:rPr>
          <w:rStyle w:val="italic"/>
        </w:rPr>
        <w:t xml:space="preserve">Constitution Act 1975 – </w:t>
      </w:r>
    </w:p>
    <w:p w:rsidR="000D6E6A" w:rsidRDefault="000D6E6A">
      <w:pPr>
        <w:pStyle w:val="BodycopyBullet"/>
        <w:rPr>
          <w:rStyle w:val="italic"/>
        </w:rPr>
      </w:pPr>
      <w:r>
        <w:rPr>
          <w:rStyle w:val="italic"/>
        </w:rPr>
        <w:t xml:space="preserve">Part III </w:t>
      </w:r>
    </w:p>
    <w:p w:rsidR="000D6E6A" w:rsidRDefault="000D6E6A">
      <w:pPr>
        <w:pStyle w:val="BodycopyBullet"/>
        <w:rPr>
          <w:rStyle w:val="italic"/>
        </w:rPr>
      </w:pPr>
      <w:r>
        <w:rPr>
          <w:rStyle w:val="italic"/>
        </w:rPr>
        <w:t>Division 1 of Part IIIAA (this Division is jointly administered with the Premier)</w:t>
      </w:r>
    </w:p>
    <w:p w:rsidR="000D6E6A" w:rsidRDefault="000D6E6A">
      <w:pPr>
        <w:pStyle w:val="BodycopyBullet"/>
        <w:rPr>
          <w:rStyle w:val="italic"/>
        </w:rPr>
      </w:pPr>
      <w:r>
        <w:rPr>
          <w:rStyle w:val="italic"/>
        </w:rPr>
        <w:t>Divisions 3 to 6 of Part IIIAA</w:t>
      </w:r>
    </w:p>
    <w:p w:rsidR="000D6E6A" w:rsidRDefault="000D6E6A">
      <w:pPr>
        <w:pStyle w:val="BodycopyBulletspaceunder"/>
        <w:rPr>
          <w:rStyle w:val="italic"/>
        </w:rPr>
      </w:pPr>
      <w:r>
        <w:rPr>
          <w:rStyle w:val="italic"/>
        </w:rPr>
        <w:t>Section 88 in so far as it relates to the appointment of Crown Counsel and Crown Counsel (</w:t>
      </w:r>
      <w:proofErr w:type="spellStart"/>
      <w:r>
        <w:rPr>
          <w:rStyle w:val="italic"/>
        </w:rPr>
        <w:t>Advisings</w:t>
      </w:r>
      <w:proofErr w:type="spellEnd"/>
      <w:r>
        <w:rPr>
          <w:rStyle w:val="italic"/>
        </w:rPr>
        <w:t>)</w:t>
      </w:r>
    </w:p>
    <w:p w:rsidR="000D6E6A" w:rsidRDefault="000D6E6A">
      <w:pPr>
        <w:pStyle w:val="Bodycopyindent"/>
        <w:rPr>
          <w:rStyle w:val="italic"/>
          <w:i/>
          <w:iCs/>
        </w:rPr>
      </w:pPr>
      <w:r>
        <w:rPr>
          <w:rStyle w:val="italic"/>
          <w:i/>
          <w:iCs/>
        </w:rPr>
        <w:t>(The Act is otherwise administered by the Minister for Training and Skills, the Premier, the Special Minister of State and the Treasurer)</w:t>
      </w:r>
    </w:p>
    <w:p w:rsidR="000D6E6A" w:rsidRDefault="000D6E6A">
      <w:pPr>
        <w:pStyle w:val="Bodycopy"/>
        <w:rPr>
          <w:rStyle w:val="italic"/>
        </w:rPr>
      </w:pPr>
      <w:r>
        <w:rPr>
          <w:rStyle w:val="italic"/>
        </w:rPr>
        <w:t xml:space="preserve">Constitution (Supreme Court) Act 1989 </w:t>
      </w:r>
    </w:p>
    <w:p w:rsidR="000D6E6A" w:rsidRDefault="000D6E6A">
      <w:pPr>
        <w:pStyle w:val="Bodycopy"/>
        <w:rPr>
          <w:rStyle w:val="italic"/>
        </w:rPr>
      </w:pPr>
      <w:r>
        <w:rPr>
          <w:rStyle w:val="italic"/>
        </w:rPr>
        <w:t xml:space="preserve">Constitutional Powers (Coastal Waters) Act 1980 </w:t>
      </w:r>
    </w:p>
    <w:p w:rsidR="000D6E6A" w:rsidRDefault="000D6E6A">
      <w:pPr>
        <w:pStyle w:val="Bodycopy"/>
        <w:rPr>
          <w:rStyle w:val="italic"/>
        </w:rPr>
      </w:pPr>
      <w:r>
        <w:rPr>
          <w:rStyle w:val="italic"/>
        </w:rPr>
        <w:t xml:space="preserve">Constitutional Powers (Request) Act 1980 </w:t>
      </w:r>
    </w:p>
    <w:p w:rsidR="000D6E6A" w:rsidRDefault="000D6E6A">
      <w:pPr>
        <w:pStyle w:val="Bodycopy"/>
        <w:rPr>
          <w:rStyle w:val="italic"/>
        </w:rPr>
      </w:pPr>
      <w:r>
        <w:rPr>
          <w:rStyle w:val="italic"/>
        </w:rPr>
        <w:t xml:space="preserve">Co-operative Schemes (Administrative Actions) Act 2001 </w:t>
      </w:r>
    </w:p>
    <w:p w:rsidR="000D6E6A" w:rsidRDefault="000D6E6A">
      <w:pPr>
        <w:pStyle w:val="Bodycopy"/>
        <w:rPr>
          <w:rStyle w:val="italic"/>
        </w:rPr>
      </w:pPr>
      <w:r>
        <w:rPr>
          <w:rStyle w:val="italic"/>
        </w:rPr>
        <w:t>Coroners Act 2008</w:t>
      </w:r>
    </w:p>
    <w:p w:rsidR="000D6E6A" w:rsidRDefault="000D6E6A">
      <w:pPr>
        <w:pStyle w:val="Bodycopy"/>
        <w:rPr>
          <w:rStyle w:val="italic"/>
        </w:rPr>
      </w:pPr>
      <w:r>
        <w:rPr>
          <w:rStyle w:val="italic"/>
        </w:rPr>
        <w:t xml:space="preserve">Corporations (Administrative Actions) Act 2001 </w:t>
      </w:r>
    </w:p>
    <w:p w:rsidR="000D6E6A" w:rsidRDefault="000D6E6A">
      <w:pPr>
        <w:pStyle w:val="Bodycopy"/>
        <w:rPr>
          <w:rStyle w:val="italic"/>
        </w:rPr>
      </w:pPr>
      <w:r>
        <w:rPr>
          <w:rStyle w:val="italic"/>
        </w:rPr>
        <w:t xml:space="preserve">Corporations (Ancillary Provisions) Act 2001 </w:t>
      </w:r>
    </w:p>
    <w:p w:rsidR="000D6E6A" w:rsidRDefault="000D6E6A">
      <w:pPr>
        <w:pStyle w:val="Bodycopy"/>
        <w:rPr>
          <w:rStyle w:val="italic"/>
        </w:rPr>
      </w:pPr>
      <w:r>
        <w:rPr>
          <w:rStyle w:val="italic"/>
        </w:rPr>
        <w:t xml:space="preserve">Corporations (Commonwealth Powers) Act 2001 </w:t>
      </w:r>
    </w:p>
    <w:p w:rsidR="000D6E6A" w:rsidRDefault="000D6E6A">
      <w:pPr>
        <w:pStyle w:val="Bodycopy"/>
        <w:rPr>
          <w:rStyle w:val="italic"/>
        </w:rPr>
      </w:pPr>
      <w:r>
        <w:rPr>
          <w:rStyle w:val="italic"/>
        </w:rPr>
        <w:t xml:space="preserve">Corporations (Victoria) Act 1990 </w:t>
      </w:r>
    </w:p>
    <w:p w:rsidR="000D6E6A" w:rsidRDefault="000D6E6A">
      <w:pPr>
        <w:pStyle w:val="Bodycopy"/>
        <w:rPr>
          <w:rStyle w:val="italic"/>
        </w:rPr>
      </w:pPr>
      <w:r>
        <w:rPr>
          <w:rStyle w:val="italic"/>
        </w:rPr>
        <w:t xml:space="preserve">Council of Law Reporting in Victoria Act 1967 </w:t>
      </w:r>
    </w:p>
    <w:p w:rsidR="000D6E6A" w:rsidRDefault="000D6E6A">
      <w:pPr>
        <w:pStyle w:val="Bodycopy"/>
        <w:rPr>
          <w:rStyle w:val="italic"/>
        </w:rPr>
      </w:pPr>
      <w:r>
        <w:rPr>
          <w:rStyle w:val="italic"/>
        </w:rPr>
        <w:t xml:space="preserve">County Court Act 1958 </w:t>
      </w:r>
    </w:p>
    <w:p w:rsidR="000D6E6A" w:rsidRDefault="000D6E6A">
      <w:pPr>
        <w:pStyle w:val="Bodycopy"/>
        <w:rPr>
          <w:rStyle w:val="italic"/>
        </w:rPr>
      </w:pPr>
      <w:r>
        <w:rPr>
          <w:rStyle w:val="italic"/>
        </w:rPr>
        <w:t xml:space="preserve">Court Security Act 1980 </w:t>
      </w:r>
    </w:p>
    <w:p w:rsidR="000D6E6A" w:rsidRDefault="000D6E6A">
      <w:pPr>
        <w:pStyle w:val="Bodycopy"/>
        <w:rPr>
          <w:rStyle w:val="italic"/>
        </w:rPr>
      </w:pPr>
      <w:r>
        <w:rPr>
          <w:rStyle w:val="italic"/>
        </w:rPr>
        <w:lastRenderedPageBreak/>
        <w:t>Court Services Victoria Act 2014</w:t>
      </w:r>
    </w:p>
    <w:p w:rsidR="000D6E6A" w:rsidRDefault="000D6E6A">
      <w:pPr>
        <w:pStyle w:val="Bodycopy"/>
        <w:rPr>
          <w:rStyle w:val="italic"/>
        </w:rPr>
      </w:pPr>
      <w:r>
        <w:rPr>
          <w:rStyle w:val="italic"/>
        </w:rPr>
        <w:t xml:space="preserve">Courts (Case Transfer) Act 1991 </w:t>
      </w:r>
    </w:p>
    <w:p w:rsidR="000D6E6A" w:rsidRDefault="000D6E6A">
      <w:pPr>
        <w:pStyle w:val="Bodycopy"/>
        <w:rPr>
          <w:rStyle w:val="italic"/>
        </w:rPr>
      </w:pPr>
      <w:r>
        <w:rPr>
          <w:rStyle w:val="italic"/>
        </w:rPr>
        <w:t xml:space="preserve">Crimes (Assumed Identities) Act 2004 </w:t>
      </w:r>
    </w:p>
    <w:p w:rsidR="000D6E6A" w:rsidRDefault="000D6E6A">
      <w:pPr>
        <w:pStyle w:val="Bodycopy"/>
        <w:rPr>
          <w:rStyle w:val="italic"/>
        </w:rPr>
      </w:pPr>
      <w:r>
        <w:rPr>
          <w:rStyle w:val="italic"/>
        </w:rPr>
        <w:t>Crimes (Mental Impairment and Unfitness to be Tried) Act 1997 – Except:</w:t>
      </w:r>
    </w:p>
    <w:p w:rsidR="000D6E6A" w:rsidRDefault="000D6E6A">
      <w:pPr>
        <w:pStyle w:val="BodycopyBullet"/>
        <w:rPr>
          <w:rStyle w:val="italic"/>
        </w:rPr>
      </w:pPr>
      <w:r>
        <w:rPr>
          <w:rStyle w:val="italic"/>
        </w:rPr>
        <w:t>Sections 48-55, 57A, 57B, 58, 58A and 60-63(1); Division 3 of Part 7; and Part 7A (these provisions are jointly administered with the Minister for Housing, Disability and Ageing and the Minister for Mental Health)</w:t>
      </w:r>
    </w:p>
    <w:p w:rsidR="000D6E6A" w:rsidRDefault="000D6E6A">
      <w:pPr>
        <w:pStyle w:val="BodycopyBullet"/>
        <w:rPr>
          <w:rStyle w:val="italic"/>
        </w:rPr>
      </w:pPr>
      <w:r>
        <w:rPr>
          <w:rStyle w:val="italic"/>
        </w:rPr>
        <w:t>Part 5A (this Part is jointly administered with the Minister for Families and Children, the Minister for Mental Health and the Minister for Housing, Disability and Ageing)</w:t>
      </w:r>
    </w:p>
    <w:p w:rsidR="000D6E6A" w:rsidRDefault="000D6E6A">
      <w:pPr>
        <w:pStyle w:val="BodycopyBulletspaceunder"/>
        <w:rPr>
          <w:rStyle w:val="italic"/>
        </w:rPr>
      </w:pPr>
      <w:r>
        <w:rPr>
          <w:rStyle w:val="italic"/>
        </w:rPr>
        <w:t>Part 7C (this Part is jointly administered with the Minister for Mental Health)</w:t>
      </w:r>
    </w:p>
    <w:p w:rsidR="000D6E6A" w:rsidRDefault="000D6E6A">
      <w:pPr>
        <w:pStyle w:val="Bodycopy"/>
        <w:rPr>
          <w:rStyle w:val="italic"/>
        </w:rPr>
      </w:pPr>
      <w:r>
        <w:rPr>
          <w:rStyle w:val="italic"/>
        </w:rPr>
        <w:t xml:space="preserve">Crimes Act 1958 </w:t>
      </w:r>
    </w:p>
    <w:p w:rsidR="000D6E6A" w:rsidRDefault="000D6E6A">
      <w:pPr>
        <w:pStyle w:val="Bodycopy"/>
        <w:rPr>
          <w:rStyle w:val="italic"/>
        </w:rPr>
      </w:pPr>
      <w:r>
        <w:rPr>
          <w:rStyle w:val="italic"/>
        </w:rPr>
        <w:t xml:space="preserve">Crimes at Sea Act 1999 </w:t>
      </w:r>
    </w:p>
    <w:p w:rsidR="000D6E6A" w:rsidRDefault="000D6E6A">
      <w:pPr>
        <w:pStyle w:val="Bodycopy"/>
        <w:rPr>
          <w:rStyle w:val="italic"/>
        </w:rPr>
      </w:pPr>
      <w:r>
        <w:rPr>
          <w:rStyle w:val="italic"/>
        </w:rPr>
        <w:t xml:space="preserve">Crimes (Controlled Operations) Act 2004 </w:t>
      </w:r>
    </w:p>
    <w:p w:rsidR="000D6E6A" w:rsidRDefault="000D6E6A">
      <w:pPr>
        <w:pStyle w:val="Bodycopy"/>
        <w:rPr>
          <w:rStyle w:val="italic"/>
        </w:rPr>
      </w:pPr>
      <w:r>
        <w:rPr>
          <w:rStyle w:val="italic"/>
        </w:rPr>
        <w:t>Criminal Organisations Control Act 2012</w:t>
      </w:r>
    </w:p>
    <w:p w:rsidR="000D6E6A" w:rsidRDefault="000D6E6A">
      <w:pPr>
        <w:pStyle w:val="Bodycopy"/>
        <w:rPr>
          <w:rStyle w:val="italic"/>
        </w:rPr>
      </w:pPr>
      <w:r>
        <w:rPr>
          <w:rStyle w:val="italic"/>
        </w:rPr>
        <w:t>Criminal Procedure Act 2009</w:t>
      </w:r>
    </w:p>
    <w:p w:rsidR="000D6E6A" w:rsidRDefault="000D6E6A">
      <w:pPr>
        <w:pStyle w:val="Bodycopy"/>
        <w:rPr>
          <w:rStyle w:val="italic"/>
        </w:rPr>
      </w:pPr>
      <w:r>
        <w:rPr>
          <w:rStyle w:val="italic"/>
        </w:rPr>
        <w:t xml:space="preserve">Crown Proceedings Act 1958 </w:t>
      </w:r>
    </w:p>
    <w:p w:rsidR="000D6E6A" w:rsidRDefault="000D6E6A">
      <w:pPr>
        <w:pStyle w:val="Bodycopy"/>
        <w:rPr>
          <w:rStyle w:val="italic"/>
        </w:rPr>
      </w:pPr>
      <w:r>
        <w:rPr>
          <w:rStyle w:val="italic"/>
        </w:rPr>
        <w:t xml:space="preserve">Defamation Act 2005 </w:t>
      </w:r>
    </w:p>
    <w:p w:rsidR="000D6E6A" w:rsidRDefault="000D6E6A">
      <w:pPr>
        <w:pStyle w:val="Bodycopy"/>
        <w:rPr>
          <w:rStyle w:val="italic"/>
        </w:rPr>
      </w:pPr>
      <w:r>
        <w:rPr>
          <w:rStyle w:val="italic"/>
        </w:rPr>
        <w:t xml:space="preserve">Domestic Building Contracts Act 1995 – </w:t>
      </w:r>
    </w:p>
    <w:p w:rsidR="000D6E6A" w:rsidRDefault="000D6E6A">
      <w:pPr>
        <w:pStyle w:val="BodycopyBulletspaceunder"/>
        <w:rPr>
          <w:rStyle w:val="italic"/>
        </w:rPr>
      </w:pPr>
      <w:r>
        <w:rPr>
          <w:rStyle w:val="italic"/>
        </w:rPr>
        <w:t xml:space="preserve">Part 5 </w:t>
      </w:r>
      <w:r>
        <w:rPr>
          <w:rStyle w:val="italic"/>
        </w:rPr>
        <w:br/>
        <w:t xml:space="preserve">(The Act is otherwise administered by the Minister for Consumer Affairs, Gaming and Liquor Regulation) </w:t>
      </w:r>
    </w:p>
    <w:p w:rsidR="000D6E6A" w:rsidRDefault="000D6E6A">
      <w:pPr>
        <w:pStyle w:val="Bodycopy"/>
        <w:rPr>
          <w:rStyle w:val="italic"/>
        </w:rPr>
      </w:pPr>
      <w:r>
        <w:rPr>
          <w:rStyle w:val="italic"/>
        </w:rPr>
        <w:t xml:space="preserve">Domicile Act 1978 </w:t>
      </w:r>
    </w:p>
    <w:p w:rsidR="000D6E6A" w:rsidRDefault="000D6E6A">
      <w:pPr>
        <w:pStyle w:val="Bodycopy"/>
        <w:rPr>
          <w:rStyle w:val="italic"/>
        </w:rPr>
      </w:pPr>
      <w:r>
        <w:rPr>
          <w:rStyle w:val="italic"/>
        </w:rPr>
        <w:t xml:space="preserve">Electoral Act 2002 – </w:t>
      </w:r>
    </w:p>
    <w:p w:rsidR="000D6E6A" w:rsidRDefault="000D6E6A">
      <w:pPr>
        <w:pStyle w:val="BodycopyBulletspaceunder"/>
        <w:rPr>
          <w:rStyle w:val="italic"/>
        </w:rPr>
      </w:pPr>
      <w:r>
        <w:rPr>
          <w:rStyle w:val="italic"/>
        </w:rPr>
        <w:t>Part 8</w:t>
      </w:r>
      <w:r>
        <w:rPr>
          <w:rStyle w:val="italic"/>
        </w:rPr>
        <w:br/>
        <w:t>(The Act is otherwise administered by the Premier and the Special Minister of State)</w:t>
      </w:r>
    </w:p>
    <w:p w:rsidR="000D6E6A" w:rsidRDefault="000D6E6A">
      <w:pPr>
        <w:pStyle w:val="Bodycopy"/>
        <w:rPr>
          <w:rStyle w:val="italic"/>
        </w:rPr>
      </w:pPr>
      <w:r>
        <w:rPr>
          <w:rStyle w:val="italic"/>
        </w:rPr>
        <w:t xml:space="preserve">Electronic Transactions (Victoria) Act 2000 </w:t>
      </w:r>
    </w:p>
    <w:p w:rsidR="000D6E6A" w:rsidRDefault="000D6E6A">
      <w:pPr>
        <w:pStyle w:val="Bodycopy"/>
        <w:rPr>
          <w:rStyle w:val="italic"/>
        </w:rPr>
      </w:pPr>
      <w:r>
        <w:rPr>
          <w:rStyle w:val="italic"/>
        </w:rPr>
        <w:t>Equal Opportunity Act 2010</w:t>
      </w:r>
    </w:p>
    <w:p w:rsidR="000D6E6A" w:rsidRDefault="000D6E6A">
      <w:pPr>
        <w:pStyle w:val="Bodycopy"/>
        <w:rPr>
          <w:rStyle w:val="italic"/>
        </w:rPr>
      </w:pPr>
      <w:r>
        <w:rPr>
          <w:rStyle w:val="italic"/>
        </w:rPr>
        <w:t>Evidence Act 2008</w:t>
      </w:r>
    </w:p>
    <w:p w:rsidR="000D6E6A" w:rsidRDefault="000D6E6A">
      <w:pPr>
        <w:pStyle w:val="Bodycopy"/>
        <w:rPr>
          <w:rStyle w:val="italic"/>
        </w:rPr>
      </w:pPr>
      <w:r>
        <w:rPr>
          <w:rStyle w:val="italic"/>
        </w:rPr>
        <w:t xml:space="preserve">Evidence (Miscellaneous Provisions) Act 1958 </w:t>
      </w:r>
    </w:p>
    <w:p w:rsidR="000D6E6A" w:rsidRDefault="000D6E6A">
      <w:pPr>
        <w:pStyle w:val="Bodycopy"/>
        <w:rPr>
          <w:rStyle w:val="italic"/>
        </w:rPr>
      </w:pPr>
      <w:r>
        <w:rPr>
          <w:rStyle w:val="italic"/>
        </w:rPr>
        <w:t>Family Violence Protection Act 2008 – Except:</w:t>
      </w:r>
    </w:p>
    <w:p w:rsidR="000D6E6A" w:rsidRDefault="000D6E6A">
      <w:pPr>
        <w:pStyle w:val="BodycopyBullet"/>
        <w:rPr>
          <w:rStyle w:val="italic"/>
        </w:rPr>
      </w:pPr>
      <w:r>
        <w:rPr>
          <w:rStyle w:val="italic"/>
        </w:rPr>
        <w:t>Part 5A and Part 11 (these Parts are administered by the Special Minister of State)</w:t>
      </w:r>
    </w:p>
    <w:p w:rsidR="000D6E6A" w:rsidRDefault="000D6E6A">
      <w:pPr>
        <w:pStyle w:val="BodycopyBullet"/>
        <w:rPr>
          <w:rStyle w:val="italic"/>
        </w:rPr>
      </w:pPr>
      <w:r>
        <w:rPr>
          <w:rStyle w:val="italic"/>
        </w:rPr>
        <w:t>Sections 210A and 210B (these sections are administered by the Special Minister of State)</w:t>
      </w:r>
    </w:p>
    <w:p w:rsidR="000D6E6A" w:rsidRDefault="000D6E6A">
      <w:pPr>
        <w:pStyle w:val="BodycopyBullet"/>
        <w:rPr>
          <w:rStyle w:val="italic"/>
        </w:rPr>
      </w:pPr>
      <w:r>
        <w:rPr>
          <w:rStyle w:val="italic"/>
        </w:rPr>
        <w:t>Section 211 (this section is jointly and severally administered with the Special Minister of State and the Minister for the Prevention of Family Violence)</w:t>
      </w:r>
    </w:p>
    <w:p w:rsidR="000D6E6A" w:rsidRDefault="000D6E6A">
      <w:pPr>
        <w:pStyle w:val="BodycopyBulletspaceunder"/>
        <w:rPr>
          <w:rStyle w:val="italic"/>
        </w:rPr>
      </w:pPr>
      <w:r>
        <w:rPr>
          <w:rStyle w:val="italic"/>
        </w:rPr>
        <w:t>Division 1A of Part 13 (this Division is administered by the Special Minister of State)</w:t>
      </w:r>
    </w:p>
    <w:p w:rsidR="000D6E6A" w:rsidRDefault="000D6E6A">
      <w:pPr>
        <w:pStyle w:val="Bodycopyindent"/>
        <w:rPr>
          <w:rStyle w:val="italic"/>
          <w:i/>
          <w:iCs/>
        </w:rPr>
      </w:pPr>
      <w:r>
        <w:rPr>
          <w:rStyle w:val="italic"/>
          <w:i/>
          <w:iCs/>
        </w:rPr>
        <w:t>(The Act is otherwise jointly and severally administered with the Minister for the Prevention of Family Violence)</w:t>
      </w:r>
    </w:p>
    <w:p w:rsidR="000D6E6A" w:rsidRDefault="000D6E6A">
      <w:pPr>
        <w:pStyle w:val="Bodycopy"/>
        <w:rPr>
          <w:rStyle w:val="italic"/>
        </w:rPr>
      </w:pPr>
      <w:r>
        <w:rPr>
          <w:rStyle w:val="italic"/>
        </w:rPr>
        <w:t xml:space="preserve">Federal Courts (State Jurisdiction) Act 1999 </w:t>
      </w:r>
    </w:p>
    <w:p w:rsidR="000D6E6A" w:rsidRDefault="000D6E6A">
      <w:pPr>
        <w:pStyle w:val="Bodycopy"/>
        <w:rPr>
          <w:rStyle w:val="italic"/>
        </w:rPr>
      </w:pPr>
      <w:r>
        <w:rPr>
          <w:rStyle w:val="italic"/>
        </w:rPr>
        <w:t xml:space="preserve">Fences Act 1968 </w:t>
      </w:r>
    </w:p>
    <w:p w:rsidR="000D6E6A" w:rsidRDefault="000D6E6A">
      <w:pPr>
        <w:pStyle w:val="Bodycopy"/>
        <w:rPr>
          <w:rStyle w:val="italic"/>
        </w:rPr>
      </w:pPr>
      <w:r>
        <w:rPr>
          <w:rStyle w:val="italic"/>
        </w:rPr>
        <w:t>Fines Reform Act 2014</w:t>
      </w:r>
    </w:p>
    <w:p w:rsidR="000D6E6A" w:rsidRDefault="000D6E6A">
      <w:pPr>
        <w:pStyle w:val="Bodycopy"/>
        <w:rPr>
          <w:rStyle w:val="italic"/>
        </w:rPr>
      </w:pPr>
      <w:r>
        <w:rPr>
          <w:rStyle w:val="italic"/>
        </w:rPr>
        <w:t xml:space="preserve">Foreign Judgments Act 1962 </w:t>
      </w:r>
    </w:p>
    <w:p w:rsidR="000D6E6A" w:rsidRDefault="000D6E6A">
      <w:pPr>
        <w:pStyle w:val="Bodycopy"/>
        <w:rPr>
          <w:rStyle w:val="italic"/>
        </w:rPr>
      </w:pPr>
      <w:r>
        <w:rPr>
          <w:rStyle w:val="italic"/>
        </w:rPr>
        <w:t>Fortification Removal Act 2013</w:t>
      </w:r>
    </w:p>
    <w:p w:rsidR="000D6E6A" w:rsidRDefault="000D6E6A">
      <w:pPr>
        <w:pStyle w:val="Bodycopy"/>
        <w:rPr>
          <w:rStyle w:val="italic"/>
        </w:rPr>
      </w:pPr>
      <w:r>
        <w:rPr>
          <w:rStyle w:val="italic"/>
        </w:rPr>
        <w:t xml:space="preserve">Guardianship and Administration Act 1986 </w:t>
      </w:r>
    </w:p>
    <w:p w:rsidR="000D6E6A" w:rsidRDefault="000D6E6A">
      <w:pPr>
        <w:pStyle w:val="Bodycopy"/>
        <w:rPr>
          <w:rStyle w:val="italic"/>
        </w:rPr>
      </w:pPr>
      <w:r>
        <w:rPr>
          <w:rStyle w:val="italic"/>
        </w:rPr>
        <w:t>Honorary Justices Act 2014</w:t>
      </w:r>
    </w:p>
    <w:p w:rsidR="000D6E6A" w:rsidRDefault="000D6E6A">
      <w:pPr>
        <w:pStyle w:val="Bodycopy"/>
        <w:rPr>
          <w:rStyle w:val="italic"/>
        </w:rPr>
      </w:pPr>
      <w:r>
        <w:rPr>
          <w:rStyle w:val="italic"/>
        </w:rPr>
        <w:t xml:space="preserve">Imperial Acts Application Act 1980 </w:t>
      </w:r>
    </w:p>
    <w:p w:rsidR="000D6E6A" w:rsidRDefault="000D6E6A">
      <w:pPr>
        <w:pStyle w:val="Bodycopy"/>
        <w:rPr>
          <w:rStyle w:val="italic"/>
        </w:rPr>
      </w:pPr>
      <w:r>
        <w:rPr>
          <w:rStyle w:val="italic"/>
        </w:rPr>
        <w:t xml:space="preserve">Imprisonment of Fraudulent Debtors Act 1958 </w:t>
      </w:r>
    </w:p>
    <w:p w:rsidR="000D6E6A" w:rsidRDefault="000D6E6A">
      <w:pPr>
        <w:pStyle w:val="Bodycopy"/>
        <w:rPr>
          <w:rStyle w:val="italic"/>
        </w:rPr>
      </w:pPr>
      <w:r>
        <w:rPr>
          <w:rStyle w:val="italic"/>
        </w:rPr>
        <w:t xml:space="preserve">Infringements Act 2006 </w:t>
      </w:r>
    </w:p>
    <w:p w:rsidR="000D6E6A" w:rsidRDefault="000D6E6A">
      <w:pPr>
        <w:pStyle w:val="Bodycopy"/>
        <w:rPr>
          <w:rStyle w:val="italic"/>
        </w:rPr>
      </w:pPr>
      <w:r>
        <w:rPr>
          <w:rStyle w:val="italic"/>
        </w:rPr>
        <w:t xml:space="preserve">Instruments Act 1958 – Except: </w:t>
      </w:r>
    </w:p>
    <w:p w:rsidR="000D6E6A" w:rsidRDefault="000D6E6A">
      <w:pPr>
        <w:pStyle w:val="BodycopyBulletspaceunder"/>
        <w:rPr>
          <w:rStyle w:val="italic"/>
        </w:rPr>
      </w:pPr>
      <w:r>
        <w:rPr>
          <w:rStyle w:val="italic"/>
        </w:rPr>
        <w:t xml:space="preserve">In so far as it relates to the functions of the Registrar-General and the management of the Office of the Registrar-General (in so far as it relates to those matters, the Act is administered by the Minister for Planning) </w:t>
      </w:r>
    </w:p>
    <w:p w:rsidR="000D6E6A" w:rsidRDefault="000D6E6A">
      <w:pPr>
        <w:pStyle w:val="Bodycopy"/>
        <w:rPr>
          <w:rStyle w:val="italic"/>
        </w:rPr>
      </w:pPr>
      <w:r>
        <w:rPr>
          <w:rStyle w:val="italic"/>
        </w:rPr>
        <w:t xml:space="preserve">Interpretation of Legislation Act 1984 </w:t>
      </w:r>
    </w:p>
    <w:p w:rsidR="000D6E6A" w:rsidRDefault="000D6E6A">
      <w:pPr>
        <w:pStyle w:val="Bodycopy"/>
        <w:rPr>
          <w:rStyle w:val="italic"/>
        </w:rPr>
      </w:pPr>
      <w:r>
        <w:rPr>
          <w:rStyle w:val="italic"/>
        </w:rPr>
        <w:lastRenderedPageBreak/>
        <w:t xml:space="preserve">Judgment Debt Recovery Act 1984 </w:t>
      </w:r>
    </w:p>
    <w:p w:rsidR="000D6E6A" w:rsidRDefault="000D6E6A">
      <w:pPr>
        <w:pStyle w:val="Bodycopy"/>
        <w:rPr>
          <w:rStyle w:val="italic"/>
        </w:rPr>
      </w:pPr>
      <w:r>
        <w:rPr>
          <w:rStyle w:val="italic"/>
        </w:rPr>
        <w:t xml:space="preserve">Judicial College of Victoria Act 2001 </w:t>
      </w:r>
    </w:p>
    <w:p w:rsidR="000D6E6A" w:rsidRDefault="000D6E6A">
      <w:pPr>
        <w:pStyle w:val="Bodycopy"/>
        <w:rPr>
          <w:rStyle w:val="italic"/>
        </w:rPr>
      </w:pPr>
      <w:r>
        <w:rPr>
          <w:rStyle w:val="italic"/>
        </w:rPr>
        <w:t xml:space="preserve">Judicial Commission of Victoria Act 2016 </w:t>
      </w:r>
    </w:p>
    <w:p w:rsidR="000D6E6A" w:rsidRDefault="000D6E6A">
      <w:pPr>
        <w:pStyle w:val="Bodycopy"/>
        <w:rPr>
          <w:rStyle w:val="italic"/>
        </w:rPr>
      </w:pPr>
      <w:r>
        <w:rPr>
          <w:rStyle w:val="italic"/>
        </w:rPr>
        <w:t>Judicial Entitlements Act 2015</w:t>
      </w:r>
    </w:p>
    <w:p w:rsidR="000D6E6A" w:rsidRDefault="000D6E6A">
      <w:pPr>
        <w:pStyle w:val="Bodycopy"/>
        <w:rPr>
          <w:rStyle w:val="italic"/>
        </w:rPr>
      </w:pPr>
      <w:r>
        <w:rPr>
          <w:rStyle w:val="italic"/>
        </w:rPr>
        <w:t>Judicial Proceedings Reports Act 1958</w:t>
      </w:r>
    </w:p>
    <w:p w:rsidR="000D6E6A" w:rsidRDefault="000D6E6A">
      <w:pPr>
        <w:pStyle w:val="Bodycopy"/>
        <w:rPr>
          <w:rStyle w:val="italic"/>
        </w:rPr>
      </w:pPr>
      <w:r>
        <w:rPr>
          <w:rStyle w:val="italic"/>
        </w:rPr>
        <w:t xml:space="preserve">Judicial Salaries Act 2004 </w:t>
      </w:r>
    </w:p>
    <w:p w:rsidR="000D6E6A" w:rsidRDefault="000D6E6A">
      <w:pPr>
        <w:pStyle w:val="Bodycopy"/>
        <w:rPr>
          <w:rStyle w:val="italic"/>
        </w:rPr>
      </w:pPr>
      <w:r>
        <w:rPr>
          <w:rStyle w:val="italic"/>
        </w:rPr>
        <w:t>Jury Directions Act 2015</w:t>
      </w:r>
    </w:p>
    <w:p w:rsidR="000D6E6A" w:rsidRDefault="000D6E6A">
      <w:pPr>
        <w:pStyle w:val="Bodycopy"/>
        <w:rPr>
          <w:rStyle w:val="italic"/>
        </w:rPr>
      </w:pPr>
      <w:r>
        <w:rPr>
          <w:rStyle w:val="italic"/>
        </w:rPr>
        <w:t xml:space="preserve">Juries Act 2000 </w:t>
      </w:r>
    </w:p>
    <w:p w:rsidR="000D6E6A" w:rsidRDefault="000D6E6A">
      <w:pPr>
        <w:pStyle w:val="Bodycopy"/>
        <w:rPr>
          <w:rStyle w:val="italic"/>
        </w:rPr>
      </w:pPr>
      <w:r>
        <w:rPr>
          <w:rStyle w:val="italic"/>
        </w:rPr>
        <w:t>Jurisdiction of Courts (Cross-vesting) Act 1987</w:t>
      </w:r>
    </w:p>
    <w:p w:rsidR="000D6E6A" w:rsidRDefault="000D6E6A">
      <w:pPr>
        <w:pStyle w:val="Bodycopy"/>
        <w:rPr>
          <w:rStyle w:val="italic"/>
        </w:rPr>
      </w:pPr>
      <w:r>
        <w:rPr>
          <w:rStyle w:val="italic"/>
        </w:rPr>
        <w:t>Jury Directions Act 2013</w:t>
      </w:r>
    </w:p>
    <w:p w:rsidR="000D6E6A" w:rsidRDefault="000D6E6A">
      <w:pPr>
        <w:pStyle w:val="Bodycopy"/>
        <w:rPr>
          <w:rStyle w:val="italic"/>
        </w:rPr>
      </w:pPr>
      <w:r>
        <w:rPr>
          <w:rStyle w:val="italic"/>
        </w:rPr>
        <w:t xml:space="preserve">Land Acquisition and Compensation Act 1986 </w:t>
      </w:r>
    </w:p>
    <w:p w:rsidR="000D6E6A" w:rsidRDefault="000D6E6A">
      <w:pPr>
        <w:pStyle w:val="Bodycopy"/>
        <w:rPr>
          <w:rStyle w:val="italic"/>
        </w:rPr>
      </w:pPr>
      <w:r>
        <w:rPr>
          <w:rStyle w:val="italic"/>
        </w:rPr>
        <w:t>Land Act 1958 –</w:t>
      </w:r>
    </w:p>
    <w:p w:rsidR="000D6E6A" w:rsidRDefault="000D6E6A">
      <w:pPr>
        <w:pStyle w:val="BodycopyBullet"/>
        <w:rPr>
          <w:rStyle w:val="italic"/>
        </w:rPr>
      </w:pPr>
      <w:r>
        <w:rPr>
          <w:rStyle w:val="italic"/>
        </w:rPr>
        <w:t>In so far as it relates to the exercise of powers relating to leases and licences under Subdivisions 1 and 2 of Division 9 of Part I in respect of land described as Crown Allotment 22D of section 30, Parish of Melbourne North being the site of the Victorian County Court</w:t>
      </w:r>
    </w:p>
    <w:p w:rsidR="000D6E6A" w:rsidRDefault="000D6E6A">
      <w:pPr>
        <w:pStyle w:val="BodycopyBullet"/>
        <w:rPr>
          <w:rStyle w:val="italic"/>
        </w:rPr>
      </w:pPr>
      <w:r>
        <w:rPr>
          <w:rStyle w:val="italic"/>
        </w:rPr>
        <w:t>In so far as it relates to the land described as Crown Allotment 16 of Section 5, at Elwood, Parish of Prahran being the site of the former Elwood Police Station:</w:t>
      </w:r>
    </w:p>
    <w:p w:rsidR="000D6E6A" w:rsidRDefault="000D6E6A">
      <w:pPr>
        <w:pStyle w:val="BodycopybulletL2"/>
        <w:rPr>
          <w:rStyle w:val="italic"/>
        </w:rPr>
      </w:pPr>
      <w:r>
        <w:rPr>
          <w:rStyle w:val="italic"/>
        </w:rPr>
        <w:t>Except Division 6 of Part I, Subdivision 3 of Division 9 of Part I, section 209 and the remainder of the Act where it relates to the sale and alienation of Crown Lands as set out in Administrative Arrangements Order No. 58 (which are administered by the Minister for Finance)</w:t>
      </w:r>
    </w:p>
    <w:p w:rsidR="000D6E6A" w:rsidRDefault="000D6E6A">
      <w:pPr>
        <w:pStyle w:val="BodycopybulletL2"/>
        <w:rPr>
          <w:rStyle w:val="italic"/>
        </w:rPr>
      </w:pPr>
      <w:r>
        <w:rPr>
          <w:rStyle w:val="italic"/>
        </w:rPr>
        <w:t>Except sections 201, 201A and 399</w:t>
      </w:r>
    </w:p>
    <w:p w:rsidR="000D6E6A" w:rsidRDefault="000D6E6A">
      <w:pPr>
        <w:pStyle w:val="BodycopyBullet"/>
        <w:rPr>
          <w:rStyle w:val="italic"/>
        </w:rPr>
      </w:pPr>
      <w:r>
        <w:rPr>
          <w:rStyle w:val="italic"/>
        </w:rPr>
        <w:t>Sections 22C-22E</w:t>
      </w:r>
    </w:p>
    <w:p w:rsidR="000D6E6A" w:rsidRDefault="000D6E6A">
      <w:pPr>
        <w:pStyle w:val="BodycopyBulletspaceunder"/>
        <w:rPr>
          <w:rStyle w:val="italic"/>
        </w:rPr>
      </w:pPr>
      <w:r>
        <w:rPr>
          <w:rStyle w:val="italic"/>
        </w:rPr>
        <w:t>Sections 201, 201A and 399 in so far as they relate to the land described as Crown Allotment 16 of Section 5, at Elwood, Parish of Prahran being the site of the former Elwood Police Station (in so far as they relate to that land, these provisions are jointly administered with the Minister for Finance)</w:t>
      </w:r>
    </w:p>
    <w:p w:rsidR="000D6E6A" w:rsidRDefault="000D6E6A">
      <w:pPr>
        <w:pStyle w:val="Bodycopyindent"/>
        <w:rPr>
          <w:rStyle w:val="italic"/>
          <w:i/>
          <w:iCs/>
        </w:rPr>
      </w:pPr>
      <w:r>
        <w:rPr>
          <w:rStyle w:val="italic"/>
          <w:i/>
          <w:iCs/>
        </w:rPr>
        <w:t>(The Act is otherwise administered by the Minister for Corrections, the Minister for Creative Industries, the Minister for Energy, Environment and Climate Change, the Minister for Finance, the Minister for Health, the Minister for Ports, the Minister for Roads and Road Safety and the Special Minister of State)</w:t>
      </w:r>
    </w:p>
    <w:p w:rsidR="000D6E6A" w:rsidRDefault="000D6E6A">
      <w:pPr>
        <w:pStyle w:val="Bodycopy"/>
        <w:rPr>
          <w:rStyle w:val="italic"/>
        </w:rPr>
      </w:pPr>
      <w:r>
        <w:rPr>
          <w:rStyle w:val="italic"/>
        </w:rPr>
        <w:t xml:space="preserve">Land Titles Validation Act 1994 </w:t>
      </w:r>
    </w:p>
    <w:p w:rsidR="000D6E6A" w:rsidRDefault="000D6E6A">
      <w:pPr>
        <w:pStyle w:val="Bodycopy"/>
        <w:rPr>
          <w:rStyle w:val="italic"/>
        </w:rPr>
      </w:pPr>
      <w:r>
        <w:rPr>
          <w:rStyle w:val="italic"/>
        </w:rPr>
        <w:t xml:space="preserve">Legal Aid Act 1978 </w:t>
      </w:r>
    </w:p>
    <w:p w:rsidR="000D6E6A" w:rsidRDefault="000D6E6A">
      <w:pPr>
        <w:pStyle w:val="Bodycopy"/>
        <w:rPr>
          <w:rStyle w:val="italic"/>
        </w:rPr>
      </w:pPr>
      <w:r>
        <w:rPr>
          <w:rStyle w:val="italic"/>
        </w:rPr>
        <w:t>Legal Identities of Defendants (organisational Child Abuse) Act 2018</w:t>
      </w:r>
    </w:p>
    <w:p w:rsidR="000D6E6A" w:rsidRDefault="000D6E6A">
      <w:pPr>
        <w:pStyle w:val="Bodycopy"/>
        <w:rPr>
          <w:rStyle w:val="italic"/>
          <w:spacing w:val="-2"/>
        </w:rPr>
      </w:pPr>
      <w:r>
        <w:rPr>
          <w:rStyle w:val="italic"/>
          <w:spacing w:val="-2"/>
        </w:rPr>
        <w:t>Legal Profession Uniform Law Application Act 2014</w:t>
      </w:r>
    </w:p>
    <w:p w:rsidR="000D6E6A" w:rsidRDefault="000D6E6A">
      <w:pPr>
        <w:pStyle w:val="Bodycopy"/>
        <w:rPr>
          <w:rStyle w:val="italic"/>
        </w:rPr>
      </w:pPr>
      <w:r>
        <w:rPr>
          <w:rStyle w:val="italic"/>
        </w:rPr>
        <w:t>Legal Profession Uniform Law (Victoria)</w:t>
      </w:r>
    </w:p>
    <w:p w:rsidR="000D6E6A" w:rsidRDefault="000D6E6A">
      <w:pPr>
        <w:pStyle w:val="Bodycopy"/>
        <w:rPr>
          <w:rStyle w:val="italic"/>
        </w:rPr>
      </w:pPr>
      <w:r>
        <w:rPr>
          <w:rStyle w:val="italic"/>
        </w:rPr>
        <w:t xml:space="preserve">Leo </w:t>
      </w:r>
      <w:proofErr w:type="spellStart"/>
      <w:r>
        <w:rPr>
          <w:rStyle w:val="italic"/>
        </w:rPr>
        <w:t>Cussen</w:t>
      </w:r>
      <w:proofErr w:type="spellEnd"/>
      <w:r>
        <w:rPr>
          <w:rStyle w:val="italic"/>
        </w:rPr>
        <w:t xml:space="preserve"> Institute (Registration as a Company) Act 2011</w:t>
      </w:r>
    </w:p>
    <w:p w:rsidR="000D6E6A" w:rsidRDefault="000D6E6A">
      <w:pPr>
        <w:pStyle w:val="Bodycopy"/>
        <w:rPr>
          <w:rStyle w:val="italic"/>
        </w:rPr>
      </w:pPr>
      <w:r>
        <w:rPr>
          <w:rStyle w:val="italic"/>
        </w:rPr>
        <w:t xml:space="preserve">Limitation of Actions Act 1958 </w:t>
      </w:r>
    </w:p>
    <w:p w:rsidR="000D6E6A" w:rsidRDefault="000D6E6A">
      <w:pPr>
        <w:pStyle w:val="Bodycopy"/>
        <w:rPr>
          <w:rStyle w:val="italic"/>
        </w:rPr>
      </w:pPr>
      <w:r>
        <w:rPr>
          <w:rStyle w:val="italic"/>
        </w:rPr>
        <w:t xml:space="preserve">Local Government Act 1989 – </w:t>
      </w:r>
    </w:p>
    <w:p w:rsidR="000D6E6A" w:rsidRDefault="000D6E6A">
      <w:pPr>
        <w:pStyle w:val="BodycopyBullet"/>
        <w:rPr>
          <w:rStyle w:val="italic"/>
        </w:rPr>
      </w:pPr>
      <w:r>
        <w:rPr>
          <w:rStyle w:val="italic"/>
        </w:rPr>
        <w:t xml:space="preserve">Sections 44-46, 48 and 49 </w:t>
      </w:r>
    </w:p>
    <w:p w:rsidR="000D6E6A" w:rsidRDefault="000D6E6A">
      <w:pPr>
        <w:pStyle w:val="BodycopyBullet"/>
        <w:rPr>
          <w:rStyle w:val="italic"/>
        </w:rPr>
      </w:pPr>
      <w:r>
        <w:rPr>
          <w:rStyle w:val="italic"/>
        </w:rPr>
        <w:t xml:space="preserve">Section 243 in so far as it relates to municipal electoral tribunals </w:t>
      </w:r>
    </w:p>
    <w:p w:rsidR="000D6E6A" w:rsidRDefault="000D6E6A">
      <w:pPr>
        <w:pStyle w:val="BodycopyBulletspaceunder"/>
        <w:rPr>
          <w:rStyle w:val="italic"/>
        </w:rPr>
      </w:pPr>
      <w:r>
        <w:rPr>
          <w:rStyle w:val="italic"/>
        </w:rPr>
        <w:t xml:space="preserve">Schedule 4 </w:t>
      </w:r>
    </w:p>
    <w:p w:rsidR="000D6E6A" w:rsidRDefault="000D6E6A">
      <w:pPr>
        <w:pStyle w:val="Bodycopyindent"/>
        <w:rPr>
          <w:rStyle w:val="italic"/>
          <w:i/>
          <w:iCs/>
        </w:rPr>
      </w:pPr>
      <w:r>
        <w:rPr>
          <w:rStyle w:val="italic"/>
          <w:i/>
          <w:iCs/>
        </w:rPr>
        <w:t xml:space="preserve">(The Act is otherwise administered by the Minister for Local Government, the Minister for Roads and Road Safety and the Special Minister of State) </w:t>
      </w:r>
    </w:p>
    <w:p w:rsidR="000D6E6A" w:rsidRDefault="000D6E6A">
      <w:pPr>
        <w:pStyle w:val="Bodycopy"/>
        <w:rPr>
          <w:rStyle w:val="italic"/>
        </w:rPr>
      </w:pPr>
      <w:r>
        <w:rPr>
          <w:rStyle w:val="italic"/>
        </w:rPr>
        <w:t xml:space="preserve">Magistrates’ Court Act 1989 </w:t>
      </w:r>
    </w:p>
    <w:p w:rsidR="000D6E6A" w:rsidRDefault="000D6E6A">
      <w:pPr>
        <w:pStyle w:val="Bodycopy"/>
        <w:rPr>
          <w:rStyle w:val="italic"/>
        </w:rPr>
      </w:pPr>
      <w:r>
        <w:rPr>
          <w:rStyle w:val="italic"/>
        </w:rPr>
        <w:t xml:space="preserve">Maintenance Act 1965 </w:t>
      </w:r>
    </w:p>
    <w:p w:rsidR="000D6E6A" w:rsidRDefault="000D6E6A">
      <w:pPr>
        <w:pStyle w:val="Bodycopy"/>
        <w:rPr>
          <w:rStyle w:val="italic"/>
        </w:rPr>
      </w:pPr>
      <w:r>
        <w:rPr>
          <w:rStyle w:val="italic"/>
        </w:rPr>
        <w:t>Major Crime (Investigative Powers) Act 2004 – Except:</w:t>
      </w:r>
    </w:p>
    <w:p w:rsidR="000D6E6A" w:rsidRDefault="000D6E6A">
      <w:pPr>
        <w:pStyle w:val="BodycopyBulletspaceunder"/>
        <w:rPr>
          <w:rStyle w:val="italic"/>
        </w:rPr>
      </w:pPr>
      <w:r>
        <w:rPr>
          <w:rStyle w:val="italic"/>
        </w:rPr>
        <w:t>Part 3 (this Part is jointly administered with the Minister for Police)</w:t>
      </w:r>
    </w:p>
    <w:p w:rsidR="000D6E6A" w:rsidRDefault="000D6E6A">
      <w:pPr>
        <w:pStyle w:val="Bodycopy"/>
        <w:rPr>
          <w:rStyle w:val="italic"/>
        </w:rPr>
      </w:pPr>
      <w:r>
        <w:rPr>
          <w:rStyle w:val="italic"/>
        </w:rPr>
        <w:t xml:space="preserve">Marriage Act 1958 </w:t>
      </w:r>
    </w:p>
    <w:p w:rsidR="000D6E6A" w:rsidRDefault="000D6E6A">
      <w:pPr>
        <w:pStyle w:val="Bodycopy"/>
        <w:rPr>
          <w:rStyle w:val="italic"/>
          <w:spacing w:val="-3"/>
        </w:rPr>
      </w:pPr>
      <w:r>
        <w:rPr>
          <w:rStyle w:val="italic"/>
          <w:spacing w:val="-3"/>
        </w:rPr>
        <w:t>National Domestic Violence Order Scheme Act 2016</w:t>
      </w:r>
    </w:p>
    <w:p w:rsidR="000D6E6A" w:rsidRDefault="000D6E6A">
      <w:pPr>
        <w:pStyle w:val="Bodycopy"/>
        <w:rPr>
          <w:rStyle w:val="italic"/>
        </w:rPr>
      </w:pPr>
      <w:r>
        <w:rPr>
          <w:rStyle w:val="italic"/>
        </w:rPr>
        <w:t>National Redress Scheme for Institutional Child Sexual Abuse (Commonwealth Powers) Act 2018</w:t>
      </w:r>
    </w:p>
    <w:p w:rsidR="000D6E6A" w:rsidRDefault="000D6E6A">
      <w:pPr>
        <w:pStyle w:val="Bodycopy"/>
        <w:rPr>
          <w:rStyle w:val="italic"/>
        </w:rPr>
      </w:pPr>
      <w:r>
        <w:rPr>
          <w:rStyle w:val="italic"/>
        </w:rPr>
        <w:t>Oaths and Affirmations Act 2018</w:t>
      </w:r>
    </w:p>
    <w:p w:rsidR="000D6E6A" w:rsidRDefault="000D6E6A">
      <w:pPr>
        <w:pStyle w:val="Bodycopy"/>
        <w:rPr>
          <w:rStyle w:val="italic"/>
        </w:rPr>
      </w:pPr>
      <w:r>
        <w:rPr>
          <w:rStyle w:val="italic"/>
        </w:rPr>
        <w:t>Open Courts Act 2013</w:t>
      </w:r>
    </w:p>
    <w:p w:rsidR="000D6E6A" w:rsidRDefault="000D6E6A">
      <w:pPr>
        <w:pStyle w:val="Bodycopy"/>
        <w:rPr>
          <w:rStyle w:val="italic"/>
        </w:rPr>
      </w:pPr>
      <w:r>
        <w:rPr>
          <w:rStyle w:val="italic"/>
        </w:rPr>
        <w:lastRenderedPageBreak/>
        <w:t xml:space="preserve">Penalty Interest Rates Act 1983 </w:t>
      </w:r>
    </w:p>
    <w:p w:rsidR="000D6E6A" w:rsidRDefault="000D6E6A">
      <w:pPr>
        <w:pStyle w:val="Bodycopy"/>
        <w:rPr>
          <w:rStyle w:val="italic"/>
        </w:rPr>
      </w:pPr>
      <w:r>
        <w:rPr>
          <w:rStyle w:val="italic"/>
        </w:rPr>
        <w:t xml:space="preserve">Perpetuities and Accumulations Act 1968 </w:t>
      </w:r>
    </w:p>
    <w:p w:rsidR="000D6E6A" w:rsidRDefault="000D6E6A">
      <w:pPr>
        <w:pStyle w:val="Bodycopy"/>
        <w:rPr>
          <w:rStyle w:val="italic"/>
        </w:rPr>
      </w:pPr>
      <w:r>
        <w:rPr>
          <w:rStyle w:val="italic"/>
        </w:rPr>
        <w:t>Personal Property Securities (Commonwealth Powers) Act 2009</w:t>
      </w:r>
    </w:p>
    <w:p w:rsidR="000D6E6A" w:rsidRDefault="000D6E6A">
      <w:pPr>
        <w:pStyle w:val="Bodycopy"/>
        <w:rPr>
          <w:rStyle w:val="italic"/>
        </w:rPr>
      </w:pPr>
      <w:r>
        <w:rPr>
          <w:rStyle w:val="italic"/>
        </w:rPr>
        <w:t>Personal Property Securities (Statute Law Revision and Implementation) Act 2010</w:t>
      </w:r>
    </w:p>
    <w:p w:rsidR="000D6E6A" w:rsidRDefault="000D6E6A">
      <w:pPr>
        <w:pStyle w:val="Bodycopy"/>
        <w:rPr>
          <w:rStyle w:val="italic"/>
        </w:rPr>
      </w:pPr>
      <w:r>
        <w:rPr>
          <w:rStyle w:val="italic"/>
        </w:rPr>
        <w:t>Personal Safety Intervention Orders Act 2010</w:t>
      </w:r>
    </w:p>
    <w:p w:rsidR="000D6E6A" w:rsidRDefault="000D6E6A">
      <w:pPr>
        <w:pStyle w:val="Bodycopy"/>
        <w:rPr>
          <w:rStyle w:val="italic"/>
        </w:rPr>
      </w:pPr>
      <w:r>
        <w:rPr>
          <w:rStyle w:val="italic"/>
        </w:rPr>
        <w:t>Powers of Attorney Act 2014</w:t>
      </w:r>
    </w:p>
    <w:p w:rsidR="000D6E6A" w:rsidRDefault="000D6E6A">
      <w:pPr>
        <w:pStyle w:val="Bodycopy"/>
        <w:rPr>
          <w:rStyle w:val="italic"/>
        </w:rPr>
      </w:pPr>
      <w:r>
        <w:rPr>
          <w:rStyle w:val="italic"/>
        </w:rPr>
        <w:t xml:space="preserve">Professional Standards Act 2003 </w:t>
      </w:r>
    </w:p>
    <w:p w:rsidR="000D6E6A" w:rsidRDefault="000D6E6A">
      <w:pPr>
        <w:pStyle w:val="Bodycopy"/>
        <w:rPr>
          <w:rStyle w:val="italic"/>
        </w:rPr>
      </w:pPr>
      <w:r>
        <w:rPr>
          <w:rStyle w:val="italic"/>
        </w:rPr>
        <w:t xml:space="preserve">Property Law Act 1958 – Except: </w:t>
      </w:r>
    </w:p>
    <w:p w:rsidR="000D6E6A" w:rsidRDefault="000D6E6A">
      <w:pPr>
        <w:pStyle w:val="BodycopyBulletspaceunder"/>
        <w:rPr>
          <w:rStyle w:val="italic"/>
        </w:rPr>
      </w:pPr>
      <w:r>
        <w:rPr>
          <w:rStyle w:val="italic"/>
        </w:rPr>
        <w:t xml:space="preserve">In so far as it relates to the functions of the Registrar-General and the management of the Office of the Registrar-General (in so far as it relates to those matters, the Act is administered by the Minister for Planning) </w:t>
      </w:r>
    </w:p>
    <w:p w:rsidR="000D6E6A" w:rsidRDefault="000D6E6A">
      <w:pPr>
        <w:pStyle w:val="Bodycopy"/>
        <w:rPr>
          <w:rStyle w:val="italic"/>
        </w:rPr>
      </w:pPr>
      <w:r>
        <w:rPr>
          <w:rStyle w:val="italic"/>
        </w:rPr>
        <w:t xml:space="preserve">Public Notaries Act 2001 </w:t>
      </w:r>
    </w:p>
    <w:p w:rsidR="000D6E6A" w:rsidRDefault="000D6E6A">
      <w:pPr>
        <w:pStyle w:val="Bodycopy"/>
        <w:rPr>
          <w:rStyle w:val="italic"/>
        </w:rPr>
      </w:pPr>
      <w:r>
        <w:rPr>
          <w:rStyle w:val="italic"/>
        </w:rPr>
        <w:t xml:space="preserve">Public Prosecutions Act 1994 </w:t>
      </w:r>
    </w:p>
    <w:p w:rsidR="000D6E6A" w:rsidRDefault="000D6E6A">
      <w:pPr>
        <w:pStyle w:val="Bodycopy"/>
        <w:rPr>
          <w:rStyle w:val="italic"/>
        </w:rPr>
      </w:pPr>
      <w:r>
        <w:rPr>
          <w:rStyle w:val="italic"/>
        </w:rPr>
        <w:t xml:space="preserve">Relationships Act 2008 – </w:t>
      </w:r>
    </w:p>
    <w:p w:rsidR="000D6E6A" w:rsidRDefault="000D6E6A">
      <w:pPr>
        <w:pStyle w:val="BodycopyBulletspaceunder"/>
        <w:rPr>
          <w:rStyle w:val="italic"/>
        </w:rPr>
      </w:pPr>
      <w:r>
        <w:rPr>
          <w:rStyle w:val="italic"/>
        </w:rPr>
        <w:t>The Act is jointly and severally administered with the Minister for Equality</w:t>
      </w:r>
    </w:p>
    <w:p w:rsidR="000D6E6A" w:rsidRDefault="000D6E6A">
      <w:pPr>
        <w:pStyle w:val="Bodycopy"/>
        <w:rPr>
          <w:rStyle w:val="italic"/>
        </w:rPr>
      </w:pPr>
      <w:r>
        <w:rPr>
          <w:rStyle w:val="italic"/>
        </w:rPr>
        <w:t xml:space="preserve">Religious and </w:t>
      </w:r>
      <w:proofErr w:type="spellStart"/>
      <w:r>
        <w:rPr>
          <w:rStyle w:val="italic"/>
        </w:rPr>
        <w:t>Successory</w:t>
      </w:r>
      <w:proofErr w:type="spellEnd"/>
      <w:r>
        <w:rPr>
          <w:rStyle w:val="italic"/>
        </w:rPr>
        <w:t xml:space="preserve"> Trusts Act 1958 </w:t>
      </w:r>
    </w:p>
    <w:p w:rsidR="000D6E6A" w:rsidRDefault="000D6E6A">
      <w:pPr>
        <w:pStyle w:val="Bodycopy"/>
        <w:rPr>
          <w:rStyle w:val="italic"/>
        </w:rPr>
      </w:pPr>
      <w:r>
        <w:rPr>
          <w:rStyle w:val="italic"/>
        </w:rPr>
        <w:t xml:space="preserve">Residential Tenancies Act 1997 – </w:t>
      </w:r>
    </w:p>
    <w:p w:rsidR="000D6E6A" w:rsidRDefault="000D6E6A">
      <w:pPr>
        <w:pStyle w:val="BodycopyBulletspaceunder"/>
        <w:rPr>
          <w:rStyle w:val="italic"/>
        </w:rPr>
      </w:pPr>
      <w:r>
        <w:rPr>
          <w:rStyle w:val="italic"/>
        </w:rPr>
        <w:t xml:space="preserve">Sections 446-448 (except subsection 447(1)), 452, 472, 473, 479 and 485 </w:t>
      </w:r>
    </w:p>
    <w:p w:rsidR="000D6E6A" w:rsidRDefault="000D6E6A">
      <w:pPr>
        <w:pStyle w:val="Bodycopyindent"/>
        <w:rPr>
          <w:rStyle w:val="italic"/>
          <w:i/>
          <w:iCs/>
        </w:rPr>
      </w:pPr>
      <w:r>
        <w:rPr>
          <w:rStyle w:val="italic"/>
          <w:i/>
          <w:iCs/>
        </w:rPr>
        <w:t xml:space="preserve">(The Act is otherwise administered by the Minister for Consumer Affairs, Gaming and Liquor Regulation, the Minister for Housing, Disability and Ageing and the Minister for Planning) </w:t>
      </w:r>
    </w:p>
    <w:p w:rsidR="000D6E6A" w:rsidRDefault="000D6E6A">
      <w:pPr>
        <w:pStyle w:val="Bodycopy"/>
        <w:rPr>
          <w:rStyle w:val="italic"/>
        </w:rPr>
      </w:pPr>
      <w:r>
        <w:rPr>
          <w:rStyle w:val="italic"/>
        </w:rPr>
        <w:t xml:space="preserve">Royal Victorian Institute for the Blind and other Agencies (Merger) Act 2005 </w:t>
      </w:r>
    </w:p>
    <w:p w:rsidR="000D6E6A" w:rsidRDefault="000D6E6A">
      <w:pPr>
        <w:pStyle w:val="Bodycopy"/>
        <w:rPr>
          <w:rStyle w:val="italic"/>
        </w:rPr>
      </w:pPr>
      <w:r>
        <w:rPr>
          <w:rStyle w:val="italic"/>
        </w:rPr>
        <w:t>Sentencing Act 1991 – Except:</w:t>
      </w:r>
    </w:p>
    <w:p w:rsidR="000D6E6A" w:rsidRDefault="000D6E6A">
      <w:pPr>
        <w:pStyle w:val="BodycopyBullet"/>
        <w:rPr>
          <w:rStyle w:val="italic"/>
        </w:rPr>
      </w:pPr>
      <w:r>
        <w:rPr>
          <w:rStyle w:val="italic"/>
        </w:rPr>
        <w:t xml:space="preserve">Subdivision 4 of Division 2 of Part 3 (this Subdivision is jointly administered with the Minister for Families and Children) </w:t>
      </w:r>
    </w:p>
    <w:p w:rsidR="000D6E6A" w:rsidRDefault="000D6E6A">
      <w:pPr>
        <w:pStyle w:val="BodycopyBullet"/>
        <w:rPr>
          <w:rStyle w:val="italic"/>
        </w:rPr>
      </w:pPr>
      <w:r>
        <w:rPr>
          <w:rStyle w:val="italic"/>
        </w:rPr>
        <w:t>Division 2 of Part 3BA (this Division is jointly administered with the Minister for Housing, Disability and Ageing)</w:t>
      </w:r>
    </w:p>
    <w:p w:rsidR="000D6E6A" w:rsidRDefault="000D6E6A">
      <w:pPr>
        <w:pStyle w:val="BodycopyBulletspaceunder"/>
        <w:rPr>
          <w:rStyle w:val="italic"/>
        </w:rPr>
      </w:pPr>
      <w:r>
        <w:rPr>
          <w:rStyle w:val="italic"/>
        </w:rPr>
        <w:t>Divisions 3 to 6 of Part 3A (these Divisions are jointly administered with the Minister for Corrections)</w:t>
      </w:r>
    </w:p>
    <w:p w:rsidR="000D6E6A" w:rsidRDefault="000D6E6A">
      <w:pPr>
        <w:pStyle w:val="Bodycopy"/>
        <w:rPr>
          <w:rStyle w:val="italic"/>
        </w:rPr>
      </w:pPr>
      <w:r>
        <w:rPr>
          <w:rStyle w:val="italic"/>
        </w:rPr>
        <w:t xml:space="preserve">Settled Land Act 1958 </w:t>
      </w:r>
    </w:p>
    <w:p w:rsidR="000D6E6A" w:rsidRDefault="000D6E6A">
      <w:pPr>
        <w:pStyle w:val="Bodycopy"/>
        <w:rPr>
          <w:rStyle w:val="italic"/>
        </w:rPr>
      </w:pPr>
      <w:r>
        <w:rPr>
          <w:rStyle w:val="italic"/>
        </w:rPr>
        <w:t xml:space="preserve">Severe Substance Dependence Treatment Act 2010 – </w:t>
      </w:r>
    </w:p>
    <w:p w:rsidR="000D6E6A" w:rsidRDefault="000D6E6A">
      <w:pPr>
        <w:pStyle w:val="BodycopyBulletspaceunder"/>
        <w:rPr>
          <w:rStyle w:val="italic"/>
        </w:rPr>
      </w:pPr>
      <w:r>
        <w:rPr>
          <w:rStyle w:val="italic"/>
        </w:rPr>
        <w:t>Sections 9-11 and 14-22</w:t>
      </w:r>
    </w:p>
    <w:p w:rsidR="000D6E6A" w:rsidRDefault="000D6E6A">
      <w:pPr>
        <w:pStyle w:val="Bodycopyindent"/>
        <w:rPr>
          <w:rStyle w:val="italic"/>
          <w:i/>
          <w:iCs/>
        </w:rPr>
      </w:pPr>
      <w:r>
        <w:rPr>
          <w:rStyle w:val="italic"/>
          <w:i/>
          <w:iCs/>
        </w:rPr>
        <w:t>(The Act is otherwise administered by the Minister for Mental Health)</w:t>
      </w:r>
    </w:p>
    <w:p w:rsidR="000D6E6A" w:rsidRDefault="000D6E6A">
      <w:pPr>
        <w:pStyle w:val="Bodycopy"/>
        <w:rPr>
          <w:rStyle w:val="italic"/>
        </w:rPr>
      </w:pPr>
      <w:r>
        <w:rPr>
          <w:rStyle w:val="italic"/>
        </w:rPr>
        <w:t>Sheriff Act 2009</w:t>
      </w:r>
    </w:p>
    <w:p w:rsidR="000D6E6A" w:rsidRDefault="000D6E6A">
      <w:pPr>
        <w:pStyle w:val="Bodycopy"/>
        <w:rPr>
          <w:rStyle w:val="italic"/>
        </w:rPr>
      </w:pPr>
      <w:r>
        <w:rPr>
          <w:rStyle w:val="italic"/>
        </w:rPr>
        <w:t xml:space="preserve">St Andrew’s Foundation Act 1997 </w:t>
      </w:r>
    </w:p>
    <w:p w:rsidR="000D6E6A" w:rsidRDefault="000D6E6A">
      <w:pPr>
        <w:pStyle w:val="Bodycopy"/>
        <w:rPr>
          <w:rStyle w:val="italic"/>
        </w:rPr>
      </w:pPr>
      <w:r>
        <w:rPr>
          <w:rStyle w:val="italic"/>
        </w:rPr>
        <w:t xml:space="preserve">Status of Children Act 1974 </w:t>
      </w:r>
    </w:p>
    <w:p w:rsidR="000D6E6A" w:rsidRDefault="000D6E6A">
      <w:pPr>
        <w:pStyle w:val="Bodycopy"/>
        <w:rPr>
          <w:rStyle w:val="italic"/>
        </w:rPr>
      </w:pPr>
      <w:r>
        <w:rPr>
          <w:rStyle w:val="italic"/>
        </w:rPr>
        <w:t xml:space="preserve">Summary Offences Act 1966 </w:t>
      </w:r>
    </w:p>
    <w:p w:rsidR="000D6E6A" w:rsidRDefault="000D6E6A">
      <w:pPr>
        <w:pStyle w:val="Bodycopy"/>
        <w:rPr>
          <w:rStyle w:val="italic"/>
        </w:rPr>
      </w:pPr>
      <w:r>
        <w:rPr>
          <w:rStyle w:val="italic"/>
        </w:rPr>
        <w:t xml:space="preserve">Supreme Court Act 1986 </w:t>
      </w:r>
    </w:p>
    <w:p w:rsidR="000D6E6A" w:rsidRDefault="000D6E6A">
      <w:pPr>
        <w:pStyle w:val="Bodycopy"/>
        <w:rPr>
          <w:rStyle w:val="italic"/>
        </w:rPr>
      </w:pPr>
      <w:r>
        <w:rPr>
          <w:rStyle w:val="italic"/>
        </w:rPr>
        <w:t xml:space="preserve">Surveillance Devices Act 1999 </w:t>
      </w:r>
    </w:p>
    <w:p w:rsidR="000D6E6A" w:rsidRDefault="000D6E6A">
      <w:pPr>
        <w:pStyle w:val="Bodycopy"/>
        <w:rPr>
          <w:rStyle w:val="italic"/>
        </w:rPr>
      </w:pPr>
      <w:r>
        <w:rPr>
          <w:rStyle w:val="italic"/>
        </w:rPr>
        <w:t xml:space="preserve">Telecommunications (Interception) (State Provisions) Act 1988 </w:t>
      </w:r>
    </w:p>
    <w:p w:rsidR="000D6E6A" w:rsidRDefault="000D6E6A">
      <w:pPr>
        <w:pStyle w:val="Bodycopy"/>
        <w:rPr>
          <w:rStyle w:val="italic"/>
        </w:rPr>
      </w:pPr>
      <w:r>
        <w:rPr>
          <w:rStyle w:val="italic"/>
        </w:rPr>
        <w:t xml:space="preserve">Terrorism (Commonwealth Powers) Act 2003 </w:t>
      </w:r>
    </w:p>
    <w:p w:rsidR="000D6E6A" w:rsidRDefault="000D6E6A">
      <w:pPr>
        <w:pStyle w:val="Bodycopy"/>
        <w:rPr>
          <w:rStyle w:val="italic"/>
        </w:rPr>
      </w:pPr>
      <w:r>
        <w:rPr>
          <w:rStyle w:val="italic"/>
        </w:rPr>
        <w:t xml:space="preserve">Terrorism (Community Protection) Act 2003 – Except: </w:t>
      </w:r>
    </w:p>
    <w:p w:rsidR="000D6E6A" w:rsidRDefault="000D6E6A">
      <w:pPr>
        <w:pStyle w:val="BodycopyBulletspaceunder"/>
        <w:rPr>
          <w:rStyle w:val="italic"/>
        </w:rPr>
      </w:pPr>
      <w:r>
        <w:rPr>
          <w:rStyle w:val="italic"/>
        </w:rPr>
        <w:t xml:space="preserve">Part 4 (this Part is administered by the Minister for Police) </w:t>
      </w:r>
    </w:p>
    <w:p w:rsidR="000D6E6A" w:rsidRDefault="000D6E6A">
      <w:pPr>
        <w:pStyle w:val="Bodycopy"/>
        <w:rPr>
          <w:rStyle w:val="italic"/>
        </w:rPr>
      </w:pPr>
      <w:r>
        <w:rPr>
          <w:rStyle w:val="italic"/>
        </w:rPr>
        <w:t>Traditional Owner Settlement Act 2010</w:t>
      </w:r>
    </w:p>
    <w:p w:rsidR="000D6E6A" w:rsidRDefault="000D6E6A">
      <w:pPr>
        <w:pStyle w:val="Bodycopy"/>
        <w:rPr>
          <w:rStyle w:val="italic"/>
        </w:rPr>
      </w:pPr>
      <w:r>
        <w:rPr>
          <w:rStyle w:val="italic"/>
        </w:rPr>
        <w:t xml:space="preserve">Transfer of Land Act 1958 – Except: </w:t>
      </w:r>
    </w:p>
    <w:p w:rsidR="000D6E6A" w:rsidRDefault="000D6E6A">
      <w:pPr>
        <w:pStyle w:val="BodycopyBulletspaceunder"/>
        <w:rPr>
          <w:rStyle w:val="italic"/>
        </w:rPr>
      </w:pPr>
      <w:r>
        <w:rPr>
          <w:rStyle w:val="italic"/>
        </w:rPr>
        <w:t xml:space="preserve">In so far as it relates to the functions of the Registrar of Titles and the management of the Office of Titles (in so far as it relates to those matters, the Act is administered by the Minister for Planning) </w:t>
      </w:r>
    </w:p>
    <w:p w:rsidR="000D6E6A" w:rsidRDefault="000D6E6A">
      <w:pPr>
        <w:pStyle w:val="Bodycopy"/>
        <w:rPr>
          <w:rStyle w:val="italic"/>
        </w:rPr>
      </w:pPr>
      <w:r>
        <w:rPr>
          <w:rStyle w:val="italic"/>
        </w:rPr>
        <w:t xml:space="preserve">Trustee Act 1958 </w:t>
      </w:r>
    </w:p>
    <w:p w:rsidR="000D6E6A" w:rsidRDefault="000D6E6A">
      <w:pPr>
        <w:pStyle w:val="Bodycopy"/>
        <w:rPr>
          <w:rStyle w:val="italic"/>
        </w:rPr>
      </w:pPr>
      <w:r>
        <w:rPr>
          <w:rStyle w:val="italic"/>
        </w:rPr>
        <w:t xml:space="preserve">Trustee Companies Act 1984 – </w:t>
      </w:r>
    </w:p>
    <w:p w:rsidR="000D6E6A" w:rsidRDefault="000D6E6A">
      <w:pPr>
        <w:pStyle w:val="BodycopyBulletspaceunder"/>
        <w:rPr>
          <w:rStyle w:val="italic"/>
        </w:rPr>
      </w:pPr>
      <w:r>
        <w:rPr>
          <w:rStyle w:val="italic"/>
        </w:rPr>
        <w:t xml:space="preserve">The Act is jointly administered with the Treasurer </w:t>
      </w:r>
    </w:p>
    <w:p w:rsidR="000D6E6A" w:rsidRDefault="000D6E6A">
      <w:pPr>
        <w:pStyle w:val="Bodycopy"/>
        <w:rPr>
          <w:rStyle w:val="italic"/>
        </w:rPr>
      </w:pPr>
      <w:r>
        <w:rPr>
          <w:rStyle w:val="italic"/>
        </w:rPr>
        <w:t xml:space="preserve">Unauthorized Documents Act 1958 </w:t>
      </w:r>
    </w:p>
    <w:p w:rsidR="000D6E6A" w:rsidRDefault="000D6E6A">
      <w:pPr>
        <w:pStyle w:val="Bodycopy"/>
        <w:rPr>
          <w:rStyle w:val="italic"/>
        </w:rPr>
      </w:pPr>
      <w:r>
        <w:rPr>
          <w:rStyle w:val="italic"/>
        </w:rPr>
        <w:t xml:space="preserve">Valuation of Land Act 1960 – </w:t>
      </w:r>
    </w:p>
    <w:p w:rsidR="000D6E6A" w:rsidRDefault="000D6E6A">
      <w:pPr>
        <w:pStyle w:val="BodycopyBulletspaceunder"/>
        <w:rPr>
          <w:rStyle w:val="italic"/>
        </w:rPr>
      </w:pPr>
      <w:r>
        <w:rPr>
          <w:rStyle w:val="italic"/>
        </w:rPr>
        <w:lastRenderedPageBreak/>
        <w:t xml:space="preserve">Divisions 1 and 2 of Part III, Divisions 4 and 5 of Part III where they relate to the determination of appeals by a Land Valuation Division of the Victorian Civil and Administrative Tribunal and Part IV in so far as it relates to the administration of the above provisions </w:t>
      </w:r>
    </w:p>
    <w:p w:rsidR="000D6E6A" w:rsidRDefault="000D6E6A">
      <w:pPr>
        <w:pStyle w:val="Bodycopyindent"/>
        <w:rPr>
          <w:rStyle w:val="italic"/>
          <w:i/>
          <w:iCs/>
        </w:rPr>
      </w:pPr>
      <w:r>
        <w:rPr>
          <w:rStyle w:val="italic"/>
          <w:i/>
          <w:iCs/>
        </w:rPr>
        <w:t xml:space="preserve">(The Act is otherwise administered by the Minister for Planning) </w:t>
      </w:r>
    </w:p>
    <w:p w:rsidR="000D6E6A" w:rsidRDefault="000D6E6A">
      <w:pPr>
        <w:pStyle w:val="Bodycopy"/>
        <w:rPr>
          <w:rStyle w:val="italic"/>
        </w:rPr>
      </w:pPr>
      <w:r>
        <w:rPr>
          <w:rStyle w:val="italic"/>
        </w:rPr>
        <w:t>Vexatious Proceedings Act 2014</w:t>
      </w:r>
    </w:p>
    <w:p w:rsidR="000D6E6A" w:rsidRDefault="000D6E6A">
      <w:pPr>
        <w:pStyle w:val="Bodycopy"/>
        <w:rPr>
          <w:rStyle w:val="italic"/>
        </w:rPr>
      </w:pPr>
      <w:r>
        <w:rPr>
          <w:rStyle w:val="italic"/>
        </w:rPr>
        <w:t xml:space="preserve">Victims’ Charter Act 2006 </w:t>
      </w:r>
    </w:p>
    <w:p w:rsidR="000D6E6A" w:rsidRDefault="000D6E6A">
      <w:pPr>
        <w:pStyle w:val="Bodycopy"/>
        <w:rPr>
          <w:rStyle w:val="italic"/>
        </w:rPr>
      </w:pPr>
      <w:r>
        <w:rPr>
          <w:rStyle w:val="italic"/>
        </w:rPr>
        <w:t xml:space="preserve">Victims of Crime Assistance Act 1996 </w:t>
      </w:r>
    </w:p>
    <w:p w:rsidR="000D6E6A" w:rsidRDefault="000D6E6A">
      <w:pPr>
        <w:pStyle w:val="Bodycopy"/>
        <w:rPr>
          <w:rStyle w:val="italic"/>
        </w:rPr>
      </w:pPr>
      <w:r>
        <w:rPr>
          <w:rStyle w:val="italic"/>
        </w:rPr>
        <w:t>Victims of Crime Commissioner Act 2015</w:t>
      </w:r>
    </w:p>
    <w:p w:rsidR="000D6E6A" w:rsidRDefault="000D6E6A">
      <w:pPr>
        <w:pStyle w:val="Bodycopy"/>
        <w:rPr>
          <w:rStyle w:val="italic"/>
        </w:rPr>
      </w:pPr>
      <w:r>
        <w:rPr>
          <w:rStyle w:val="italic"/>
        </w:rPr>
        <w:t>Victoria Law Foundation Act 2009</w:t>
      </w:r>
    </w:p>
    <w:p w:rsidR="000D6E6A" w:rsidRDefault="000D6E6A">
      <w:pPr>
        <w:pStyle w:val="Bodycopy"/>
        <w:rPr>
          <w:rStyle w:val="italic"/>
        </w:rPr>
      </w:pPr>
      <w:r>
        <w:rPr>
          <w:rStyle w:val="italic"/>
        </w:rPr>
        <w:t xml:space="preserve">Victoria Park Land Act 1992 </w:t>
      </w:r>
    </w:p>
    <w:p w:rsidR="000D6E6A" w:rsidRDefault="000D6E6A">
      <w:pPr>
        <w:pStyle w:val="Bodycopy"/>
        <w:rPr>
          <w:rStyle w:val="italic"/>
          <w:spacing w:val="-2"/>
        </w:rPr>
      </w:pPr>
      <w:r>
        <w:rPr>
          <w:rStyle w:val="italic"/>
          <w:spacing w:val="-2"/>
        </w:rPr>
        <w:t xml:space="preserve">Victorian Civil and Administrative Tribunal Act 1998 </w:t>
      </w:r>
    </w:p>
    <w:p w:rsidR="000D6E6A" w:rsidRDefault="000D6E6A">
      <w:pPr>
        <w:pStyle w:val="Bodycopy"/>
        <w:rPr>
          <w:rStyle w:val="italic"/>
        </w:rPr>
      </w:pPr>
      <w:r>
        <w:rPr>
          <w:rStyle w:val="italic"/>
        </w:rPr>
        <w:t>Victorian Institute of Forensic Medicine Act 1985</w:t>
      </w:r>
    </w:p>
    <w:p w:rsidR="000D6E6A" w:rsidRDefault="000D6E6A">
      <w:pPr>
        <w:pStyle w:val="Bodycopy"/>
        <w:rPr>
          <w:rStyle w:val="italic"/>
        </w:rPr>
      </w:pPr>
      <w:r>
        <w:rPr>
          <w:rStyle w:val="italic"/>
        </w:rPr>
        <w:t xml:space="preserve">Victorian Law Reform Commission Act 2000 </w:t>
      </w:r>
    </w:p>
    <w:p w:rsidR="000D6E6A" w:rsidRDefault="000D6E6A">
      <w:pPr>
        <w:pStyle w:val="Bodycopy"/>
        <w:rPr>
          <w:rStyle w:val="italic"/>
        </w:rPr>
      </w:pPr>
      <w:r>
        <w:rPr>
          <w:rStyle w:val="italic"/>
        </w:rPr>
        <w:t xml:space="preserve">Vital State Projects Act 1976 – </w:t>
      </w:r>
    </w:p>
    <w:p w:rsidR="000D6E6A" w:rsidRDefault="000D6E6A">
      <w:pPr>
        <w:pStyle w:val="BodycopyBulletspaceunder"/>
        <w:rPr>
          <w:rStyle w:val="italic"/>
        </w:rPr>
      </w:pPr>
      <w:r>
        <w:rPr>
          <w:rStyle w:val="italic"/>
        </w:rPr>
        <w:t xml:space="preserve">Sections 5-16 </w:t>
      </w:r>
    </w:p>
    <w:p w:rsidR="000D6E6A" w:rsidRDefault="000D6E6A">
      <w:pPr>
        <w:pStyle w:val="Bodycopyindent"/>
        <w:rPr>
          <w:rStyle w:val="italic"/>
          <w:i/>
          <w:iCs/>
        </w:rPr>
      </w:pPr>
      <w:r>
        <w:rPr>
          <w:rStyle w:val="italic"/>
          <w:i/>
          <w:iCs/>
        </w:rPr>
        <w:t xml:space="preserve">(The Act is otherwise administered by the Premier) </w:t>
      </w:r>
    </w:p>
    <w:p w:rsidR="000D6E6A" w:rsidRDefault="000D6E6A">
      <w:pPr>
        <w:pStyle w:val="Bodycopy"/>
        <w:rPr>
          <w:rStyle w:val="italic"/>
        </w:rPr>
      </w:pPr>
      <w:r>
        <w:rPr>
          <w:rStyle w:val="italic"/>
        </w:rPr>
        <w:t xml:space="preserve">Wills Act 1997 </w:t>
      </w:r>
    </w:p>
    <w:p w:rsidR="000D6E6A" w:rsidRDefault="000D6E6A">
      <w:pPr>
        <w:pStyle w:val="Bodycopy"/>
        <w:rPr>
          <w:rStyle w:val="italic"/>
        </w:rPr>
      </w:pPr>
      <w:r>
        <w:rPr>
          <w:rStyle w:val="italic"/>
        </w:rPr>
        <w:t xml:space="preserve">Working with Children Act 2005 </w:t>
      </w:r>
    </w:p>
    <w:p w:rsidR="000D6E6A" w:rsidRDefault="000D6E6A">
      <w:pPr>
        <w:pStyle w:val="Bodycopy"/>
        <w:rPr>
          <w:rStyle w:val="italic"/>
        </w:rPr>
      </w:pPr>
      <w:r>
        <w:rPr>
          <w:rStyle w:val="italic"/>
        </w:rPr>
        <w:t xml:space="preserve">Workplace Injury Rehabilitation and Compensation Act 2013 – </w:t>
      </w:r>
    </w:p>
    <w:p w:rsidR="000D6E6A" w:rsidRDefault="000D6E6A">
      <w:pPr>
        <w:pStyle w:val="BodycopyBulletspaceunder"/>
        <w:rPr>
          <w:rStyle w:val="italic"/>
        </w:rPr>
      </w:pPr>
      <w:r>
        <w:rPr>
          <w:rStyle w:val="italic"/>
        </w:rPr>
        <w:t>Division 1 of Part 6</w:t>
      </w:r>
    </w:p>
    <w:p w:rsidR="000D6E6A" w:rsidRDefault="000D6E6A">
      <w:pPr>
        <w:pStyle w:val="Bodycopyindent"/>
        <w:rPr>
          <w:rStyle w:val="italic"/>
          <w:i/>
          <w:iCs/>
        </w:rPr>
      </w:pPr>
      <w:r>
        <w:rPr>
          <w:rStyle w:val="italic"/>
          <w:i/>
          <w:iCs/>
        </w:rPr>
        <w:t>(The Act is otherwise administered by the Minister for Finance)</w:t>
      </w:r>
    </w:p>
    <w:p w:rsidR="000D6E6A" w:rsidRDefault="000D6E6A">
      <w:pPr>
        <w:pStyle w:val="Bodycopy"/>
        <w:rPr>
          <w:rStyle w:val="italic"/>
        </w:rPr>
      </w:pPr>
      <w:r>
        <w:rPr>
          <w:rStyle w:val="italic"/>
        </w:rPr>
        <w:t>Wrongs Act 1958</w:t>
      </w:r>
    </w:p>
    <w:p w:rsidR="000D6E6A" w:rsidRDefault="000D6E6A">
      <w:pPr>
        <w:pStyle w:val="H2"/>
      </w:pPr>
      <w:r>
        <w:t>Minister for Consumer Affairs, Gaming and Liquor Regulation</w:t>
      </w:r>
    </w:p>
    <w:p w:rsidR="000D6E6A" w:rsidRDefault="000D6E6A">
      <w:pPr>
        <w:pStyle w:val="Bodycopy"/>
        <w:rPr>
          <w:rStyle w:val="italic"/>
        </w:rPr>
      </w:pPr>
      <w:r>
        <w:rPr>
          <w:rStyle w:val="italic"/>
        </w:rPr>
        <w:t>Associations Incorporation Reform Act 2012</w:t>
      </w:r>
    </w:p>
    <w:p w:rsidR="000D6E6A" w:rsidRDefault="000D6E6A">
      <w:pPr>
        <w:pStyle w:val="Bodycopy"/>
        <w:rPr>
          <w:rStyle w:val="italic"/>
        </w:rPr>
      </w:pPr>
      <w:r>
        <w:rPr>
          <w:rStyle w:val="italic"/>
        </w:rPr>
        <w:t xml:space="preserve">Australian Consumer Law and </w:t>
      </w:r>
      <w:proofErr w:type="gramStart"/>
      <w:r>
        <w:rPr>
          <w:rStyle w:val="italic"/>
        </w:rPr>
        <w:t>Fair Trading</w:t>
      </w:r>
      <w:proofErr w:type="gramEnd"/>
      <w:r>
        <w:rPr>
          <w:rStyle w:val="italic"/>
        </w:rPr>
        <w:t xml:space="preserve"> Act 2012</w:t>
      </w:r>
    </w:p>
    <w:p w:rsidR="000D6E6A" w:rsidRDefault="000D6E6A">
      <w:pPr>
        <w:pStyle w:val="Bodycopy"/>
        <w:rPr>
          <w:rStyle w:val="italic"/>
        </w:rPr>
      </w:pPr>
      <w:r>
        <w:rPr>
          <w:rStyle w:val="italic"/>
        </w:rPr>
        <w:t xml:space="preserve">Business Licensing Authority Act 1998 </w:t>
      </w:r>
    </w:p>
    <w:p w:rsidR="000D6E6A" w:rsidRDefault="000D6E6A">
      <w:pPr>
        <w:pStyle w:val="Bodycopy"/>
        <w:rPr>
          <w:rStyle w:val="italic"/>
        </w:rPr>
      </w:pPr>
      <w:r>
        <w:rPr>
          <w:rStyle w:val="italic"/>
        </w:rPr>
        <w:t>Business Names (Commonwealth Powers) Act 2011</w:t>
      </w:r>
    </w:p>
    <w:p w:rsidR="000D6E6A" w:rsidRDefault="000D6E6A">
      <w:pPr>
        <w:pStyle w:val="Bodycopy"/>
        <w:rPr>
          <w:rStyle w:val="italic"/>
        </w:rPr>
      </w:pPr>
      <w:r>
        <w:rPr>
          <w:rStyle w:val="italic"/>
        </w:rPr>
        <w:t xml:space="preserve">Casino Control Act 1991 – Except: </w:t>
      </w:r>
    </w:p>
    <w:p w:rsidR="000D6E6A" w:rsidRDefault="000D6E6A">
      <w:pPr>
        <w:pStyle w:val="BodycopyBullet"/>
        <w:rPr>
          <w:rStyle w:val="italic"/>
        </w:rPr>
      </w:pPr>
      <w:r>
        <w:rPr>
          <w:rStyle w:val="italic"/>
        </w:rPr>
        <w:t>Sections 128H-128L, except section 128</w:t>
      </w:r>
      <w:proofErr w:type="gramStart"/>
      <w:r>
        <w:rPr>
          <w:rStyle w:val="italic"/>
        </w:rPr>
        <w:t>K(</w:t>
      </w:r>
      <w:proofErr w:type="gramEnd"/>
      <w:r>
        <w:rPr>
          <w:rStyle w:val="italic"/>
        </w:rPr>
        <w:t xml:space="preserve">2) (these provisions are administered by the Minister for Planning) </w:t>
      </w:r>
    </w:p>
    <w:p w:rsidR="000D6E6A" w:rsidRDefault="000D6E6A">
      <w:pPr>
        <w:pStyle w:val="BodycopyBulletspaceunder"/>
        <w:rPr>
          <w:rStyle w:val="italic"/>
        </w:rPr>
      </w:pPr>
      <w:r>
        <w:rPr>
          <w:rStyle w:val="italic"/>
        </w:rPr>
        <w:t>Section 128</w:t>
      </w:r>
      <w:proofErr w:type="gramStart"/>
      <w:r>
        <w:rPr>
          <w:rStyle w:val="italic"/>
        </w:rPr>
        <w:t>K(</w:t>
      </w:r>
      <w:proofErr w:type="gramEnd"/>
      <w:r>
        <w:rPr>
          <w:rStyle w:val="italic"/>
        </w:rPr>
        <w:t xml:space="preserve">2) (this section is administered by the Minister for Finance) </w:t>
      </w:r>
    </w:p>
    <w:p w:rsidR="000D6E6A" w:rsidRDefault="000D6E6A">
      <w:pPr>
        <w:pStyle w:val="Bodycopy"/>
        <w:rPr>
          <w:rStyle w:val="italic"/>
        </w:rPr>
      </w:pPr>
      <w:r>
        <w:rPr>
          <w:rStyle w:val="italic"/>
        </w:rPr>
        <w:t xml:space="preserve">Casino (Management Agreement) Act 1993 </w:t>
      </w:r>
    </w:p>
    <w:p w:rsidR="000D6E6A" w:rsidRDefault="000D6E6A">
      <w:pPr>
        <w:pStyle w:val="Bodycopy"/>
        <w:rPr>
          <w:rStyle w:val="italic"/>
        </w:rPr>
      </w:pPr>
      <w:r>
        <w:rPr>
          <w:rStyle w:val="italic"/>
        </w:rPr>
        <w:t xml:space="preserve">Chattel Securities Act 1987 </w:t>
      </w:r>
    </w:p>
    <w:p w:rsidR="000D6E6A" w:rsidRDefault="000D6E6A">
      <w:pPr>
        <w:pStyle w:val="Bodycopy"/>
        <w:rPr>
          <w:rStyle w:val="italic"/>
        </w:rPr>
      </w:pPr>
      <w:r>
        <w:rPr>
          <w:rStyle w:val="italic"/>
        </w:rPr>
        <w:t>Company Titles (Home Units) Act 2013</w:t>
      </w:r>
    </w:p>
    <w:p w:rsidR="000D6E6A" w:rsidRDefault="000D6E6A">
      <w:pPr>
        <w:pStyle w:val="Bodycopy"/>
        <w:rPr>
          <w:rStyle w:val="italic"/>
        </w:rPr>
      </w:pPr>
      <w:r>
        <w:rPr>
          <w:rStyle w:val="italic"/>
        </w:rPr>
        <w:t xml:space="preserve">Consumer Credit (Victoria) Act 1995 </w:t>
      </w:r>
    </w:p>
    <w:p w:rsidR="000D6E6A" w:rsidRDefault="000D6E6A">
      <w:pPr>
        <w:pStyle w:val="Bodycopy"/>
        <w:rPr>
          <w:rStyle w:val="italic"/>
        </w:rPr>
      </w:pPr>
      <w:r>
        <w:rPr>
          <w:rStyle w:val="italic"/>
        </w:rPr>
        <w:t xml:space="preserve">Conveyancers Act 2006 </w:t>
      </w:r>
    </w:p>
    <w:p w:rsidR="000D6E6A" w:rsidRDefault="000D6E6A">
      <w:pPr>
        <w:pStyle w:val="Bodycopy"/>
        <w:rPr>
          <w:rStyle w:val="italic"/>
        </w:rPr>
      </w:pPr>
      <w:r>
        <w:rPr>
          <w:rStyle w:val="italic"/>
        </w:rPr>
        <w:t>Co-operatives National Law Application Act 2013</w:t>
      </w:r>
    </w:p>
    <w:p w:rsidR="000D6E6A" w:rsidRDefault="000D6E6A">
      <w:pPr>
        <w:pStyle w:val="Bodycopy"/>
        <w:rPr>
          <w:rStyle w:val="italic"/>
        </w:rPr>
      </w:pPr>
      <w:r>
        <w:rPr>
          <w:rStyle w:val="italic"/>
        </w:rPr>
        <w:t>Co-operatives National Law (Victoria)</w:t>
      </w:r>
    </w:p>
    <w:p w:rsidR="000D6E6A" w:rsidRDefault="000D6E6A">
      <w:pPr>
        <w:pStyle w:val="Bodycopy"/>
        <w:rPr>
          <w:rStyle w:val="italic"/>
        </w:rPr>
      </w:pPr>
      <w:r>
        <w:rPr>
          <w:rStyle w:val="italic"/>
        </w:rPr>
        <w:t xml:space="preserve">Credit Act 1984 </w:t>
      </w:r>
    </w:p>
    <w:p w:rsidR="000D6E6A" w:rsidRDefault="000D6E6A">
      <w:pPr>
        <w:pStyle w:val="Bodycopy"/>
        <w:rPr>
          <w:rStyle w:val="italic"/>
        </w:rPr>
      </w:pPr>
      <w:r>
        <w:rPr>
          <w:rStyle w:val="italic"/>
        </w:rPr>
        <w:t xml:space="preserve">Credit (Administration) Act 1984 </w:t>
      </w:r>
    </w:p>
    <w:p w:rsidR="000D6E6A" w:rsidRDefault="000D6E6A">
      <w:pPr>
        <w:pStyle w:val="Bodycopy"/>
        <w:rPr>
          <w:rStyle w:val="italic"/>
        </w:rPr>
      </w:pPr>
      <w:r>
        <w:rPr>
          <w:rStyle w:val="italic"/>
        </w:rPr>
        <w:t>Credit (Commonwealth Powers) Act 2010</w:t>
      </w:r>
    </w:p>
    <w:p w:rsidR="000D6E6A" w:rsidRDefault="000D6E6A">
      <w:pPr>
        <w:pStyle w:val="Bodycopy"/>
        <w:rPr>
          <w:rStyle w:val="italic"/>
        </w:rPr>
      </w:pPr>
      <w:r>
        <w:rPr>
          <w:rStyle w:val="italic"/>
        </w:rPr>
        <w:t xml:space="preserve">Domestic Building Contracts Act 1995 – Except: </w:t>
      </w:r>
    </w:p>
    <w:p w:rsidR="000D6E6A" w:rsidRDefault="000D6E6A">
      <w:pPr>
        <w:pStyle w:val="BodycopyBulletspaceunder"/>
        <w:rPr>
          <w:rStyle w:val="italic"/>
        </w:rPr>
      </w:pPr>
      <w:r>
        <w:rPr>
          <w:rStyle w:val="italic"/>
        </w:rPr>
        <w:t xml:space="preserve">Part 5 (this Part is administered by the Attorney-General) </w:t>
      </w:r>
    </w:p>
    <w:p w:rsidR="000D6E6A" w:rsidRDefault="000D6E6A">
      <w:pPr>
        <w:pStyle w:val="Bodycopy"/>
        <w:rPr>
          <w:rStyle w:val="italic"/>
        </w:rPr>
      </w:pPr>
      <w:r>
        <w:rPr>
          <w:rStyle w:val="italic"/>
        </w:rPr>
        <w:t xml:space="preserve">Estate Agents Act 1980 </w:t>
      </w:r>
    </w:p>
    <w:p w:rsidR="000D6E6A" w:rsidRDefault="000D6E6A">
      <w:pPr>
        <w:pStyle w:val="Bodycopy"/>
        <w:rPr>
          <w:rStyle w:val="italic"/>
        </w:rPr>
      </w:pPr>
      <w:r>
        <w:rPr>
          <w:rStyle w:val="italic"/>
        </w:rPr>
        <w:t xml:space="preserve">Fundraising Act 1998 </w:t>
      </w:r>
    </w:p>
    <w:p w:rsidR="000D6E6A" w:rsidRDefault="000D6E6A">
      <w:pPr>
        <w:pStyle w:val="Bodycopy"/>
        <w:rPr>
          <w:rStyle w:val="italic"/>
        </w:rPr>
      </w:pPr>
      <w:r>
        <w:rPr>
          <w:rStyle w:val="italic"/>
        </w:rPr>
        <w:t xml:space="preserve">Funerals Act 2006 </w:t>
      </w:r>
    </w:p>
    <w:p w:rsidR="000D6E6A" w:rsidRDefault="000D6E6A">
      <w:pPr>
        <w:pStyle w:val="Bodycopy"/>
        <w:rPr>
          <w:rStyle w:val="italic"/>
        </w:rPr>
      </w:pPr>
      <w:r>
        <w:rPr>
          <w:rStyle w:val="italic"/>
        </w:rPr>
        <w:t>Gambling Regulation Act 2003 – Except:</w:t>
      </w:r>
    </w:p>
    <w:p w:rsidR="000D6E6A" w:rsidRDefault="000D6E6A">
      <w:pPr>
        <w:pStyle w:val="BodycopyBullet"/>
        <w:rPr>
          <w:rStyle w:val="italic"/>
        </w:rPr>
      </w:pPr>
      <w:r>
        <w:rPr>
          <w:rStyle w:val="italic"/>
        </w:rPr>
        <w:lastRenderedPageBreak/>
        <w:t xml:space="preserve">Section 2.2.6 (this section is administered by the Minister for Racing) </w:t>
      </w:r>
    </w:p>
    <w:p w:rsidR="000D6E6A" w:rsidRDefault="000D6E6A">
      <w:pPr>
        <w:pStyle w:val="BodycopyBullet"/>
        <w:rPr>
          <w:rStyle w:val="italic"/>
        </w:rPr>
      </w:pPr>
      <w:r>
        <w:rPr>
          <w:rStyle w:val="italic"/>
        </w:rPr>
        <w:t xml:space="preserve">Section 3.4.33 (this section is administered by the Treasurer) </w:t>
      </w:r>
    </w:p>
    <w:p w:rsidR="000D6E6A" w:rsidRDefault="000D6E6A">
      <w:pPr>
        <w:pStyle w:val="BodycopyBullet"/>
        <w:rPr>
          <w:rStyle w:val="italic"/>
        </w:rPr>
      </w:pPr>
      <w:r>
        <w:rPr>
          <w:rStyle w:val="italic"/>
        </w:rPr>
        <w:t xml:space="preserve">Division 1A and Division 2 of Part 2 of Chapter 4 (these Divisions are jointly administered with the Minister for Racing) </w:t>
      </w:r>
    </w:p>
    <w:p w:rsidR="000D6E6A" w:rsidRDefault="000D6E6A">
      <w:pPr>
        <w:pStyle w:val="BodycopyBullet"/>
        <w:rPr>
          <w:rStyle w:val="italic"/>
        </w:rPr>
      </w:pPr>
      <w:r>
        <w:rPr>
          <w:rStyle w:val="italic"/>
        </w:rPr>
        <w:t xml:space="preserve">Section 4.3.12 (this section is administered by the Treasurer) </w:t>
      </w:r>
    </w:p>
    <w:p w:rsidR="000D6E6A" w:rsidRDefault="000D6E6A">
      <w:pPr>
        <w:pStyle w:val="BodycopyBullet"/>
        <w:rPr>
          <w:rStyle w:val="italic"/>
        </w:rPr>
      </w:pPr>
      <w:r>
        <w:rPr>
          <w:rStyle w:val="italic"/>
        </w:rPr>
        <w:t xml:space="preserve">Part 5 of Chapter 4 (this Part is jointly administered with the Minister for Racing) </w:t>
      </w:r>
    </w:p>
    <w:p w:rsidR="000D6E6A" w:rsidRDefault="000D6E6A">
      <w:pPr>
        <w:pStyle w:val="BodycopyBulletspaceunder"/>
        <w:rPr>
          <w:rStyle w:val="italic"/>
        </w:rPr>
      </w:pPr>
      <w:r>
        <w:rPr>
          <w:rStyle w:val="italic"/>
        </w:rPr>
        <w:t xml:space="preserve">Division 1 of Part 3 of Chapter 10 (this Division is administered by the Treasurer) </w:t>
      </w:r>
    </w:p>
    <w:p w:rsidR="000D6E6A" w:rsidRDefault="000D6E6A">
      <w:pPr>
        <w:pStyle w:val="Bodycopy"/>
        <w:rPr>
          <w:rStyle w:val="italic"/>
        </w:rPr>
      </w:pPr>
      <w:r>
        <w:rPr>
          <w:rStyle w:val="italic"/>
        </w:rPr>
        <w:t xml:space="preserve">Goods Act 1958 </w:t>
      </w:r>
    </w:p>
    <w:p w:rsidR="000D6E6A" w:rsidRDefault="000D6E6A">
      <w:pPr>
        <w:pStyle w:val="Bodycopy"/>
        <w:rPr>
          <w:rStyle w:val="italic"/>
        </w:rPr>
      </w:pPr>
      <w:r>
        <w:rPr>
          <w:rStyle w:val="italic"/>
        </w:rPr>
        <w:t xml:space="preserve">Liquor Control Reform Act 1998 </w:t>
      </w:r>
    </w:p>
    <w:p w:rsidR="000D6E6A" w:rsidRDefault="000D6E6A">
      <w:pPr>
        <w:pStyle w:val="Bodycopy"/>
        <w:rPr>
          <w:rStyle w:val="italic"/>
        </w:rPr>
      </w:pPr>
      <w:r>
        <w:rPr>
          <w:rStyle w:val="italic"/>
        </w:rPr>
        <w:t xml:space="preserve">Motor Car Traders Act 1986 </w:t>
      </w:r>
    </w:p>
    <w:p w:rsidR="000D6E6A" w:rsidRDefault="000D6E6A">
      <w:pPr>
        <w:pStyle w:val="Bodycopy"/>
        <w:rPr>
          <w:rStyle w:val="italic"/>
        </w:rPr>
      </w:pPr>
      <w:r>
        <w:rPr>
          <w:rStyle w:val="italic"/>
        </w:rPr>
        <w:t xml:space="preserve">Owners Corporations Act 2006 </w:t>
      </w:r>
    </w:p>
    <w:p w:rsidR="000D6E6A" w:rsidRDefault="000D6E6A">
      <w:pPr>
        <w:pStyle w:val="Bodycopy"/>
        <w:rPr>
          <w:rStyle w:val="italic"/>
        </w:rPr>
      </w:pPr>
      <w:r>
        <w:rPr>
          <w:rStyle w:val="italic"/>
        </w:rPr>
        <w:t xml:space="preserve">Partnership Act 1958 </w:t>
      </w:r>
    </w:p>
    <w:p w:rsidR="000D6E6A" w:rsidRDefault="000D6E6A">
      <w:pPr>
        <w:pStyle w:val="Bodycopy"/>
        <w:rPr>
          <w:rStyle w:val="italic"/>
        </w:rPr>
      </w:pPr>
      <w:r>
        <w:rPr>
          <w:rStyle w:val="italic"/>
        </w:rPr>
        <w:t>Residential Tenancies Act 1997 –</w:t>
      </w:r>
    </w:p>
    <w:p w:rsidR="000D6E6A" w:rsidRDefault="000D6E6A">
      <w:pPr>
        <w:pStyle w:val="BodycopyBullet"/>
        <w:rPr>
          <w:rStyle w:val="italic"/>
        </w:rPr>
      </w:pPr>
      <w:r>
        <w:rPr>
          <w:rStyle w:val="italic"/>
        </w:rPr>
        <w:t xml:space="preserve">Sections 23A-25, 27, 32, 33, 45-48, 74-77, 82, 90, 91, 91A, 102, 102A, 103, 104(1), 104(4), 104(5), 104(6), 105(2), 105(2A), 105(3), 124, 128, 130-134, 141-142B, 142D-212, 213AA-215, 230, 232-234, 241, 277, 289A, 291-327, 329-333, 335-339, 341, 343-366, 373-376, 385, 388, 388A, 390, 390A, 395-398, 399A-439M, 480, 486-499, 501-504, 505A-510C and 511 </w:t>
      </w:r>
    </w:p>
    <w:p w:rsidR="000D6E6A" w:rsidRDefault="000D6E6A">
      <w:pPr>
        <w:pStyle w:val="BodycopyBulletspaceunder"/>
        <w:rPr>
          <w:rStyle w:val="italic"/>
        </w:rPr>
      </w:pPr>
      <w:r>
        <w:rPr>
          <w:rStyle w:val="italic"/>
        </w:rPr>
        <w:t xml:space="preserve">Section 66(1) (this section is jointly administered with the Minister for Housing, Disability and Ageing) </w:t>
      </w:r>
    </w:p>
    <w:p w:rsidR="000D6E6A" w:rsidRDefault="000D6E6A">
      <w:pPr>
        <w:pStyle w:val="Bodycopyindent"/>
        <w:rPr>
          <w:rStyle w:val="italic"/>
          <w:i/>
          <w:iCs/>
        </w:rPr>
      </w:pPr>
      <w:r>
        <w:rPr>
          <w:rStyle w:val="italic"/>
          <w:i/>
          <w:iCs/>
        </w:rPr>
        <w:t>(The Act is otherwise administered by the Attorney-General, the Minister for Housing, Disability and Ageing and the Minister for Planning)</w:t>
      </w:r>
    </w:p>
    <w:p w:rsidR="000D6E6A" w:rsidRDefault="000D6E6A">
      <w:pPr>
        <w:pStyle w:val="Bodycopy"/>
        <w:rPr>
          <w:rStyle w:val="italic"/>
        </w:rPr>
      </w:pPr>
      <w:r>
        <w:rPr>
          <w:rStyle w:val="italic"/>
        </w:rPr>
        <w:t xml:space="preserve">Retirement Villages Act 1986 </w:t>
      </w:r>
    </w:p>
    <w:p w:rsidR="000D6E6A" w:rsidRDefault="000D6E6A">
      <w:pPr>
        <w:pStyle w:val="Bodycopy"/>
        <w:rPr>
          <w:rStyle w:val="italic"/>
        </w:rPr>
      </w:pPr>
      <w:r>
        <w:rPr>
          <w:rStyle w:val="italic"/>
        </w:rPr>
        <w:t>Rooming House Operators Act 2016</w:t>
      </w:r>
    </w:p>
    <w:p w:rsidR="000D6E6A" w:rsidRDefault="000D6E6A">
      <w:pPr>
        <w:pStyle w:val="Bodycopy"/>
        <w:rPr>
          <w:rStyle w:val="italic"/>
        </w:rPr>
      </w:pPr>
      <w:r>
        <w:rPr>
          <w:rStyle w:val="italic"/>
        </w:rPr>
        <w:t xml:space="preserve">Sale of Land Act 1962 </w:t>
      </w:r>
    </w:p>
    <w:p w:rsidR="000D6E6A" w:rsidRDefault="000D6E6A">
      <w:pPr>
        <w:pStyle w:val="Bodycopy"/>
        <w:rPr>
          <w:rStyle w:val="italic"/>
        </w:rPr>
      </w:pPr>
      <w:r>
        <w:rPr>
          <w:rStyle w:val="italic"/>
        </w:rPr>
        <w:t xml:space="preserve">Second-Hand Dealers and Pawnbrokers Act 1989 </w:t>
      </w:r>
    </w:p>
    <w:p w:rsidR="000D6E6A" w:rsidRDefault="000D6E6A">
      <w:pPr>
        <w:pStyle w:val="Bodycopy"/>
        <w:rPr>
          <w:rStyle w:val="italic"/>
        </w:rPr>
      </w:pPr>
      <w:r>
        <w:rPr>
          <w:rStyle w:val="italic"/>
        </w:rPr>
        <w:t xml:space="preserve">Sex Work Act 1994 </w:t>
      </w:r>
    </w:p>
    <w:p w:rsidR="000D6E6A" w:rsidRDefault="000D6E6A">
      <w:pPr>
        <w:pStyle w:val="Bodycopy"/>
        <w:rPr>
          <w:rStyle w:val="italic"/>
        </w:rPr>
      </w:pPr>
      <w:r>
        <w:rPr>
          <w:rStyle w:val="italic"/>
        </w:rPr>
        <w:t xml:space="preserve">Subdivision Act 1988 – </w:t>
      </w:r>
    </w:p>
    <w:p w:rsidR="000D6E6A" w:rsidRDefault="000D6E6A">
      <w:pPr>
        <w:pStyle w:val="BodycopyBullet"/>
        <w:rPr>
          <w:rStyle w:val="italic"/>
        </w:rPr>
      </w:pPr>
      <w:r>
        <w:rPr>
          <w:rStyle w:val="italic"/>
        </w:rPr>
        <w:t xml:space="preserve">Part 5 </w:t>
      </w:r>
    </w:p>
    <w:p w:rsidR="000D6E6A" w:rsidRDefault="000D6E6A">
      <w:pPr>
        <w:pStyle w:val="BodycopyBulletspaceunder"/>
        <w:rPr>
          <w:rStyle w:val="italic"/>
        </w:rPr>
      </w:pPr>
      <w:r>
        <w:rPr>
          <w:rStyle w:val="italic"/>
        </w:rPr>
        <w:t xml:space="preserve">Section 43 (in so far as it relates to Part 5) </w:t>
      </w:r>
    </w:p>
    <w:p w:rsidR="000D6E6A" w:rsidRDefault="000D6E6A">
      <w:pPr>
        <w:pStyle w:val="Bodycopyindent"/>
        <w:rPr>
          <w:rStyle w:val="italic"/>
          <w:i/>
          <w:iCs/>
        </w:rPr>
      </w:pPr>
      <w:r>
        <w:rPr>
          <w:rStyle w:val="italic"/>
          <w:i/>
          <w:iCs/>
        </w:rPr>
        <w:t xml:space="preserve">(The Act is otherwise administered by the Minister for Planning) </w:t>
      </w:r>
    </w:p>
    <w:p w:rsidR="000D6E6A" w:rsidRDefault="000D6E6A">
      <w:pPr>
        <w:pStyle w:val="Bodycopy"/>
        <w:rPr>
          <w:rStyle w:val="italic"/>
        </w:rPr>
      </w:pPr>
      <w:r>
        <w:rPr>
          <w:rStyle w:val="italic"/>
        </w:rPr>
        <w:t>Travel Agents Repeal Act 2014</w:t>
      </w:r>
    </w:p>
    <w:p w:rsidR="000D6E6A" w:rsidRDefault="000D6E6A">
      <w:pPr>
        <w:pStyle w:val="Bodycopy"/>
        <w:rPr>
          <w:rStyle w:val="italic"/>
        </w:rPr>
      </w:pPr>
      <w:r>
        <w:rPr>
          <w:rStyle w:val="italic"/>
        </w:rPr>
        <w:t>Veterans Act 2005 –</w:t>
      </w:r>
    </w:p>
    <w:p w:rsidR="000D6E6A" w:rsidRDefault="000D6E6A">
      <w:pPr>
        <w:pStyle w:val="BodycopyBulletspaceunder"/>
        <w:rPr>
          <w:rStyle w:val="italic"/>
        </w:rPr>
      </w:pPr>
      <w:r>
        <w:rPr>
          <w:rStyle w:val="italic"/>
        </w:rPr>
        <w:t xml:space="preserve">Part 4 </w:t>
      </w:r>
    </w:p>
    <w:p w:rsidR="000D6E6A" w:rsidRDefault="000D6E6A">
      <w:pPr>
        <w:pStyle w:val="Bodycopyindent"/>
        <w:rPr>
          <w:rStyle w:val="italic"/>
          <w:i/>
          <w:iCs/>
        </w:rPr>
      </w:pPr>
      <w:r>
        <w:rPr>
          <w:rStyle w:val="italic"/>
          <w:i/>
          <w:iCs/>
        </w:rPr>
        <w:t>(The Act is otherwise administered by the Minister for Veterans)</w:t>
      </w:r>
    </w:p>
    <w:p w:rsidR="000D6E6A" w:rsidRDefault="000D6E6A">
      <w:pPr>
        <w:pStyle w:val="Bodycopy"/>
        <w:rPr>
          <w:rStyle w:val="italic"/>
        </w:rPr>
      </w:pPr>
      <w:r>
        <w:rPr>
          <w:rStyle w:val="italic"/>
        </w:rPr>
        <w:t>Victorian Commission for Gambling and Liquor Regulation Act 2011</w:t>
      </w:r>
    </w:p>
    <w:p w:rsidR="000D6E6A" w:rsidRDefault="000D6E6A">
      <w:pPr>
        <w:pStyle w:val="Bodycopy"/>
        <w:rPr>
          <w:rStyle w:val="italic"/>
        </w:rPr>
      </w:pPr>
      <w:r>
        <w:rPr>
          <w:rStyle w:val="italic"/>
        </w:rPr>
        <w:t>Victorian Data Sharing Act 2017</w:t>
      </w:r>
    </w:p>
    <w:p w:rsidR="000D6E6A" w:rsidRDefault="000D6E6A">
      <w:pPr>
        <w:pStyle w:val="Bodycopy"/>
        <w:rPr>
          <w:rStyle w:val="italic"/>
        </w:rPr>
      </w:pPr>
      <w:r>
        <w:rPr>
          <w:rStyle w:val="italic"/>
        </w:rPr>
        <w:t>Victorian Responsible Gambling Foundation Act 2011</w:t>
      </w:r>
    </w:p>
    <w:p w:rsidR="000D6E6A" w:rsidRDefault="000D6E6A">
      <w:pPr>
        <w:pStyle w:val="Bodycopy"/>
        <w:rPr>
          <w:rStyle w:val="italic"/>
        </w:rPr>
      </w:pPr>
      <w:r>
        <w:rPr>
          <w:rStyle w:val="italic"/>
        </w:rPr>
        <w:t xml:space="preserve">Warehousemen’s Liens Act 1958 </w:t>
      </w:r>
    </w:p>
    <w:p w:rsidR="000D6E6A" w:rsidRDefault="000D6E6A">
      <w:pPr>
        <w:pStyle w:val="H2"/>
      </w:pPr>
      <w:r>
        <w:t>Minister for Corrections</w:t>
      </w:r>
    </w:p>
    <w:p w:rsidR="000D6E6A" w:rsidRDefault="000D6E6A">
      <w:pPr>
        <w:pStyle w:val="Bodycopy"/>
        <w:rPr>
          <w:rStyle w:val="italic"/>
        </w:rPr>
      </w:pPr>
      <w:r>
        <w:rPr>
          <w:rStyle w:val="italic"/>
        </w:rPr>
        <w:t>Community Based Sentences (Transfer) Act 2012</w:t>
      </w:r>
    </w:p>
    <w:p w:rsidR="000D6E6A" w:rsidRDefault="000D6E6A">
      <w:pPr>
        <w:pStyle w:val="Bodycopy"/>
        <w:rPr>
          <w:rStyle w:val="italic"/>
        </w:rPr>
      </w:pPr>
      <w:r>
        <w:rPr>
          <w:rStyle w:val="italic"/>
        </w:rPr>
        <w:t xml:space="preserve">Corrections Act 1986 </w:t>
      </w:r>
    </w:p>
    <w:p w:rsidR="000D6E6A" w:rsidRDefault="000D6E6A">
      <w:pPr>
        <w:pStyle w:val="Bodycopy"/>
        <w:rPr>
          <w:rStyle w:val="italic"/>
        </w:rPr>
      </w:pPr>
      <w:r>
        <w:rPr>
          <w:rStyle w:val="italic"/>
        </w:rPr>
        <w:t>Crown Land (Reserves) Act 1978 –</w:t>
      </w:r>
    </w:p>
    <w:p w:rsidR="000D6E6A" w:rsidRDefault="000D6E6A">
      <w:pPr>
        <w:pStyle w:val="BodycopyBulletspaceunder"/>
        <w:rPr>
          <w:rStyle w:val="italic"/>
        </w:rPr>
      </w:pPr>
      <w:r>
        <w:rPr>
          <w:rStyle w:val="italic"/>
        </w:rPr>
        <w:t>Sections 17B, 17BAA, 17BA, 17CA, 17D, 17DAA, 18A and 18B, in so far as they relate to the exercise of powers in relation to the land shown as Crown Allotment 15 on Certified Plan 009176 and Crown Allotment 16 on Certified Plan 1, Section B1, Parish of Ararat, lodged with the Central Plan Office</w:t>
      </w:r>
    </w:p>
    <w:p w:rsidR="000D6E6A" w:rsidRDefault="000D6E6A">
      <w:pPr>
        <w:pStyle w:val="Bodycopyindent"/>
        <w:rPr>
          <w:rStyle w:val="italic"/>
          <w:i/>
          <w:iCs/>
        </w:rPr>
      </w:pPr>
      <w:r>
        <w:rPr>
          <w:rStyle w:val="italic"/>
          <w:i/>
          <w:iCs/>
        </w:rPr>
        <w:t>(The Act is otherwise administered by the Minister for Energy, Environment and Climate Change, the Minister for Finance, the Minister for Health, the Minister for Ports, the Minister for Sport and the Premier)</w:t>
      </w:r>
    </w:p>
    <w:p w:rsidR="000D6E6A" w:rsidRDefault="000D6E6A">
      <w:pPr>
        <w:pStyle w:val="Bodycopy"/>
        <w:rPr>
          <w:rStyle w:val="italic"/>
        </w:rPr>
      </w:pPr>
      <w:r>
        <w:rPr>
          <w:rStyle w:val="italic"/>
        </w:rPr>
        <w:t xml:space="preserve">International Transfer of Prisoners (Victoria) Act 1998 </w:t>
      </w:r>
    </w:p>
    <w:p w:rsidR="000D6E6A" w:rsidRDefault="000D6E6A">
      <w:pPr>
        <w:pStyle w:val="Bodycopy"/>
        <w:rPr>
          <w:rStyle w:val="italic"/>
        </w:rPr>
      </w:pPr>
      <w:r>
        <w:rPr>
          <w:rStyle w:val="italic"/>
        </w:rPr>
        <w:t>Land Act 1958 –</w:t>
      </w:r>
    </w:p>
    <w:p w:rsidR="000D6E6A" w:rsidRDefault="000D6E6A">
      <w:pPr>
        <w:pStyle w:val="BodycopyBullet"/>
        <w:rPr>
          <w:rStyle w:val="italic"/>
        </w:rPr>
      </w:pPr>
      <w:r>
        <w:rPr>
          <w:rStyle w:val="italic"/>
        </w:rPr>
        <w:t xml:space="preserve">In so far as it relates to the exercise of powers </w:t>
      </w:r>
      <w:r>
        <w:rPr>
          <w:rStyle w:val="italic"/>
          <w:spacing w:val="-4"/>
        </w:rPr>
        <w:t xml:space="preserve">relating to leases and licences under Subdivision </w:t>
      </w:r>
      <w:r>
        <w:rPr>
          <w:rStyle w:val="italic"/>
        </w:rPr>
        <w:t>1 of Division 9 of Part I in respect of –</w:t>
      </w:r>
    </w:p>
    <w:p w:rsidR="000D6E6A" w:rsidRDefault="000D6E6A">
      <w:pPr>
        <w:pStyle w:val="BodycopybulletL2"/>
        <w:rPr>
          <w:rStyle w:val="italic"/>
        </w:rPr>
      </w:pPr>
      <w:r>
        <w:rPr>
          <w:rStyle w:val="italic"/>
        </w:rPr>
        <w:lastRenderedPageBreak/>
        <w:t xml:space="preserve">land identified in Certified Plan 114680-A dated 8 February 1995 </w:t>
      </w:r>
    </w:p>
    <w:p w:rsidR="000D6E6A" w:rsidRDefault="000D6E6A">
      <w:pPr>
        <w:pStyle w:val="BodycopybulletL2"/>
        <w:rPr>
          <w:rStyle w:val="italic"/>
        </w:rPr>
      </w:pPr>
      <w:r>
        <w:rPr>
          <w:rStyle w:val="italic"/>
        </w:rPr>
        <w:t xml:space="preserve">land shown as Allotment 8B, section 13 on Certified Plan 116685 and Allotment 4A, section 17 on Certified Plan 116944 lodged in the Central Plan Office </w:t>
      </w:r>
    </w:p>
    <w:p w:rsidR="000D6E6A" w:rsidRDefault="000D6E6A">
      <w:pPr>
        <w:pStyle w:val="BodycopybulletL2"/>
        <w:rPr>
          <w:rStyle w:val="italic"/>
        </w:rPr>
      </w:pPr>
      <w:r>
        <w:rPr>
          <w:rStyle w:val="italic"/>
        </w:rPr>
        <w:t xml:space="preserve">land shown as hatched on the plan numbered </w:t>
      </w:r>
      <w:proofErr w:type="gramStart"/>
      <w:r>
        <w:rPr>
          <w:rStyle w:val="italic"/>
        </w:rPr>
        <w:t>LEGL./</w:t>
      </w:r>
      <w:proofErr w:type="gramEnd"/>
      <w:r>
        <w:rPr>
          <w:rStyle w:val="italic"/>
        </w:rPr>
        <w:t>95-80 lodged in the Central Plan Office</w:t>
      </w:r>
    </w:p>
    <w:p w:rsidR="000D6E6A" w:rsidRDefault="000D6E6A">
      <w:pPr>
        <w:pStyle w:val="Bodycopyindent"/>
        <w:rPr>
          <w:rStyle w:val="italic"/>
          <w:i/>
          <w:iCs/>
        </w:rPr>
      </w:pPr>
      <w:r>
        <w:rPr>
          <w:rStyle w:val="italic"/>
          <w:i/>
          <w:iCs/>
        </w:rPr>
        <w:t xml:space="preserve">(The Act is otherwise administered by the Attorney-General, the Minister for Creative Industries, the Minister for Energy, Environment and Climate Change, the Minister for Finance, the Minister for Health, the Minister for Ports, the Minister for Roads and Road Safety and the Special Minister of State) </w:t>
      </w:r>
    </w:p>
    <w:p w:rsidR="000D6E6A" w:rsidRDefault="000D6E6A">
      <w:pPr>
        <w:pStyle w:val="Bodycopy"/>
        <w:rPr>
          <w:rStyle w:val="italic"/>
        </w:rPr>
      </w:pPr>
      <w:r>
        <w:rPr>
          <w:rStyle w:val="italic"/>
        </w:rPr>
        <w:t xml:space="preserve">Parole Orders (Transfer) Act 1983 </w:t>
      </w:r>
    </w:p>
    <w:p w:rsidR="000D6E6A" w:rsidRDefault="000D6E6A">
      <w:pPr>
        <w:pStyle w:val="Bodycopy"/>
        <w:rPr>
          <w:rStyle w:val="italic"/>
        </w:rPr>
      </w:pPr>
      <w:r>
        <w:rPr>
          <w:rStyle w:val="italic"/>
        </w:rPr>
        <w:t xml:space="preserve">Prisoners (Interstate Transfer) Act 1983 </w:t>
      </w:r>
    </w:p>
    <w:p w:rsidR="000D6E6A" w:rsidRDefault="000D6E6A">
      <w:pPr>
        <w:pStyle w:val="Bodycopy"/>
        <w:rPr>
          <w:rStyle w:val="italic"/>
        </w:rPr>
      </w:pPr>
      <w:r>
        <w:rPr>
          <w:rStyle w:val="italic"/>
        </w:rPr>
        <w:t xml:space="preserve">Sentencing Act 1991 – </w:t>
      </w:r>
    </w:p>
    <w:p w:rsidR="000D6E6A" w:rsidRDefault="000D6E6A">
      <w:pPr>
        <w:pStyle w:val="BodycopyBulletspaceunder"/>
        <w:rPr>
          <w:rStyle w:val="italic"/>
        </w:rPr>
      </w:pPr>
      <w:r>
        <w:rPr>
          <w:rStyle w:val="italic"/>
        </w:rPr>
        <w:t xml:space="preserve">Divisions 3 to 6 of Part 3A (these Divisions are jointly administered with the Attorney-General) </w:t>
      </w:r>
    </w:p>
    <w:p w:rsidR="000D6E6A" w:rsidRDefault="000D6E6A">
      <w:pPr>
        <w:pStyle w:val="Bodycopyindent"/>
        <w:rPr>
          <w:rStyle w:val="italic"/>
          <w:i/>
          <w:iCs/>
        </w:rPr>
      </w:pPr>
      <w:r>
        <w:rPr>
          <w:rStyle w:val="italic"/>
          <w:i/>
          <w:iCs/>
        </w:rPr>
        <w:t xml:space="preserve">(The Act is otherwise administered by the Attorney-General, the Minister for Families and Children and the Minister for Housing, Disability and Ageing) </w:t>
      </w:r>
    </w:p>
    <w:p w:rsidR="000D6E6A" w:rsidRDefault="000D6E6A">
      <w:pPr>
        <w:pStyle w:val="Bodycopy"/>
        <w:rPr>
          <w:rStyle w:val="italic"/>
        </w:rPr>
      </w:pPr>
      <w:r>
        <w:rPr>
          <w:rStyle w:val="italic"/>
        </w:rPr>
        <w:t>Serious Sex Offenders (Detention and Supervision) Act 2009</w:t>
      </w:r>
    </w:p>
    <w:p w:rsidR="000D6E6A" w:rsidRDefault="000D6E6A">
      <w:pPr>
        <w:pStyle w:val="H2"/>
      </w:pPr>
      <w:r>
        <w:t xml:space="preserve">Minister for Emergency Services </w:t>
      </w:r>
    </w:p>
    <w:p w:rsidR="000D6E6A" w:rsidRDefault="000D6E6A">
      <w:pPr>
        <w:pStyle w:val="Bodycopy"/>
        <w:rPr>
          <w:rStyle w:val="italic"/>
        </w:rPr>
      </w:pPr>
      <w:r>
        <w:rPr>
          <w:rStyle w:val="italic"/>
        </w:rPr>
        <w:t xml:space="preserve">Country Fire Authority Act 1958 </w:t>
      </w:r>
    </w:p>
    <w:p w:rsidR="000D6E6A" w:rsidRDefault="000D6E6A">
      <w:pPr>
        <w:pStyle w:val="Bodycopy"/>
        <w:rPr>
          <w:rStyle w:val="italic"/>
        </w:rPr>
      </w:pPr>
      <w:r>
        <w:rPr>
          <w:rStyle w:val="italic"/>
        </w:rPr>
        <w:t xml:space="preserve">Emergency Management Act 1986 </w:t>
      </w:r>
    </w:p>
    <w:p w:rsidR="000D6E6A" w:rsidRDefault="000D6E6A">
      <w:pPr>
        <w:pStyle w:val="Bodycopy"/>
        <w:rPr>
          <w:rStyle w:val="italic"/>
        </w:rPr>
      </w:pPr>
      <w:r>
        <w:rPr>
          <w:rStyle w:val="italic"/>
        </w:rPr>
        <w:t xml:space="preserve">Emergency Management Act 2013 </w:t>
      </w:r>
    </w:p>
    <w:p w:rsidR="000D6E6A" w:rsidRDefault="000D6E6A">
      <w:pPr>
        <w:pStyle w:val="Bodycopy"/>
        <w:rPr>
          <w:rStyle w:val="italic"/>
        </w:rPr>
      </w:pPr>
      <w:r>
        <w:rPr>
          <w:rStyle w:val="italic"/>
        </w:rPr>
        <w:t xml:space="preserve">Emergency Services Telecommunications Authority Act 2004 </w:t>
      </w:r>
    </w:p>
    <w:p w:rsidR="000D6E6A" w:rsidRDefault="000D6E6A">
      <w:pPr>
        <w:pStyle w:val="Bodycopy"/>
        <w:rPr>
          <w:rStyle w:val="italic"/>
        </w:rPr>
      </w:pPr>
      <w:r>
        <w:rPr>
          <w:rStyle w:val="italic"/>
        </w:rPr>
        <w:t xml:space="preserve">Metropolitan Fire Brigades Act 1958 </w:t>
      </w:r>
    </w:p>
    <w:p w:rsidR="000D6E6A" w:rsidRDefault="000D6E6A">
      <w:pPr>
        <w:pStyle w:val="Bodycopy"/>
        <w:rPr>
          <w:rStyle w:val="italic"/>
        </w:rPr>
      </w:pPr>
      <w:r>
        <w:rPr>
          <w:rStyle w:val="italic"/>
        </w:rPr>
        <w:t>Victoria State Emergency Service Act 2005</w:t>
      </w:r>
    </w:p>
    <w:p w:rsidR="000D6E6A" w:rsidRDefault="000D6E6A">
      <w:pPr>
        <w:pStyle w:val="H2"/>
        <w:rPr>
          <w:rStyle w:val="Superscript"/>
          <w:b w:val="false"/>
          <w:bCs w:val="false"/>
        </w:rPr>
      </w:pPr>
      <w:r>
        <w:t>Minister for Families and Children</w:t>
      </w:r>
      <w:r>
        <w:rPr>
          <w:rStyle w:val="Superscript"/>
          <w:b w:val="false"/>
          <w:bCs w:val="false"/>
        </w:rPr>
        <w:footnoteReference w:id="1"/>
      </w:r>
    </w:p>
    <w:p w:rsidR="000D6E6A" w:rsidRDefault="000D6E6A">
      <w:pPr>
        <w:pStyle w:val="Bodycopy"/>
        <w:rPr>
          <w:rStyle w:val="italic"/>
        </w:rPr>
      </w:pPr>
      <w:r>
        <w:rPr>
          <w:rStyle w:val="italic"/>
        </w:rPr>
        <w:t xml:space="preserve">Adoption Act 1984 – </w:t>
      </w:r>
    </w:p>
    <w:p w:rsidR="000D6E6A" w:rsidRDefault="000D6E6A">
      <w:pPr>
        <w:pStyle w:val="BodycopyBulletspaceunder"/>
        <w:rPr>
          <w:rStyle w:val="italic"/>
        </w:rPr>
      </w:pPr>
      <w:r>
        <w:rPr>
          <w:rStyle w:val="italic"/>
        </w:rPr>
        <w:t xml:space="preserve">The Act is jointly and severally administered with the Attorney-General </w:t>
      </w:r>
    </w:p>
    <w:p w:rsidR="000D6E6A" w:rsidRDefault="000D6E6A">
      <w:pPr>
        <w:pStyle w:val="Bodycopy"/>
        <w:rPr>
          <w:rStyle w:val="italic"/>
        </w:rPr>
      </w:pPr>
      <w:r>
        <w:rPr>
          <w:rStyle w:val="italic"/>
        </w:rPr>
        <w:t>Bail Act 1977 –</w:t>
      </w:r>
    </w:p>
    <w:p w:rsidR="000D6E6A" w:rsidRDefault="000D6E6A">
      <w:pPr>
        <w:pStyle w:val="BodycopyBulletspaceunder"/>
        <w:rPr>
          <w:rStyle w:val="italic"/>
        </w:rPr>
      </w:pPr>
      <w:r>
        <w:rPr>
          <w:rStyle w:val="italic"/>
        </w:rPr>
        <w:t xml:space="preserve">Section 3B (this section is jointly and severally administered with the Attorney-General) </w:t>
      </w:r>
    </w:p>
    <w:p w:rsidR="000D6E6A" w:rsidRDefault="000D6E6A">
      <w:pPr>
        <w:pStyle w:val="Bodycopyindent"/>
        <w:rPr>
          <w:rStyle w:val="italic"/>
          <w:i/>
          <w:iCs/>
        </w:rPr>
      </w:pPr>
      <w:r>
        <w:rPr>
          <w:rStyle w:val="italic"/>
          <w:i/>
          <w:iCs/>
        </w:rPr>
        <w:t>(The Act is otherwise administered by the Attorney-General)</w:t>
      </w:r>
    </w:p>
    <w:p w:rsidR="000D6E6A" w:rsidRDefault="000D6E6A">
      <w:pPr>
        <w:pStyle w:val="Bodycopy"/>
        <w:rPr>
          <w:rStyle w:val="italic"/>
          <w:lang w:val="en-US"/>
        </w:rPr>
      </w:pPr>
      <w:r>
        <w:rPr>
          <w:rStyle w:val="italic"/>
          <w:lang w:val="en-US"/>
        </w:rPr>
        <w:t>Child Wellbeing and Safety Act 2005</w:t>
      </w:r>
    </w:p>
    <w:p w:rsidR="000D6E6A" w:rsidRDefault="000D6E6A">
      <w:pPr>
        <w:pStyle w:val="Bodycopy"/>
        <w:rPr>
          <w:rStyle w:val="italic"/>
        </w:rPr>
      </w:pPr>
      <w:r>
        <w:rPr>
          <w:rStyle w:val="italic"/>
        </w:rPr>
        <w:t xml:space="preserve">Children, Youth and Families Act 2005 – </w:t>
      </w:r>
    </w:p>
    <w:p w:rsidR="000D6E6A" w:rsidRDefault="000D6E6A">
      <w:pPr>
        <w:pStyle w:val="BodycopyBulletspaceunder"/>
        <w:rPr>
          <w:rStyle w:val="italic"/>
        </w:rPr>
      </w:pPr>
      <w:r>
        <w:rPr>
          <w:rStyle w:val="italic"/>
        </w:rPr>
        <w:t xml:space="preserve">The Act is jointly and severally administered with the Attorney-General </w:t>
      </w:r>
    </w:p>
    <w:p w:rsidR="000D6E6A" w:rsidRDefault="000D6E6A">
      <w:pPr>
        <w:pStyle w:val="Bodycopy"/>
        <w:rPr>
          <w:rStyle w:val="italic"/>
        </w:rPr>
      </w:pPr>
      <w:r>
        <w:rPr>
          <w:rStyle w:val="italic"/>
        </w:rPr>
        <w:t xml:space="preserve">Crimes (Mental Impairment and Unfitness to be Tried) Act 1997 – </w:t>
      </w:r>
    </w:p>
    <w:p w:rsidR="000D6E6A" w:rsidRDefault="000D6E6A">
      <w:pPr>
        <w:pStyle w:val="BodycopyBulletspaceunder"/>
        <w:rPr>
          <w:rStyle w:val="italic"/>
        </w:rPr>
      </w:pPr>
      <w:r>
        <w:rPr>
          <w:rStyle w:val="italic"/>
        </w:rPr>
        <w:t>Part 5A (this Part is jointly administered with the Attorney-General, the Minister for Housing, Disability and Ageing and the Minister for Mental Health)</w:t>
      </w:r>
    </w:p>
    <w:p w:rsidR="000D6E6A" w:rsidRDefault="000D6E6A">
      <w:pPr>
        <w:pStyle w:val="Bodycopyindent"/>
        <w:rPr>
          <w:rStyle w:val="italic"/>
          <w:i/>
          <w:iCs/>
        </w:rPr>
      </w:pPr>
      <w:r>
        <w:rPr>
          <w:rStyle w:val="italic"/>
          <w:i/>
          <w:iCs/>
        </w:rPr>
        <w:t>(The Act is otherwise administered by the Attorney-General, the Minister for Housing, Disability and Ageing and the Minister for Mental Health)</w:t>
      </w:r>
    </w:p>
    <w:p w:rsidR="000D6E6A" w:rsidRDefault="000D6E6A">
      <w:pPr>
        <w:pStyle w:val="Bodycopy"/>
        <w:rPr>
          <w:rStyle w:val="italic"/>
        </w:rPr>
      </w:pPr>
      <w:r>
        <w:rPr>
          <w:rStyle w:val="italic"/>
        </w:rPr>
        <w:t xml:space="preserve">Sentencing Act 1991 – </w:t>
      </w:r>
    </w:p>
    <w:p w:rsidR="000D6E6A" w:rsidRDefault="000D6E6A">
      <w:pPr>
        <w:pStyle w:val="BodycopyBulletspaceunder"/>
        <w:rPr>
          <w:rStyle w:val="italic"/>
        </w:rPr>
      </w:pPr>
      <w:r>
        <w:rPr>
          <w:rStyle w:val="italic"/>
        </w:rPr>
        <w:t>Subdivision 4 of Division 2 of Part 3 (these provisions are jointly administered with the Attorney-General)</w:t>
      </w:r>
    </w:p>
    <w:p w:rsidR="000D6E6A" w:rsidRDefault="000D6E6A">
      <w:pPr>
        <w:pStyle w:val="Bodycopyindent"/>
        <w:rPr>
          <w:rStyle w:val="italic"/>
          <w:i/>
          <w:iCs/>
        </w:rPr>
      </w:pPr>
      <w:r>
        <w:rPr>
          <w:rStyle w:val="italic"/>
          <w:i/>
          <w:iCs/>
        </w:rPr>
        <w:t xml:space="preserve">(The Act is otherwise administered by the Attorney-General, the Minister for Corrections and the Minister for Housing, Disability and Ageing) </w:t>
      </w:r>
    </w:p>
    <w:p w:rsidR="000D6E6A" w:rsidRDefault="000D6E6A">
      <w:pPr>
        <w:pStyle w:val="H2"/>
      </w:pPr>
      <w:r>
        <w:t>Minister for Police</w:t>
      </w:r>
    </w:p>
    <w:p w:rsidR="000D6E6A" w:rsidRDefault="000D6E6A">
      <w:pPr>
        <w:pStyle w:val="Bodycopy"/>
        <w:rPr>
          <w:rStyle w:val="italic"/>
        </w:rPr>
      </w:pPr>
      <w:r>
        <w:rPr>
          <w:rStyle w:val="italic"/>
        </w:rPr>
        <w:t xml:space="preserve">Australian Crime Commission (State Provisions) Act 2003 </w:t>
      </w:r>
    </w:p>
    <w:p w:rsidR="000D6E6A" w:rsidRDefault="000D6E6A">
      <w:pPr>
        <w:pStyle w:val="Bodycopy"/>
        <w:rPr>
          <w:rStyle w:val="italic"/>
        </w:rPr>
      </w:pPr>
      <w:r>
        <w:rPr>
          <w:rStyle w:val="italic"/>
        </w:rPr>
        <w:t>Control of Weapons Act 1990</w:t>
      </w:r>
    </w:p>
    <w:p w:rsidR="000D6E6A" w:rsidRDefault="000D6E6A">
      <w:pPr>
        <w:pStyle w:val="Bodycopy"/>
        <w:rPr>
          <w:rStyle w:val="italic"/>
        </w:rPr>
      </w:pPr>
      <w:r>
        <w:rPr>
          <w:rStyle w:val="italic"/>
        </w:rPr>
        <w:t>Crime Statistics Act 2014</w:t>
      </w:r>
    </w:p>
    <w:p w:rsidR="000D6E6A" w:rsidRDefault="000D6E6A">
      <w:pPr>
        <w:pStyle w:val="Bodycopy"/>
        <w:rPr>
          <w:rStyle w:val="italic"/>
        </w:rPr>
      </w:pPr>
      <w:r>
        <w:rPr>
          <w:rStyle w:val="italic"/>
        </w:rPr>
        <w:t xml:space="preserve">Firearms Act 1996 </w:t>
      </w:r>
    </w:p>
    <w:p w:rsidR="000D6E6A" w:rsidRDefault="000D6E6A">
      <w:pPr>
        <w:pStyle w:val="Bodycopy"/>
        <w:rPr>
          <w:rStyle w:val="italic"/>
        </w:rPr>
      </w:pPr>
      <w:r>
        <w:rPr>
          <w:rStyle w:val="italic"/>
        </w:rPr>
        <w:lastRenderedPageBreak/>
        <w:t>Graffiti Prevention Act 2007</w:t>
      </w:r>
    </w:p>
    <w:p w:rsidR="000D6E6A" w:rsidRDefault="000D6E6A">
      <w:pPr>
        <w:pStyle w:val="Bodycopy"/>
        <w:rPr>
          <w:rStyle w:val="italic"/>
        </w:rPr>
      </w:pPr>
      <w:r>
        <w:rPr>
          <w:rStyle w:val="italic"/>
        </w:rPr>
        <w:t xml:space="preserve">Major Crime (Investigative Powers) Act 2004 – </w:t>
      </w:r>
    </w:p>
    <w:p w:rsidR="000D6E6A" w:rsidRDefault="000D6E6A">
      <w:pPr>
        <w:pStyle w:val="BodycopyBulletspaceunder"/>
        <w:rPr>
          <w:rStyle w:val="italic"/>
        </w:rPr>
      </w:pPr>
      <w:r>
        <w:rPr>
          <w:rStyle w:val="italic"/>
        </w:rPr>
        <w:t xml:space="preserve">Part 3 (this Part is jointly administered with the Attorney-General) </w:t>
      </w:r>
    </w:p>
    <w:p w:rsidR="000D6E6A" w:rsidRDefault="000D6E6A">
      <w:pPr>
        <w:pStyle w:val="Bodycopyindent"/>
        <w:rPr>
          <w:rStyle w:val="italic"/>
          <w:i/>
          <w:iCs/>
        </w:rPr>
      </w:pPr>
      <w:r>
        <w:rPr>
          <w:rStyle w:val="italic"/>
          <w:i/>
          <w:iCs/>
        </w:rPr>
        <w:t xml:space="preserve">(The Act is otherwise administered by the Attorney-General) </w:t>
      </w:r>
    </w:p>
    <w:p w:rsidR="000D6E6A" w:rsidRDefault="000D6E6A">
      <w:pPr>
        <w:pStyle w:val="Bodycopy"/>
        <w:rPr>
          <w:rStyle w:val="italic"/>
        </w:rPr>
      </w:pPr>
      <w:r>
        <w:rPr>
          <w:rStyle w:val="italic"/>
        </w:rPr>
        <w:t xml:space="preserve">Police Assistance Compensation Act 1968 </w:t>
      </w:r>
    </w:p>
    <w:p w:rsidR="000D6E6A" w:rsidRDefault="000D6E6A">
      <w:pPr>
        <w:pStyle w:val="Bodycopy"/>
        <w:rPr>
          <w:rStyle w:val="italic"/>
        </w:rPr>
      </w:pPr>
      <w:r>
        <w:rPr>
          <w:rStyle w:val="italic"/>
        </w:rPr>
        <w:t xml:space="preserve">Police Regulation (Pensions) Act 1958 – Except: </w:t>
      </w:r>
    </w:p>
    <w:p w:rsidR="000D6E6A" w:rsidRDefault="000D6E6A">
      <w:pPr>
        <w:pStyle w:val="BodycopyBulletspaceunder"/>
        <w:rPr>
          <w:rStyle w:val="italic"/>
        </w:rPr>
      </w:pPr>
      <w:r>
        <w:rPr>
          <w:rStyle w:val="italic"/>
        </w:rPr>
        <w:t xml:space="preserve">Part III (this Part is administered by the Minister for Finance) </w:t>
      </w:r>
    </w:p>
    <w:p w:rsidR="000D6E6A" w:rsidRDefault="000D6E6A">
      <w:pPr>
        <w:pStyle w:val="Bodycopy"/>
        <w:rPr>
          <w:rStyle w:val="italic"/>
        </w:rPr>
      </w:pPr>
      <w:r>
        <w:rPr>
          <w:rStyle w:val="italic"/>
        </w:rPr>
        <w:t xml:space="preserve">Private Security Act 2004 </w:t>
      </w:r>
    </w:p>
    <w:p w:rsidR="000D6E6A" w:rsidRDefault="000D6E6A">
      <w:pPr>
        <w:pStyle w:val="Bodycopy"/>
        <w:rPr>
          <w:rStyle w:val="italic"/>
        </w:rPr>
      </w:pPr>
      <w:r>
        <w:rPr>
          <w:rStyle w:val="italic"/>
        </w:rPr>
        <w:t>Road Safety Camera Commissioner Act 2011</w:t>
      </w:r>
    </w:p>
    <w:p w:rsidR="000D6E6A" w:rsidRDefault="000D6E6A">
      <w:pPr>
        <w:pStyle w:val="Bodycopy"/>
        <w:rPr>
          <w:rStyle w:val="italic"/>
        </w:rPr>
      </w:pPr>
      <w:r>
        <w:rPr>
          <w:rStyle w:val="italic"/>
        </w:rPr>
        <w:t xml:space="preserve">Seamen’s Act 1958 </w:t>
      </w:r>
    </w:p>
    <w:p w:rsidR="000D6E6A" w:rsidRDefault="000D6E6A">
      <w:pPr>
        <w:pStyle w:val="Bodycopy"/>
        <w:rPr>
          <w:rStyle w:val="italic"/>
        </w:rPr>
      </w:pPr>
      <w:r>
        <w:rPr>
          <w:rStyle w:val="italic"/>
        </w:rPr>
        <w:t xml:space="preserve">Sex Offenders Registration Act 2004 </w:t>
      </w:r>
    </w:p>
    <w:p w:rsidR="000D6E6A" w:rsidRDefault="000D6E6A">
      <w:pPr>
        <w:pStyle w:val="Bodycopy"/>
        <w:rPr>
          <w:rStyle w:val="italic"/>
        </w:rPr>
      </w:pPr>
      <w:r>
        <w:rPr>
          <w:rStyle w:val="italic"/>
        </w:rPr>
        <w:t xml:space="preserve">Terrorism (Community Protection) Act 2003 – </w:t>
      </w:r>
    </w:p>
    <w:p w:rsidR="000D6E6A" w:rsidRDefault="000D6E6A">
      <w:pPr>
        <w:pStyle w:val="BodycopyBulletspaceunder"/>
        <w:rPr>
          <w:rStyle w:val="italic"/>
        </w:rPr>
      </w:pPr>
      <w:r>
        <w:rPr>
          <w:rStyle w:val="italic"/>
        </w:rPr>
        <w:t xml:space="preserve">Part 4 </w:t>
      </w:r>
    </w:p>
    <w:p w:rsidR="000D6E6A" w:rsidRDefault="000D6E6A">
      <w:pPr>
        <w:pStyle w:val="Bodycopyindent"/>
        <w:rPr>
          <w:rStyle w:val="italic"/>
          <w:i/>
          <w:iCs/>
        </w:rPr>
      </w:pPr>
      <w:r>
        <w:rPr>
          <w:rStyle w:val="italic"/>
          <w:i/>
          <w:iCs/>
        </w:rPr>
        <w:t xml:space="preserve">(The Act is otherwise administered by the Attorney-General) </w:t>
      </w:r>
    </w:p>
    <w:p w:rsidR="000D6E6A" w:rsidRDefault="000D6E6A">
      <w:pPr>
        <w:pStyle w:val="Bodycopy"/>
        <w:rPr>
          <w:rStyle w:val="italic"/>
        </w:rPr>
      </w:pPr>
      <w:r>
        <w:rPr>
          <w:rStyle w:val="italic"/>
        </w:rPr>
        <w:t xml:space="preserve">Unlawful Assemblies and Processions Act 1958 </w:t>
      </w:r>
    </w:p>
    <w:p w:rsidR="000D6E6A" w:rsidRDefault="000D6E6A">
      <w:pPr>
        <w:pStyle w:val="Bodycopy"/>
        <w:rPr>
          <w:rStyle w:val="italic"/>
        </w:rPr>
      </w:pPr>
      <w:r>
        <w:rPr>
          <w:rStyle w:val="italic"/>
        </w:rPr>
        <w:t>Victoria Police Act 2013</w:t>
      </w:r>
    </w:p>
    <w:p w:rsidR="000D6E6A" w:rsidRDefault="000D6E6A">
      <w:pPr>
        <w:pStyle w:val="Bodycopy"/>
        <w:rPr>
          <w:rStyle w:val="italic"/>
        </w:rPr>
      </w:pPr>
      <w:r>
        <w:rPr>
          <w:rStyle w:val="italic"/>
        </w:rPr>
        <w:t xml:space="preserve">Witness Protection Act 1991 </w:t>
      </w:r>
    </w:p>
    <w:p w:rsidR="000D6E6A" w:rsidRDefault="000D6E6A">
      <w:pPr>
        <w:pStyle w:val="H2"/>
      </w:pPr>
      <w:r>
        <w:t>Minister for Racing</w:t>
      </w:r>
    </w:p>
    <w:p w:rsidR="000D6E6A" w:rsidRDefault="000D6E6A">
      <w:pPr>
        <w:pStyle w:val="Bodycopy"/>
        <w:rPr>
          <w:rStyle w:val="italic"/>
        </w:rPr>
      </w:pPr>
      <w:r>
        <w:rPr>
          <w:rStyle w:val="italic"/>
        </w:rPr>
        <w:t>Gambling Regulation Act 2003 –</w:t>
      </w:r>
    </w:p>
    <w:p w:rsidR="000D6E6A" w:rsidRDefault="000D6E6A">
      <w:pPr>
        <w:pStyle w:val="BodycopyBullet"/>
        <w:rPr>
          <w:rStyle w:val="italic"/>
        </w:rPr>
      </w:pPr>
      <w:r>
        <w:rPr>
          <w:rStyle w:val="italic"/>
        </w:rPr>
        <w:t>Section 2.2.6</w:t>
      </w:r>
    </w:p>
    <w:p w:rsidR="000D6E6A" w:rsidRDefault="000D6E6A">
      <w:pPr>
        <w:pStyle w:val="BodycopyBullet"/>
        <w:rPr>
          <w:rStyle w:val="italic"/>
        </w:rPr>
      </w:pPr>
      <w:r>
        <w:rPr>
          <w:rStyle w:val="italic"/>
        </w:rPr>
        <w:t>Division 1A and Division 2 of Part 2 of Chapter 4 (these Divisions are jointly administered with the Minister for Consumer Affairs, Gaming and Liquor Regulation)</w:t>
      </w:r>
    </w:p>
    <w:p w:rsidR="000D6E6A" w:rsidRDefault="000D6E6A">
      <w:pPr>
        <w:pStyle w:val="BodycopyBulletspaceunder"/>
        <w:rPr>
          <w:rStyle w:val="italic"/>
        </w:rPr>
      </w:pPr>
      <w:r>
        <w:rPr>
          <w:rStyle w:val="italic"/>
        </w:rPr>
        <w:t>Part 5 of Chapter 4 (this Part is jointly administered with the Minister for Consumer Affairs, Gaming and Liquor Regulation)</w:t>
      </w:r>
    </w:p>
    <w:p w:rsidR="000D6E6A" w:rsidRDefault="000D6E6A">
      <w:pPr>
        <w:pStyle w:val="Bodycopyindent"/>
        <w:rPr>
          <w:rStyle w:val="italic"/>
          <w:i/>
          <w:iCs/>
        </w:rPr>
      </w:pPr>
      <w:r>
        <w:rPr>
          <w:rStyle w:val="italic"/>
          <w:i/>
          <w:iCs/>
        </w:rPr>
        <w:t>(The Act is otherwise administered by the Minister for Consumer Affairs, Gaming and Liquor Regulation and the Treasurer)</w:t>
      </w:r>
    </w:p>
    <w:p w:rsidR="000D6E6A" w:rsidRDefault="000D6E6A">
      <w:pPr>
        <w:pStyle w:val="Bodycopy"/>
        <w:rPr>
          <w:rStyle w:val="italic"/>
        </w:rPr>
      </w:pPr>
      <w:r>
        <w:rPr>
          <w:rStyle w:val="italic"/>
        </w:rPr>
        <w:t xml:space="preserve">Racing Act 1958 </w:t>
      </w:r>
    </w:p>
    <w:p w:rsidR="000D6E6A" w:rsidRDefault="000D6E6A">
      <w:pPr>
        <w:pStyle w:val="Bodycopy"/>
        <w:rPr>
          <w:rStyle w:val="italic"/>
        </w:rPr>
      </w:pPr>
      <w:r>
        <w:rPr>
          <w:rStyle w:val="italic"/>
        </w:rPr>
        <w:t>Victorian Amateur Turf Club (Incorporating the Melbourne Racing Club) Act 1963</w:t>
      </w:r>
    </w:p>
    <w:p w:rsidR="000D6E6A" w:rsidRDefault="000D6E6A">
      <w:pPr>
        <w:pStyle w:val="Bodycopy"/>
        <w:rPr>
          <w:rStyle w:val="italic"/>
        </w:rPr>
      </w:pPr>
      <w:r>
        <w:rPr>
          <w:rStyle w:val="italic"/>
        </w:rPr>
        <w:t xml:space="preserve">Victoria Racing Club Act 2006 </w:t>
      </w:r>
    </w:p>
    <w:p w:rsidR="000D6E6A" w:rsidRDefault="000D6E6A">
      <w:pPr>
        <w:pStyle w:val="Bodycopy"/>
        <w:rPr>
          <w:rStyle w:val="italic"/>
        </w:rPr>
      </w:pPr>
    </w:p>
    <w:p w:rsidR="00207C70" w:rsidRDefault="00207C70">
      <w:pPr>
        <w:rPr>
          <w:rFonts w:ascii="Arial" w:hAnsi="Arial" w:cs="Arial"/>
          <w:b/>
          <w:bCs/>
          <w:color w:val="542E8E"/>
          <w:sz w:val="36"/>
          <w:szCs w:val="36"/>
          <w:lang w:val="en-GB"/>
        </w:rPr>
      </w:pPr>
      <w:r>
        <w:br w:type="page"/>
      </w:r>
    </w:p>
    <w:p w:rsidR="000D6E6A" w:rsidRDefault="000D6E6A">
      <w:pPr>
        <w:pStyle w:val="H1"/>
      </w:pPr>
      <w:bookmarkStart w:id="7" w:name="_Toc525300162"/>
      <w:r>
        <w:lastRenderedPageBreak/>
        <w:t>5. Legislation enacted in 2017–18 (passed between 1 July 2017 and 30 June 2018)</w:t>
      </w:r>
      <w:bookmarkEnd w:id="7"/>
      <w:r>
        <w:t xml:space="preserve"> </w:t>
      </w:r>
    </w:p>
    <w:p w:rsidR="000D6E6A" w:rsidRDefault="000D6E6A">
      <w:pPr>
        <w:pStyle w:val="H2"/>
      </w:pPr>
      <w:r>
        <w:t xml:space="preserve">Attorney-General </w:t>
      </w:r>
    </w:p>
    <w:p w:rsidR="000D6E6A" w:rsidRDefault="000D6E6A">
      <w:pPr>
        <w:pStyle w:val="Bodycopy"/>
        <w:rPr>
          <w:rStyle w:val="italic"/>
        </w:rPr>
      </w:pPr>
      <w:r>
        <w:rPr>
          <w:rStyle w:val="italic"/>
        </w:rPr>
        <w:t>Bail Amendment (Stage Two) Act 2018</w:t>
      </w:r>
    </w:p>
    <w:p w:rsidR="000D6E6A" w:rsidRDefault="000D6E6A">
      <w:pPr>
        <w:pStyle w:val="Bodycopy"/>
        <w:rPr>
          <w:rStyle w:val="italic"/>
        </w:rPr>
      </w:pPr>
      <w:r>
        <w:rPr>
          <w:rStyle w:val="italic"/>
        </w:rPr>
        <w:t>Children and Justice Legislation Amendment (Youth Justice Reform) Act 2017</w:t>
      </w:r>
    </w:p>
    <w:p w:rsidR="000D6E6A" w:rsidRDefault="000D6E6A">
      <w:pPr>
        <w:pStyle w:val="Bodycopy"/>
        <w:rPr>
          <w:rStyle w:val="italic"/>
          <w:spacing w:val="1"/>
        </w:rPr>
      </w:pPr>
      <w:r>
        <w:rPr>
          <w:rStyle w:val="italic"/>
          <w:spacing w:val="1"/>
        </w:rPr>
        <w:t>Crimes Legislation Amendment (Public Order) Act 2017</w:t>
      </w:r>
    </w:p>
    <w:p w:rsidR="000D6E6A" w:rsidRDefault="000D6E6A">
      <w:pPr>
        <w:pStyle w:val="Bodycopy"/>
        <w:rPr>
          <w:rStyle w:val="italic"/>
        </w:rPr>
      </w:pPr>
      <w:r>
        <w:rPr>
          <w:rStyle w:val="italic"/>
        </w:rPr>
        <w:t>Fines Reform Amendment Act 2017</w:t>
      </w:r>
    </w:p>
    <w:p w:rsidR="000D6E6A" w:rsidRDefault="000D6E6A">
      <w:pPr>
        <w:pStyle w:val="Bodycopy"/>
        <w:rPr>
          <w:rStyle w:val="italic"/>
          <w:spacing w:val="-2"/>
        </w:rPr>
      </w:pPr>
      <w:r>
        <w:rPr>
          <w:rStyle w:val="italic"/>
          <w:spacing w:val="-2"/>
        </w:rPr>
        <w:t xml:space="preserve">Jury Directors and </w:t>
      </w:r>
      <w:proofErr w:type="gramStart"/>
      <w:r>
        <w:rPr>
          <w:rStyle w:val="italic"/>
          <w:spacing w:val="-2"/>
        </w:rPr>
        <w:t>Other</w:t>
      </w:r>
      <w:proofErr w:type="gramEnd"/>
      <w:r>
        <w:rPr>
          <w:rStyle w:val="italic"/>
          <w:spacing w:val="-2"/>
        </w:rPr>
        <w:t xml:space="preserve"> Acts Amendment Act 2017</w:t>
      </w:r>
    </w:p>
    <w:p w:rsidR="000D6E6A" w:rsidRDefault="000D6E6A">
      <w:pPr>
        <w:pStyle w:val="Bodycopy"/>
        <w:rPr>
          <w:rStyle w:val="italic"/>
        </w:rPr>
      </w:pPr>
      <w:r>
        <w:rPr>
          <w:rStyle w:val="italic"/>
        </w:rPr>
        <w:t>Justice Legislation Amendment (Access to Justice) Act 2018</w:t>
      </w:r>
    </w:p>
    <w:p w:rsidR="000D6E6A" w:rsidRDefault="000D6E6A">
      <w:pPr>
        <w:pStyle w:val="Bodycopy"/>
        <w:rPr>
          <w:rStyle w:val="italic"/>
        </w:rPr>
      </w:pPr>
      <w:r>
        <w:rPr>
          <w:rStyle w:val="italic"/>
        </w:rPr>
        <w:t>Justice Legislation Amendment (Body-worn Cameras and Other Matters) Act 2017</w:t>
      </w:r>
    </w:p>
    <w:p w:rsidR="000D6E6A" w:rsidRDefault="000D6E6A">
      <w:pPr>
        <w:pStyle w:val="Bodycopy"/>
        <w:rPr>
          <w:rStyle w:val="italic"/>
        </w:rPr>
      </w:pPr>
      <w:r>
        <w:rPr>
          <w:rStyle w:val="italic"/>
        </w:rPr>
        <w:t>Justice Legislation Amendment (Court Security, Juries and Other Matters) Act 2017</w:t>
      </w:r>
    </w:p>
    <w:p w:rsidR="000D6E6A" w:rsidRDefault="000D6E6A">
      <w:pPr>
        <w:pStyle w:val="Bodycopy"/>
        <w:rPr>
          <w:rStyle w:val="italic"/>
        </w:rPr>
      </w:pPr>
      <w:r>
        <w:rPr>
          <w:rStyle w:val="italic"/>
        </w:rPr>
        <w:t>Justice Legislation (Victims) Act 2018</w:t>
      </w:r>
    </w:p>
    <w:p w:rsidR="000D6E6A" w:rsidRDefault="000D6E6A">
      <w:pPr>
        <w:pStyle w:val="Bodycopy"/>
        <w:rPr>
          <w:rStyle w:val="italic"/>
        </w:rPr>
      </w:pPr>
      <w:r>
        <w:rPr>
          <w:rStyle w:val="italic"/>
        </w:rPr>
        <w:t>Legal Identities of Defendants (organisational Child Abuse) Act 2018</w:t>
      </w:r>
    </w:p>
    <w:p w:rsidR="000D6E6A" w:rsidRDefault="000D6E6A">
      <w:pPr>
        <w:pStyle w:val="Bodycopy"/>
        <w:rPr>
          <w:rStyle w:val="italic"/>
        </w:rPr>
      </w:pPr>
      <w:r>
        <w:rPr>
          <w:rStyle w:val="italic"/>
        </w:rPr>
        <w:t>National Redress Scheme for Institutional Child Sexual Abuse (Commonwealth Powers) Act 2018</w:t>
      </w:r>
    </w:p>
    <w:p w:rsidR="000D6E6A" w:rsidRDefault="000D6E6A">
      <w:pPr>
        <w:pStyle w:val="Bodycopy"/>
        <w:rPr>
          <w:rStyle w:val="italic"/>
        </w:rPr>
      </w:pPr>
      <w:r>
        <w:rPr>
          <w:rStyle w:val="italic"/>
        </w:rPr>
        <w:t>Oaths and Affirmations Act 2018</w:t>
      </w:r>
    </w:p>
    <w:p w:rsidR="000D6E6A" w:rsidRDefault="000D6E6A">
      <w:pPr>
        <w:pStyle w:val="Bodycopy"/>
        <w:rPr>
          <w:rStyle w:val="italic"/>
        </w:rPr>
      </w:pPr>
      <w:r>
        <w:rPr>
          <w:rStyle w:val="italic"/>
        </w:rPr>
        <w:t>Sentencing Amendment (Sentencing Standards) Act 2017</w:t>
      </w:r>
    </w:p>
    <w:p w:rsidR="000D6E6A" w:rsidRDefault="000D6E6A">
      <w:pPr>
        <w:pStyle w:val="H2"/>
        <w:rPr>
          <w:rStyle w:val="italic"/>
          <w:b w:val="false"/>
          <w:bCs w:val="false"/>
        </w:rPr>
      </w:pPr>
      <w:r>
        <w:t>Minister for Corrections</w:t>
      </w:r>
    </w:p>
    <w:p w:rsidR="000D6E6A" w:rsidRDefault="000D6E6A">
      <w:pPr>
        <w:pStyle w:val="Bodycopy"/>
        <w:rPr>
          <w:rStyle w:val="italic"/>
        </w:rPr>
      </w:pPr>
      <w:r>
        <w:rPr>
          <w:rStyle w:val="italic"/>
        </w:rPr>
        <w:t xml:space="preserve">Corrections Legislation Further Amendment </w:t>
      </w:r>
      <w:r>
        <w:rPr>
          <w:rStyle w:val="italic"/>
        </w:rPr>
        <w:br/>
        <w:t>Act 2017</w:t>
      </w:r>
    </w:p>
    <w:p w:rsidR="000D6E6A" w:rsidRDefault="000D6E6A">
      <w:pPr>
        <w:pStyle w:val="Bodycopy"/>
        <w:rPr>
          <w:rStyle w:val="italic"/>
        </w:rPr>
      </w:pPr>
      <w:r>
        <w:rPr>
          <w:rStyle w:val="italic"/>
        </w:rPr>
        <w:t>Corrections Legislation Miscellaneous Amendment Act 2017</w:t>
      </w:r>
    </w:p>
    <w:p w:rsidR="000D6E6A" w:rsidRDefault="000D6E6A">
      <w:pPr>
        <w:pStyle w:val="Bodycopy"/>
      </w:pPr>
      <w:r>
        <w:rPr>
          <w:rStyle w:val="italic"/>
        </w:rPr>
        <w:t>Serious Sex Offenders (Detention and Supervision) Amendment (Governance) Act 2017</w:t>
      </w:r>
    </w:p>
    <w:p w:rsidR="000D6E6A" w:rsidRDefault="000D6E6A">
      <w:pPr>
        <w:pStyle w:val="H2"/>
      </w:pPr>
      <w:r>
        <w:t>Minister for Consumer Affairs, Gaming and Liquor Regulation</w:t>
      </w:r>
    </w:p>
    <w:p w:rsidR="000D6E6A" w:rsidRDefault="000D6E6A">
      <w:pPr>
        <w:pStyle w:val="Bodycopy"/>
        <w:rPr>
          <w:rStyle w:val="italic"/>
        </w:rPr>
      </w:pPr>
      <w:r>
        <w:rPr>
          <w:rStyle w:val="italic"/>
        </w:rPr>
        <w:t>Gambling Legislation Amendment Act 2018</w:t>
      </w:r>
    </w:p>
    <w:p w:rsidR="000D6E6A" w:rsidRDefault="000D6E6A">
      <w:pPr>
        <w:pStyle w:val="Bodycopy"/>
        <w:rPr>
          <w:rStyle w:val="italic"/>
        </w:rPr>
      </w:pPr>
      <w:r>
        <w:rPr>
          <w:rStyle w:val="italic"/>
        </w:rPr>
        <w:t>Gambling Regulation Amendment (Gaming Machine Arrangements) Act 2017</w:t>
      </w:r>
    </w:p>
    <w:p w:rsidR="000D6E6A" w:rsidRDefault="000D6E6A">
      <w:pPr>
        <w:pStyle w:val="Bodycopy"/>
      </w:pPr>
      <w:r>
        <w:rPr>
          <w:rStyle w:val="italic"/>
        </w:rPr>
        <w:t xml:space="preserve">Liquor and Gambling Legislation Amendment </w:t>
      </w:r>
      <w:r>
        <w:rPr>
          <w:rStyle w:val="italic"/>
        </w:rPr>
        <w:br/>
        <w:t>Act 2018</w:t>
      </w:r>
    </w:p>
    <w:p w:rsidR="000D6E6A" w:rsidRDefault="000D6E6A">
      <w:pPr>
        <w:pStyle w:val="H2"/>
      </w:pPr>
      <w:r>
        <w:t xml:space="preserve">Minister for Police </w:t>
      </w:r>
    </w:p>
    <w:p w:rsidR="000D6E6A" w:rsidRDefault="000D6E6A">
      <w:pPr>
        <w:pStyle w:val="Bodycopy"/>
        <w:rPr>
          <w:rStyle w:val="italic"/>
        </w:rPr>
      </w:pPr>
      <w:r>
        <w:rPr>
          <w:rStyle w:val="italic"/>
        </w:rPr>
        <w:t>Crimes Legislation Amendment (Protection of Emergency Workers and Others) Act 2017</w:t>
      </w:r>
    </w:p>
    <w:p w:rsidR="000D6E6A" w:rsidRDefault="000D6E6A">
      <w:pPr>
        <w:pStyle w:val="Bodycopy"/>
        <w:rPr>
          <w:rStyle w:val="italic"/>
        </w:rPr>
      </w:pPr>
      <w:r>
        <w:rPr>
          <w:rStyle w:val="italic"/>
        </w:rPr>
        <w:t>Drugs, Poisons and Controlled Substances Amendment (Medically Supervised Injecting Centre) Act 2017</w:t>
      </w:r>
    </w:p>
    <w:p w:rsidR="000D6E6A" w:rsidRDefault="000D6E6A">
      <w:pPr>
        <w:pStyle w:val="Bodycopy"/>
        <w:rPr>
          <w:rStyle w:val="italic"/>
        </w:rPr>
      </w:pPr>
      <w:r>
        <w:rPr>
          <w:rStyle w:val="italic"/>
        </w:rPr>
        <w:t>Drugs, Poisons and Controlled Substances Miscellaneous Amendment Act 2017</w:t>
      </w:r>
    </w:p>
    <w:p w:rsidR="000D6E6A" w:rsidRDefault="000D6E6A">
      <w:pPr>
        <w:pStyle w:val="Bodycopy"/>
        <w:rPr>
          <w:rStyle w:val="italic"/>
        </w:rPr>
      </w:pPr>
      <w:r>
        <w:rPr>
          <w:rStyle w:val="italic"/>
        </w:rPr>
        <w:t>Firearms Amendment Act 2018</w:t>
      </w:r>
    </w:p>
    <w:p w:rsidR="000D6E6A" w:rsidRDefault="000D6E6A">
      <w:pPr>
        <w:pStyle w:val="Bodycopy"/>
      </w:pPr>
      <w:r>
        <w:rPr>
          <w:rStyle w:val="italic"/>
        </w:rPr>
        <w:t>Justice Legislation Amendment (Protective Services Officers and Other Matters) Act 2017</w:t>
      </w:r>
    </w:p>
    <w:p w:rsidR="000D6E6A" w:rsidRDefault="000D6E6A">
      <w:pPr>
        <w:pStyle w:val="H2"/>
      </w:pPr>
      <w:r>
        <w:t>Minister for Racing</w:t>
      </w:r>
    </w:p>
    <w:p w:rsidR="000D6E6A" w:rsidRDefault="000D6E6A">
      <w:pPr>
        <w:pStyle w:val="Bodycopy"/>
        <w:rPr>
          <w:rStyle w:val="italic"/>
        </w:rPr>
      </w:pPr>
      <w:r>
        <w:rPr>
          <w:rStyle w:val="italic"/>
        </w:rPr>
        <w:t>Racing Amendment (Modernisation) Act 2018</w:t>
      </w:r>
    </w:p>
    <w:p w:rsidR="000D6E6A" w:rsidRDefault="000D6E6A">
      <w:pPr>
        <w:pStyle w:val="notestable"/>
        <w:rPr>
          <w:i/>
          <w:iCs/>
        </w:rPr>
      </w:pPr>
    </w:p>
    <w:p w:rsidR="00207C70" w:rsidRDefault="00207C70">
      <w:pPr>
        <w:rPr>
          <w:rFonts w:ascii="Arial" w:hAnsi="Arial" w:cs="Arial"/>
          <w:b/>
          <w:bCs/>
          <w:color w:val="542E8E"/>
          <w:sz w:val="36"/>
          <w:szCs w:val="36"/>
          <w:lang w:val="en-GB"/>
        </w:rPr>
      </w:pPr>
      <w:r>
        <w:br w:type="page"/>
      </w:r>
    </w:p>
    <w:p w:rsidR="000D6E6A" w:rsidRDefault="000D6E6A">
      <w:pPr>
        <w:pStyle w:val="H1"/>
      </w:pPr>
      <w:bookmarkStart w:id="8" w:name="_Toc525300163"/>
      <w:r>
        <w:lastRenderedPageBreak/>
        <w:t>People management</w:t>
      </w:r>
      <w:bookmarkEnd w:id="8"/>
    </w:p>
    <w:p w:rsidR="000D6E6A" w:rsidRDefault="000D6E6A">
      <w:pPr>
        <w:pStyle w:val="H2"/>
      </w:pPr>
      <w:r>
        <w:t>Workforce data: Department of Justice and Regulation</w:t>
      </w:r>
    </w:p>
    <w:p w:rsidR="000D6E6A" w:rsidRDefault="000D6E6A">
      <w:pPr>
        <w:pStyle w:val="Bodycopyspan"/>
        <w:rPr>
          <w:rStyle w:val="RegularItalic"/>
          <w:i/>
          <w:iCs/>
        </w:rPr>
      </w:pPr>
      <w:r>
        <w:rPr>
          <w:rStyle w:val="RegularItalic"/>
          <w:i/>
          <w:iCs/>
        </w:rPr>
        <w:t>Staffing numbers (full time equivalent)</w:t>
      </w:r>
    </w:p>
    <w:tbl>
      <w:tblPr>
        <w:tblW w:w="0" w:type="auto"/>
        <w:tblInd w:w="57" w:type="dxa"/>
        <w:tblLayout w:type="fixed"/>
        <w:tblCellMar>
          <w:left w:w="0" w:type="dxa"/>
          <w:right w:w="0" w:type="dxa"/>
        </w:tblCellMar>
        <w:tblLook w:firstRow="0" w:lastRow="0" w:firstColumn="0" w:lastColumn="0" w:noHBand="0" w:noVBand="0" w:val="0000"/>
      </w:tblPr>
      <w:tblGrid>
        <w:gridCol w:w="5669"/>
        <w:gridCol w:w="1701"/>
        <w:gridCol w:w="1701"/>
      </w:tblGrid>
      <w:tr w:rsidR="000D6E6A" w:rsidTr="00D92A2B">
        <w:tblPrEx>
          <w:tblCellMar>
            <w:top w:w="0" w:type="dxa"/>
            <w:left w:w="0" w:type="dxa"/>
            <w:bottom w:w="0" w:type="dxa"/>
            <w:right w:w="0" w:type="dxa"/>
          </w:tblCellMar>
        </w:tblPrEx>
        <w:trPr>
          <w:trHeight w:val="147"/>
          <w:tblHeader/>
        </w:trPr>
        <w:tc>
          <w:tcPr>
            <w:tcW w:w="5669"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000D6E6A" w:rsidRDefault="000D6E6A">
            <w:pPr>
              <w:pStyle w:val="bodycopytabletable"/>
            </w:pPr>
            <w:r>
              <w:rPr>
                <w:rStyle w:val="mediumpurple"/>
                <w:b/>
                <w:bCs/>
              </w:rPr>
              <w:t>Division</w:t>
            </w:r>
          </w:p>
        </w:tc>
        <w:tc>
          <w:tcPr>
            <w:tcW w:w="1701"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000D6E6A" w:rsidRDefault="000D6E6A">
            <w:pPr>
              <w:pStyle w:val="bodycopytabletable"/>
              <w:jc w:val="right"/>
            </w:pPr>
            <w:r>
              <w:rPr>
                <w:rStyle w:val="mediumpurple"/>
                <w:b/>
                <w:bCs/>
              </w:rPr>
              <w:t>30 June 2018</w:t>
            </w:r>
          </w:p>
        </w:tc>
        <w:tc>
          <w:tcPr>
            <w:tcW w:w="1701"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000D6E6A" w:rsidRDefault="000D6E6A">
            <w:pPr>
              <w:pStyle w:val="bodycopytabletable"/>
              <w:jc w:val="right"/>
            </w:pPr>
            <w:r>
              <w:rPr>
                <w:rStyle w:val="mediumpurple"/>
                <w:b/>
                <w:bCs/>
              </w:rPr>
              <w:t>30 June 2017</w:t>
            </w:r>
          </w:p>
        </w:tc>
      </w:tr>
      <w:tr w:rsidR="000D6E6A" w:rsidTr="00D92A2B">
        <w:tblPrEx>
          <w:tblCellMar>
            <w:top w:w="0" w:type="dxa"/>
            <w:left w:w="0" w:type="dxa"/>
            <w:bottom w:w="0" w:type="dxa"/>
            <w:right w:w="0" w:type="dxa"/>
          </w:tblCellMar>
        </w:tblPrEx>
        <w:trPr>
          <w:trHeight w:val="60"/>
        </w:trPr>
        <w:tc>
          <w:tcPr>
            <w:tcW w:w="5669"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pPr>
            <w:r>
              <w:t xml:space="preserve">Office of the Secretary </w:t>
            </w:r>
            <w:r>
              <w:rPr>
                <w:rStyle w:val="Superscript"/>
              </w:rPr>
              <w:t>a</w:t>
            </w:r>
          </w:p>
        </w:tc>
        <w:tc>
          <w:tcPr>
            <w:tcW w:w="1701"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jc w:val="right"/>
            </w:pPr>
            <w:r>
              <w:t>26</w:t>
            </w:r>
          </w:p>
        </w:tc>
        <w:tc>
          <w:tcPr>
            <w:tcW w:w="1701"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jc w:val="right"/>
            </w:pPr>
            <w:r>
              <w:t>59</w:t>
            </w:r>
          </w:p>
        </w:tc>
      </w:tr>
      <w:tr w:rsidR="000D6E6A" w:rsidTr="00D92A2B">
        <w:tblPrEx>
          <w:tblCellMar>
            <w:top w:w="0" w:type="dxa"/>
            <w:left w:w="0" w:type="dxa"/>
            <w:bottom w:w="0" w:type="dxa"/>
            <w:right w:w="0" w:type="dxa"/>
          </w:tblCellMar>
        </w:tblPrEx>
        <w:trPr>
          <w:trHeight w:val="60"/>
        </w:trPr>
        <w:tc>
          <w:tcPr>
            <w:tcW w:w="5669"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pPr>
            <w:r>
              <w:t xml:space="preserve">Police, Corrections and Emergency Management </w:t>
            </w:r>
            <w:r>
              <w:rPr>
                <w:rStyle w:val="Superscript"/>
              </w:rPr>
              <w:t>b</w:t>
            </w:r>
          </w:p>
        </w:tc>
        <w:tc>
          <w:tcPr>
            <w:tcW w:w="1701"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jc w:val="right"/>
            </w:pPr>
            <w:r>
              <w:t>2</w:t>
            </w:r>
          </w:p>
        </w:tc>
        <w:tc>
          <w:tcPr>
            <w:tcW w:w="1701"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jc w:val="right"/>
            </w:pPr>
            <w:r>
              <w:t>N/A</w:t>
            </w:r>
          </w:p>
        </w:tc>
      </w:tr>
      <w:tr w:rsidR="000D6E6A" w:rsidTr="00D92A2B">
        <w:tblPrEx>
          <w:tblCellMar>
            <w:top w:w="0" w:type="dxa"/>
            <w:left w:w="0" w:type="dxa"/>
            <w:bottom w:w="0" w:type="dxa"/>
            <w:right w:w="0" w:type="dxa"/>
          </w:tblCellMar>
        </w:tblPrEx>
        <w:trPr>
          <w:trHeight w:val="60"/>
        </w:trPr>
        <w:tc>
          <w:tcPr>
            <w:tcW w:w="5669"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pPr>
            <w:r>
              <w:t xml:space="preserve">Corrections Victoria </w:t>
            </w:r>
            <w:r>
              <w:rPr>
                <w:rStyle w:val="Superscript"/>
              </w:rPr>
              <w:t>c</w:t>
            </w:r>
          </w:p>
        </w:tc>
        <w:tc>
          <w:tcPr>
            <w:tcW w:w="1701"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jc w:val="right"/>
            </w:pPr>
            <w:r>
              <w:t>989</w:t>
            </w:r>
          </w:p>
        </w:tc>
        <w:tc>
          <w:tcPr>
            <w:tcW w:w="1701"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jc w:val="right"/>
            </w:pPr>
            <w:r>
              <w:t>842</w:t>
            </w:r>
          </w:p>
        </w:tc>
      </w:tr>
      <w:tr w:rsidR="000D6E6A" w:rsidTr="00D92A2B">
        <w:tblPrEx>
          <w:tblCellMar>
            <w:top w:w="0" w:type="dxa"/>
            <w:left w:w="0" w:type="dxa"/>
            <w:bottom w:w="0" w:type="dxa"/>
            <w:right w:w="0" w:type="dxa"/>
          </w:tblCellMar>
        </w:tblPrEx>
        <w:trPr>
          <w:trHeight w:val="60"/>
        </w:trPr>
        <w:tc>
          <w:tcPr>
            <w:tcW w:w="5669"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pPr>
            <w:r>
              <w:t>Emergency Management Victoria</w:t>
            </w:r>
          </w:p>
        </w:tc>
        <w:tc>
          <w:tcPr>
            <w:tcW w:w="1701"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jc w:val="right"/>
            </w:pPr>
            <w:r>
              <w:t>154</w:t>
            </w:r>
          </w:p>
        </w:tc>
        <w:tc>
          <w:tcPr>
            <w:tcW w:w="1701"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jc w:val="right"/>
            </w:pPr>
            <w:r>
              <w:t>138</w:t>
            </w:r>
          </w:p>
        </w:tc>
      </w:tr>
      <w:tr w:rsidR="000D6E6A" w:rsidTr="00D92A2B">
        <w:tblPrEx>
          <w:tblCellMar>
            <w:top w:w="0" w:type="dxa"/>
            <w:left w:w="0" w:type="dxa"/>
            <w:bottom w:w="0" w:type="dxa"/>
            <w:right w:w="0" w:type="dxa"/>
          </w:tblCellMar>
        </w:tblPrEx>
        <w:trPr>
          <w:trHeight w:val="60"/>
        </w:trPr>
        <w:tc>
          <w:tcPr>
            <w:tcW w:w="5669"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pPr>
            <w:r>
              <w:t>Police and Crime Prevention</w:t>
            </w:r>
          </w:p>
        </w:tc>
        <w:tc>
          <w:tcPr>
            <w:tcW w:w="1701"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jc w:val="right"/>
            </w:pPr>
            <w:r>
              <w:t>61</w:t>
            </w:r>
          </w:p>
        </w:tc>
        <w:tc>
          <w:tcPr>
            <w:tcW w:w="1701"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jc w:val="right"/>
            </w:pPr>
            <w:r>
              <w:t>50</w:t>
            </w:r>
          </w:p>
        </w:tc>
      </w:tr>
      <w:tr w:rsidR="000D6E6A" w:rsidTr="00D92A2B">
        <w:tblPrEx>
          <w:tblCellMar>
            <w:top w:w="0" w:type="dxa"/>
            <w:left w:w="0" w:type="dxa"/>
            <w:bottom w:w="0" w:type="dxa"/>
            <w:right w:w="0" w:type="dxa"/>
          </w:tblCellMar>
        </w:tblPrEx>
        <w:trPr>
          <w:trHeight w:val="60"/>
        </w:trPr>
        <w:tc>
          <w:tcPr>
            <w:tcW w:w="5669"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pPr>
            <w:r>
              <w:t>Liquor Gaming and Racing</w:t>
            </w:r>
          </w:p>
        </w:tc>
        <w:tc>
          <w:tcPr>
            <w:tcW w:w="1701"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jc w:val="right"/>
            </w:pPr>
            <w:r>
              <w:t>41</w:t>
            </w:r>
          </w:p>
        </w:tc>
        <w:tc>
          <w:tcPr>
            <w:tcW w:w="1701"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jc w:val="right"/>
            </w:pPr>
            <w:r>
              <w:t>40</w:t>
            </w:r>
          </w:p>
        </w:tc>
      </w:tr>
      <w:tr w:rsidR="000D6E6A" w:rsidTr="00D92A2B">
        <w:tblPrEx>
          <w:tblCellMar>
            <w:top w:w="0" w:type="dxa"/>
            <w:left w:w="0" w:type="dxa"/>
            <w:bottom w:w="0" w:type="dxa"/>
            <w:right w:w="0" w:type="dxa"/>
          </w:tblCellMar>
        </w:tblPrEx>
        <w:trPr>
          <w:trHeight w:val="60"/>
        </w:trPr>
        <w:tc>
          <w:tcPr>
            <w:tcW w:w="5669"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pPr>
            <w:r>
              <w:t>North West Metro Area</w:t>
            </w:r>
          </w:p>
        </w:tc>
        <w:tc>
          <w:tcPr>
            <w:tcW w:w="1701"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jc w:val="right"/>
            </w:pPr>
            <w:r>
              <w:t>1893</w:t>
            </w:r>
          </w:p>
        </w:tc>
        <w:tc>
          <w:tcPr>
            <w:tcW w:w="1701"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jc w:val="right"/>
            </w:pPr>
            <w:r>
              <w:t>1845</w:t>
            </w:r>
          </w:p>
        </w:tc>
      </w:tr>
      <w:tr w:rsidR="000D6E6A" w:rsidTr="00D92A2B">
        <w:tblPrEx>
          <w:tblCellMar>
            <w:top w:w="0" w:type="dxa"/>
            <w:left w:w="0" w:type="dxa"/>
            <w:bottom w:w="0" w:type="dxa"/>
            <w:right w:w="0" w:type="dxa"/>
          </w:tblCellMar>
        </w:tblPrEx>
        <w:trPr>
          <w:trHeight w:val="60"/>
        </w:trPr>
        <w:tc>
          <w:tcPr>
            <w:tcW w:w="5669"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pPr>
            <w:r>
              <w:t>North Area</w:t>
            </w:r>
          </w:p>
        </w:tc>
        <w:tc>
          <w:tcPr>
            <w:tcW w:w="1701"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jc w:val="right"/>
            </w:pPr>
            <w:r>
              <w:t>881</w:t>
            </w:r>
          </w:p>
        </w:tc>
        <w:tc>
          <w:tcPr>
            <w:tcW w:w="1701"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jc w:val="right"/>
            </w:pPr>
            <w:r>
              <w:t>884</w:t>
            </w:r>
          </w:p>
        </w:tc>
      </w:tr>
      <w:tr w:rsidR="000D6E6A" w:rsidTr="00D92A2B">
        <w:tblPrEx>
          <w:tblCellMar>
            <w:top w:w="0" w:type="dxa"/>
            <w:left w:w="0" w:type="dxa"/>
            <w:bottom w:w="0" w:type="dxa"/>
            <w:right w:w="0" w:type="dxa"/>
          </w:tblCellMar>
        </w:tblPrEx>
        <w:trPr>
          <w:trHeight w:val="60"/>
        </w:trPr>
        <w:tc>
          <w:tcPr>
            <w:tcW w:w="5669"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pPr>
            <w:r>
              <w:t>South Area</w:t>
            </w:r>
          </w:p>
        </w:tc>
        <w:tc>
          <w:tcPr>
            <w:tcW w:w="1701"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jc w:val="right"/>
            </w:pPr>
            <w:r>
              <w:t>587</w:t>
            </w:r>
          </w:p>
        </w:tc>
        <w:tc>
          <w:tcPr>
            <w:tcW w:w="1701"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jc w:val="right"/>
            </w:pPr>
            <w:r>
              <w:t>575</w:t>
            </w:r>
          </w:p>
        </w:tc>
      </w:tr>
      <w:tr w:rsidR="000D6E6A" w:rsidTr="00D92A2B">
        <w:tblPrEx>
          <w:tblCellMar>
            <w:top w:w="0" w:type="dxa"/>
            <w:left w:w="0" w:type="dxa"/>
            <w:bottom w:w="0" w:type="dxa"/>
            <w:right w:w="0" w:type="dxa"/>
          </w:tblCellMar>
        </w:tblPrEx>
        <w:trPr>
          <w:trHeight w:val="60"/>
        </w:trPr>
        <w:tc>
          <w:tcPr>
            <w:tcW w:w="5669"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pPr>
            <w:r>
              <w:t>West Area</w:t>
            </w:r>
          </w:p>
        </w:tc>
        <w:tc>
          <w:tcPr>
            <w:tcW w:w="1701"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jc w:val="right"/>
            </w:pPr>
            <w:r>
              <w:t>1658</w:t>
            </w:r>
          </w:p>
        </w:tc>
        <w:tc>
          <w:tcPr>
            <w:tcW w:w="1701"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jc w:val="right"/>
            </w:pPr>
            <w:r>
              <w:t>1595</w:t>
            </w:r>
          </w:p>
        </w:tc>
      </w:tr>
      <w:tr w:rsidR="000D6E6A" w:rsidTr="00D92A2B">
        <w:tblPrEx>
          <w:tblCellMar>
            <w:top w:w="0" w:type="dxa"/>
            <w:left w:w="0" w:type="dxa"/>
            <w:bottom w:w="0" w:type="dxa"/>
            <w:right w:w="0" w:type="dxa"/>
          </w:tblCellMar>
        </w:tblPrEx>
        <w:trPr>
          <w:trHeight w:val="60"/>
        </w:trPr>
        <w:tc>
          <w:tcPr>
            <w:tcW w:w="5669"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pPr>
            <w:r>
              <w:t>Regulation</w:t>
            </w:r>
          </w:p>
        </w:tc>
        <w:tc>
          <w:tcPr>
            <w:tcW w:w="1701"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jc w:val="right"/>
            </w:pPr>
            <w:r>
              <w:t>456</w:t>
            </w:r>
          </w:p>
        </w:tc>
        <w:tc>
          <w:tcPr>
            <w:tcW w:w="1701"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jc w:val="right"/>
            </w:pPr>
            <w:r>
              <w:t>422</w:t>
            </w:r>
          </w:p>
        </w:tc>
      </w:tr>
      <w:tr w:rsidR="000D6E6A" w:rsidTr="00D92A2B">
        <w:tblPrEx>
          <w:tblCellMar>
            <w:top w:w="0" w:type="dxa"/>
            <w:left w:w="0" w:type="dxa"/>
            <w:bottom w:w="0" w:type="dxa"/>
            <w:right w:w="0" w:type="dxa"/>
          </w:tblCellMar>
        </w:tblPrEx>
        <w:trPr>
          <w:trHeight w:val="60"/>
        </w:trPr>
        <w:tc>
          <w:tcPr>
            <w:tcW w:w="5669"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pPr>
            <w:r>
              <w:t>Finance, Infrastructure and Governance</w:t>
            </w:r>
          </w:p>
        </w:tc>
        <w:tc>
          <w:tcPr>
            <w:tcW w:w="1701"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jc w:val="right"/>
            </w:pPr>
            <w:r>
              <w:t>409</w:t>
            </w:r>
          </w:p>
        </w:tc>
        <w:tc>
          <w:tcPr>
            <w:tcW w:w="1701"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jc w:val="right"/>
            </w:pPr>
            <w:r>
              <w:t>376</w:t>
            </w:r>
          </w:p>
        </w:tc>
      </w:tr>
      <w:tr w:rsidR="000D6E6A" w:rsidTr="00D92A2B">
        <w:tblPrEx>
          <w:tblCellMar>
            <w:top w:w="0" w:type="dxa"/>
            <w:left w:w="0" w:type="dxa"/>
            <w:bottom w:w="0" w:type="dxa"/>
            <w:right w:w="0" w:type="dxa"/>
          </w:tblCellMar>
        </w:tblPrEx>
        <w:trPr>
          <w:trHeight w:val="60"/>
        </w:trPr>
        <w:tc>
          <w:tcPr>
            <w:tcW w:w="5669"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pPr>
            <w:r>
              <w:t>Civil Justice</w:t>
            </w:r>
          </w:p>
        </w:tc>
        <w:tc>
          <w:tcPr>
            <w:tcW w:w="1701"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jc w:val="right"/>
            </w:pPr>
            <w:r>
              <w:t>297</w:t>
            </w:r>
          </w:p>
        </w:tc>
        <w:tc>
          <w:tcPr>
            <w:tcW w:w="1701"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jc w:val="right"/>
            </w:pPr>
            <w:r>
              <w:t>276</w:t>
            </w:r>
          </w:p>
        </w:tc>
      </w:tr>
      <w:tr w:rsidR="000D6E6A" w:rsidTr="00D92A2B">
        <w:tblPrEx>
          <w:tblCellMar>
            <w:top w:w="0" w:type="dxa"/>
            <w:left w:w="0" w:type="dxa"/>
            <w:bottom w:w="0" w:type="dxa"/>
            <w:right w:w="0" w:type="dxa"/>
          </w:tblCellMar>
        </w:tblPrEx>
        <w:trPr>
          <w:trHeight w:val="60"/>
        </w:trPr>
        <w:tc>
          <w:tcPr>
            <w:tcW w:w="5669"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pPr>
            <w:r>
              <w:t>Criminal Law Policy and Operations</w:t>
            </w:r>
          </w:p>
        </w:tc>
        <w:tc>
          <w:tcPr>
            <w:tcW w:w="1701"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jc w:val="right"/>
            </w:pPr>
            <w:r>
              <w:t>613</w:t>
            </w:r>
          </w:p>
        </w:tc>
        <w:tc>
          <w:tcPr>
            <w:tcW w:w="1701"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jc w:val="right"/>
            </w:pPr>
            <w:r>
              <w:t>593</w:t>
            </w:r>
          </w:p>
        </w:tc>
      </w:tr>
      <w:tr w:rsidR="000D6E6A" w:rsidTr="00D92A2B">
        <w:tblPrEx>
          <w:tblCellMar>
            <w:top w:w="0" w:type="dxa"/>
            <w:left w:w="0" w:type="dxa"/>
            <w:bottom w:w="0" w:type="dxa"/>
            <w:right w:w="0" w:type="dxa"/>
          </w:tblCellMar>
        </w:tblPrEx>
        <w:trPr>
          <w:trHeight w:val="60"/>
        </w:trPr>
        <w:tc>
          <w:tcPr>
            <w:tcW w:w="5669"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pPr>
            <w:r>
              <w:t>Criminal Justice Strategy and Co-ordination</w:t>
            </w:r>
          </w:p>
        </w:tc>
        <w:tc>
          <w:tcPr>
            <w:tcW w:w="1701"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jc w:val="right"/>
            </w:pPr>
            <w:r>
              <w:t>22</w:t>
            </w:r>
          </w:p>
        </w:tc>
        <w:tc>
          <w:tcPr>
            <w:tcW w:w="1701"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jc w:val="right"/>
            </w:pPr>
            <w:r>
              <w:t>16</w:t>
            </w:r>
          </w:p>
        </w:tc>
      </w:tr>
      <w:tr w:rsidR="000D6E6A" w:rsidTr="00D92A2B">
        <w:tblPrEx>
          <w:tblCellMar>
            <w:top w:w="0" w:type="dxa"/>
            <w:left w:w="0" w:type="dxa"/>
            <w:bottom w:w="0" w:type="dxa"/>
            <w:right w:w="0" w:type="dxa"/>
          </w:tblCellMar>
        </w:tblPrEx>
        <w:trPr>
          <w:trHeight w:val="60"/>
        </w:trPr>
        <w:tc>
          <w:tcPr>
            <w:tcW w:w="5669"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pPr>
            <w:r>
              <w:t>Service Strategy Reform</w:t>
            </w:r>
          </w:p>
        </w:tc>
        <w:tc>
          <w:tcPr>
            <w:tcW w:w="1701"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jc w:val="right"/>
            </w:pPr>
            <w:r>
              <w:t>312</w:t>
            </w:r>
          </w:p>
        </w:tc>
        <w:tc>
          <w:tcPr>
            <w:tcW w:w="1701"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jc w:val="right"/>
            </w:pPr>
            <w:r>
              <w:t>269</w:t>
            </w:r>
          </w:p>
        </w:tc>
      </w:tr>
      <w:tr w:rsidR="000D6E6A" w:rsidTr="00D92A2B">
        <w:tblPrEx>
          <w:tblCellMar>
            <w:top w:w="0" w:type="dxa"/>
            <w:left w:w="0" w:type="dxa"/>
            <w:bottom w:w="0" w:type="dxa"/>
            <w:right w:w="0" w:type="dxa"/>
          </w:tblCellMar>
        </w:tblPrEx>
        <w:trPr>
          <w:trHeight w:val="60"/>
        </w:trPr>
        <w:tc>
          <w:tcPr>
            <w:tcW w:w="5669"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pPr>
            <w:r>
              <w:t xml:space="preserve">Youth Justice </w:t>
            </w:r>
            <w:r>
              <w:rPr>
                <w:rStyle w:val="Superscript"/>
              </w:rPr>
              <w:t>d</w:t>
            </w:r>
          </w:p>
        </w:tc>
        <w:tc>
          <w:tcPr>
            <w:tcW w:w="1701"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jc w:val="right"/>
            </w:pPr>
            <w:r>
              <w:t>669</w:t>
            </w:r>
          </w:p>
        </w:tc>
        <w:tc>
          <w:tcPr>
            <w:tcW w:w="1701"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jc w:val="right"/>
            </w:pPr>
            <w:r>
              <w:t>539</w:t>
            </w:r>
          </w:p>
        </w:tc>
      </w:tr>
      <w:tr w:rsidR="000D6E6A" w:rsidTr="00D92A2B">
        <w:tblPrEx>
          <w:tblCellMar>
            <w:top w:w="0" w:type="dxa"/>
            <w:left w:w="0" w:type="dxa"/>
            <w:bottom w:w="0" w:type="dxa"/>
            <w:right w:w="0" w:type="dxa"/>
          </w:tblCellMar>
        </w:tblPrEx>
        <w:trPr>
          <w:trHeight w:val="60"/>
        </w:trPr>
        <w:tc>
          <w:tcPr>
            <w:tcW w:w="5669"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000D6E6A" w:rsidRDefault="000D6E6A">
            <w:pPr>
              <w:pStyle w:val="bodycopytabletable"/>
            </w:pPr>
            <w:r>
              <w:t>Total</w:t>
            </w:r>
          </w:p>
        </w:tc>
        <w:tc>
          <w:tcPr>
            <w:tcW w:w="1701"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000D6E6A" w:rsidRDefault="000D6E6A">
            <w:pPr>
              <w:pStyle w:val="bodycopytabletable"/>
              <w:jc w:val="right"/>
            </w:pPr>
            <w:r>
              <w:t>9070</w:t>
            </w:r>
          </w:p>
        </w:tc>
        <w:tc>
          <w:tcPr>
            <w:tcW w:w="1701"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000D6E6A" w:rsidRDefault="000D6E6A">
            <w:pPr>
              <w:pStyle w:val="bodycopytabletable"/>
              <w:jc w:val="right"/>
            </w:pPr>
            <w:r>
              <w:t>8519</w:t>
            </w:r>
          </w:p>
        </w:tc>
      </w:tr>
    </w:tbl>
    <w:p w:rsidR="000D6E6A" w:rsidP="00D92A2B" w:rsidRDefault="000D6E6A">
      <w:pPr>
        <w:pStyle w:val="notesspantable"/>
        <w:spacing w:before="60"/>
      </w:pPr>
      <w:r>
        <w:t>Notes:</w:t>
      </w:r>
    </w:p>
    <w:p w:rsidR="000D6E6A" w:rsidRDefault="000D6E6A">
      <w:pPr>
        <w:pStyle w:val="notesspantable"/>
      </w:pPr>
      <w:r>
        <w:t xml:space="preserve">All figures reflect active public service employees in the department, employed in the last full pay period in June each year. </w:t>
      </w:r>
    </w:p>
    <w:p w:rsidR="000D6E6A" w:rsidRDefault="000D6E6A">
      <w:pPr>
        <w:pStyle w:val="notesspantable"/>
      </w:pPr>
      <w:r>
        <w:t xml:space="preserve">The figures exclude those persons on leave without pay or absent on secondment, external contractors/consultants, temporary staff employed by employment agencies, and a small number of people who are appointees to a statutory office but not employees as defined in the </w:t>
      </w:r>
      <w:r>
        <w:rPr>
          <w:rStyle w:val="italic"/>
        </w:rPr>
        <w:t>Public Administration Act 2004</w:t>
      </w:r>
      <w:r>
        <w:t xml:space="preserve"> (such as persons appointed to a non-executive board member role, to an office of a commissioner or to a judicial office).</w:t>
      </w:r>
    </w:p>
    <w:p w:rsidR="000D6E6A" w:rsidRDefault="000D6E6A">
      <w:pPr>
        <w:pStyle w:val="notesspantable"/>
        <w:ind w:left="170" w:hanging="170"/>
      </w:pPr>
      <w:proofErr w:type="spellStart"/>
      <w:r>
        <w:t>a</w:t>
      </w:r>
      <w:proofErr w:type="spellEnd"/>
      <w:r>
        <w:tab/>
        <w:t>The Regional Support Unit, previously in the Office of the Secretary, was transferred to the Finance, Infrastructure and Governance division.</w:t>
      </w:r>
    </w:p>
    <w:p w:rsidR="000D6E6A" w:rsidRDefault="000D6E6A">
      <w:pPr>
        <w:pStyle w:val="notesspantable"/>
        <w:ind w:left="170" w:hanging="170"/>
      </w:pPr>
      <w:r>
        <w:t>b</w:t>
      </w:r>
      <w:r>
        <w:tab/>
        <w:t>The Police, Corrections and Emergency Management division was created during the financial year. The Lead Deputy Secretary is responsible for the oversight of three existing divisions (Corrections Victoria, Emergency Management Victoria, and Police and Crime Prevention).</w:t>
      </w:r>
    </w:p>
    <w:p w:rsidR="000D6E6A" w:rsidRDefault="000D6E6A">
      <w:pPr>
        <w:pStyle w:val="notesspantable"/>
        <w:ind w:left="170" w:hanging="170"/>
      </w:pPr>
      <w:r>
        <w:t>c</w:t>
      </w:r>
      <w:r>
        <w:tab/>
        <w:t>Growth in Corrections Victoria relates to the implementation of the Harper Review serious-offender reforms as well as support for the Community Correctional Service Reforms.</w:t>
      </w:r>
    </w:p>
    <w:p w:rsidR="000D6E6A" w:rsidRDefault="000D6E6A">
      <w:pPr>
        <w:pStyle w:val="notesspantable"/>
        <w:ind w:left="170" w:hanging="170"/>
      </w:pPr>
      <w:r>
        <w:t>d</w:t>
      </w:r>
      <w:r>
        <w:tab/>
        <w:t>There has been an increase in youth justice policy and project staff to support youth justice Initiatives.</w:t>
      </w:r>
    </w:p>
    <w:p w:rsidR="000D6E6A" w:rsidP="00D92A2B" w:rsidRDefault="000D6E6A">
      <w:pPr>
        <w:pStyle w:val="Bodycopy"/>
        <w:rPr>
          <w:rStyle w:val="italic"/>
          <w:b/>
          <w:bCs/>
        </w:rPr>
      </w:pPr>
    </w:p>
    <w:p w:rsidR="000D6E6A" w:rsidRDefault="000D6E6A">
      <w:pPr>
        <w:pStyle w:val="H2"/>
      </w:pPr>
      <w:r>
        <w:t>Comparative workforce data</w:t>
      </w:r>
    </w:p>
    <w:tbl>
      <w:tblPr>
        <w:tblW w:w="0" w:type="auto"/>
        <w:tblInd w:w="57" w:type="dxa"/>
        <w:tblLayout w:type="fixed"/>
        <w:tblCellMar>
          <w:left w:w="0" w:type="dxa"/>
          <w:right w:w="0" w:type="dxa"/>
        </w:tblCellMar>
        <w:tblLook w:firstRow="0" w:lastRow="0" w:firstColumn="0" w:lastColumn="0" w:noHBand="0" w:noVBand="0" w:val="0000"/>
      </w:tblPr>
      <w:tblGrid>
        <w:gridCol w:w="3771"/>
        <w:gridCol w:w="992"/>
        <w:gridCol w:w="709"/>
        <w:gridCol w:w="1134"/>
        <w:gridCol w:w="1134"/>
        <w:gridCol w:w="708"/>
        <w:gridCol w:w="993"/>
        <w:gridCol w:w="708"/>
      </w:tblGrid>
      <w:tr w:rsidRPr="00D92A2B" w:rsidR="000D6E6A" w:rsidTr="00D92A2B">
        <w:tblPrEx>
          <w:tblCellMar>
            <w:top w:w="0" w:type="dxa"/>
            <w:left w:w="0" w:type="dxa"/>
            <w:bottom w:w="0" w:type="dxa"/>
            <w:right w:w="0" w:type="dxa"/>
          </w:tblCellMar>
        </w:tblPrEx>
        <w:trPr>
          <w:trHeight w:val="60"/>
          <w:tblHeader/>
        </w:trPr>
        <w:tc>
          <w:tcPr>
            <w:tcW w:w="3771" w:type="dxa"/>
            <w:tcBorders>
              <w:top w:val="dotted" w:color="000000" w:sz="6" w:space="0"/>
              <w:left w:val="nil"/>
              <w:bottom w:val="single" w:color="542E8E" w:sz="4" w:space="0"/>
              <w:right w:val="single" w:color="542E8E" w:sz="6" w:space="0"/>
            </w:tcBorders>
            <w:shd w:val="solid" w:color="FFFFFF" w:fill="auto"/>
            <w:tcMar>
              <w:top w:w="57" w:type="dxa"/>
              <w:left w:w="57" w:type="dxa"/>
              <w:bottom w:w="57" w:type="dxa"/>
              <w:right w:w="57" w:type="dxa"/>
            </w:tcMar>
          </w:tcPr>
          <w:p w:rsidRPr="00D92A2B" w:rsidR="000D6E6A" w:rsidRDefault="000D6E6A">
            <w:pPr>
              <w:pStyle w:val="NoParagraphStyle"/>
              <w:spacing w:line="240" w:lineRule="auto"/>
              <w:textAlignment w:val="auto"/>
              <w:rPr>
                <w:color w:val="auto"/>
                <w:sz w:val="16"/>
                <w:szCs w:val="16"/>
              </w:rPr>
            </w:pPr>
          </w:p>
        </w:tc>
        <w:tc>
          <w:tcPr>
            <w:tcW w:w="6378" w:type="dxa"/>
            <w:gridSpan w:val="7"/>
            <w:tcBorders>
              <w:top w:val="dotted" w:color="000000" w:sz="6" w:space="0"/>
              <w:left w:val="single" w:color="542E8E" w:sz="6" w:space="0"/>
              <w:bottom w:val="single" w:color="542E8E" w:sz="4" w:space="0"/>
              <w:right w:val="nil"/>
            </w:tcBorders>
            <w:shd w:val="solid" w:color="FFFFFF" w:fill="auto"/>
            <w:tcMar>
              <w:top w:w="57" w:type="dxa"/>
              <w:left w:w="57" w:type="dxa"/>
              <w:bottom w:w="57" w:type="dxa"/>
              <w:right w:w="57" w:type="dxa"/>
            </w:tcMar>
          </w:tcPr>
          <w:p w:rsidRPr="00D92A2B" w:rsidR="000D6E6A" w:rsidRDefault="000D6E6A">
            <w:pPr>
              <w:pStyle w:val="bodycopytabletable"/>
              <w:jc w:val="center"/>
            </w:pPr>
            <w:r w:rsidRPr="00D92A2B">
              <w:rPr>
                <w:rStyle w:val="mediumpurple"/>
                <w:b/>
                <w:bCs/>
              </w:rPr>
              <w:t>As at 30 June 2018</w:t>
            </w:r>
          </w:p>
        </w:tc>
      </w:tr>
      <w:tr w:rsidRPr="00D92A2B" w:rsidR="000D6E6A" w:rsidTr="00D92A2B">
        <w:tblPrEx>
          <w:tblCellMar>
            <w:top w:w="0" w:type="dxa"/>
            <w:left w:w="0" w:type="dxa"/>
            <w:bottom w:w="0" w:type="dxa"/>
            <w:right w:w="0" w:type="dxa"/>
          </w:tblCellMar>
        </w:tblPrEx>
        <w:trPr>
          <w:trHeight w:val="60"/>
          <w:tblHeader/>
        </w:trPr>
        <w:tc>
          <w:tcPr>
            <w:tcW w:w="3771" w:type="dxa"/>
            <w:tcBorders>
              <w:top w:val="single" w:color="542E8E" w:sz="4" w:space="0"/>
              <w:left w:val="nil"/>
              <w:bottom w:val="single" w:color="542E8E" w:sz="6" w:space="0"/>
              <w:right w:val="single" w:color="542E8E" w:sz="6" w:space="0"/>
            </w:tcBorders>
            <w:shd w:val="solid" w:color="FFFFFF" w:fill="auto"/>
            <w:tcMar>
              <w:top w:w="57" w:type="dxa"/>
              <w:left w:w="57" w:type="dxa"/>
              <w:bottom w:w="57" w:type="dxa"/>
              <w:right w:w="57" w:type="dxa"/>
            </w:tcMar>
          </w:tcPr>
          <w:p w:rsidRPr="00D92A2B" w:rsidR="000D6E6A" w:rsidRDefault="000D6E6A">
            <w:pPr>
              <w:pStyle w:val="NoParagraphStyle"/>
              <w:spacing w:line="240" w:lineRule="auto"/>
              <w:textAlignment w:val="auto"/>
              <w:rPr>
                <w:color w:val="auto"/>
                <w:sz w:val="16"/>
                <w:szCs w:val="16"/>
              </w:rPr>
            </w:pPr>
          </w:p>
        </w:tc>
        <w:tc>
          <w:tcPr>
            <w:tcW w:w="1701" w:type="dxa"/>
            <w:gridSpan w:val="2"/>
            <w:tcBorders>
              <w:top w:val="single" w:color="542E8E" w:sz="4" w:space="0"/>
              <w:left w:val="single" w:color="542E8E" w:sz="6" w:space="0"/>
              <w:bottom w:val="single" w:color="542E8E" w:sz="6" w:space="0"/>
              <w:right w:val="nil"/>
            </w:tcBorders>
            <w:shd w:val="solid" w:color="FFFFFF" w:fill="auto"/>
            <w:tcMar>
              <w:top w:w="57" w:type="dxa"/>
              <w:left w:w="57" w:type="dxa"/>
              <w:bottom w:w="57" w:type="dxa"/>
              <w:right w:w="57" w:type="dxa"/>
            </w:tcMar>
            <w:vAlign w:val="bottom"/>
          </w:tcPr>
          <w:p w:rsidRPr="00D92A2B" w:rsidR="000D6E6A" w:rsidP="00D92A2B" w:rsidRDefault="000D6E6A">
            <w:pPr>
              <w:pStyle w:val="bodycopytabletable"/>
              <w:jc w:val="center"/>
            </w:pPr>
            <w:r w:rsidRPr="00D92A2B">
              <w:rPr>
                <w:rStyle w:val="mediumpurple"/>
                <w:b/>
                <w:bCs/>
              </w:rPr>
              <w:t>All employees</w:t>
            </w:r>
          </w:p>
        </w:tc>
        <w:tc>
          <w:tcPr>
            <w:tcW w:w="2976" w:type="dxa"/>
            <w:gridSpan w:val="3"/>
            <w:tcBorders>
              <w:top w:val="single" w:color="542E8E" w:sz="4" w:space="0"/>
              <w:left w:val="single" w:color="542E8E" w:sz="4" w:space="0"/>
              <w:bottom w:val="single" w:color="542E8E" w:sz="6" w:space="0"/>
              <w:right w:val="nil"/>
            </w:tcBorders>
            <w:shd w:val="solid" w:color="FFFFFF" w:fill="auto"/>
            <w:tcMar>
              <w:top w:w="57" w:type="dxa"/>
              <w:left w:w="57" w:type="dxa"/>
              <w:bottom w:w="57" w:type="dxa"/>
              <w:right w:w="57" w:type="dxa"/>
            </w:tcMar>
            <w:vAlign w:val="bottom"/>
          </w:tcPr>
          <w:p w:rsidRPr="00D92A2B" w:rsidR="000D6E6A" w:rsidP="00D92A2B" w:rsidRDefault="000D6E6A">
            <w:pPr>
              <w:pStyle w:val="bodycopytabletable"/>
              <w:jc w:val="center"/>
            </w:pPr>
            <w:proofErr w:type="spellStart"/>
            <w:r w:rsidRPr="00D92A2B">
              <w:rPr>
                <w:rStyle w:val="mediumpurple"/>
                <w:b/>
                <w:bCs/>
              </w:rPr>
              <w:t>Ongoing</w:t>
            </w:r>
            <w:r w:rsidRPr="00D92A2B">
              <w:rPr>
                <w:rStyle w:val="Superscript"/>
                <w:color w:val="542E8E"/>
              </w:rPr>
              <w:t>a</w:t>
            </w:r>
            <w:proofErr w:type="spellEnd"/>
          </w:p>
        </w:tc>
        <w:tc>
          <w:tcPr>
            <w:tcW w:w="1701" w:type="dxa"/>
            <w:gridSpan w:val="2"/>
            <w:tcBorders>
              <w:top w:val="single" w:color="542E8E" w:sz="4" w:space="0"/>
              <w:left w:val="single" w:color="542E8E" w:sz="4" w:space="0"/>
              <w:bottom w:val="single" w:color="542E8E" w:sz="6" w:space="0"/>
              <w:right w:val="nil"/>
            </w:tcBorders>
            <w:shd w:val="solid" w:color="FFFFFF" w:fill="auto"/>
            <w:tcMar>
              <w:top w:w="57" w:type="dxa"/>
              <w:left w:w="57" w:type="dxa"/>
              <w:bottom w:w="57" w:type="dxa"/>
              <w:right w:w="57" w:type="dxa"/>
            </w:tcMar>
            <w:vAlign w:val="bottom"/>
          </w:tcPr>
          <w:p w:rsidRPr="00D92A2B" w:rsidR="000D6E6A" w:rsidP="00D92A2B" w:rsidRDefault="000D6E6A">
            <w:pPr>
              <w:pStyle w:val="bodycopytabletable"/>
              <w:jc w:val="center"/>
            </w:pPr>
            <w:r w:rsidRPr="00D92A2B">
              <w:rPr>
                <w:rStyle w:val="mediumpurple"/>
                <w:b/>
                <w:bCs/>
              </w:rPr>
              <w:t>Fixed-term</w:t>
            </w:r>
            <w:r w:rsidRPr="00D92A2B">
              <w:rPr>
                <w:rStyle w:val="mediumpurple"/>
                <w:b/>
                <w:bCs/>
              </w:rPr>
              <w:br/>
              <w:t>and casual</w:t>
            </w:r>
          </w:p>
        </w:tc>
      </w:tr>
      <w:tr w:rsidRPr="00D92A2B" w:rsidR="000D6E6A" w:rsidTr="00D92A2B">
        <w:tblPrEx>
          <w:tblCellMar>
            <w:top w:w="0" w:type="dxa"/>
            <w:left w:w="0" w:type="dxa"/>
            <w:bottom w:w="0" w:type="dxa"/>
            <w:right w:w="0" w:type="dxa"/>
          </w:tblCellMar>
        </w:tblPrEx>
        <w:trPr>
          <w:trHeight w:val="60"/>
          <w:tblHeader/>
        </w:trPr>
        <w:tc>
          <w:tcPr>
            <w:tcW w:w="3771" w:type="dxa"/>
            <w:tcBorders>
              <w:top w:val="single" w:color="542E8E" w:sz="6" w:space="0"/>
              <w:left w:val="nil"/>
              <w:bottom w:val="single" w:color="542E8E" w:sz="6" w:space="0"/>
              <w:right w:val="single" w:color="542E8E" w:sz="6" w:space="0"/>
            </w:tcBorders>
            <w:shd w:val="solid" w:color="FFFFFF" w:fill="auto"/>
            <w:tcMar>
              <w:top w:w="57" w:type="dxa"/>
              <w:left w:w="57" w:type="dxa"/>
              <w:bottom w:w="57" w:type="dxa"/>
              <w:right w:w="57" w:type="dxa"/>
            </w:tcMar>
          </w:tcPr>
          <w:p w:rsidRPr="00D92A2B" w:rsidR="000D6E6A" w:rsidRDefault="000D6E6A">
            <w:pPr>
              <w:pStyle w:val="NoParagraphStyle"/>
              <w:spacing w:line="240" w:lineRule="auto"/>
              <w:textAlignment w:val="auto"/>
              <w:rPr>
                <w:color w:val="auto"/>
                <w:sz w:val="16"/>
                <w:szCs w:val="16"/>
              </w:rPr>
            </w:pPr>
          </w:p>
        </w:tc>
        <w:tc>
          <w:tcPr>
            <w:tcW w:w="992" w:type="dxa"/>
            <w:tcBorders>
              <w:top w:val="single" w:color="542E8E" w:sz="6" w:space="0"/>
              <w:left w:val="single" w:color="542E8E" w:sz="6" w:space="0"/>
              <w:bottom w:val="single" w:color="542E8E" w:sz="6" w:space="0"/>
              <w:right w:val="nil"/>
            </w:tcBorders>
            <w:shd w:val="solid" w:color="FFFFFF" w:fill="auto"/>
            <w:tcMar>
              <w:top w:w="57" w:type="dxa"/>
              <w:left w:w="57" w:type="dxa"/>
              <w:bottom w:w="57" w:type="dxa"/>
              <w:right w:w="57" w:type="dxa"/>
            </w:tcMar>
            <w:vAlign w:val="bottom"/>
          </w:tcPr>
          <w:p w:rsidRPr="00D92A2B" w:rsidR="000D6E6A" w:rsidP="00D92A2B" w:rsidRDefault="000D6E6A">
            <w:pPr>
              <w:pStyle w:val="bodycopytabletable"/>
              <w:jc w:val="right"/>
            </w:pPr>
            <w:r w:rsidRPr="00D92A2B">
              <w:rPr>
                <w:rStyle w:val="mediumpurple"/>
                <w:b/>
                <w:bCs/>
              </w:rPr>
              <w:t>Head count</w:t>
            </w:r>
          </w:p>
        </w:tc>
        <w:tc>
          <w:tcPr>
            <w:tcW w:w="709" w:type="dxa"/>
            <w:tcBorders>
              <w:top w:val="single" w:color="542E8E" w:sz="6" w:space="0"/>
              <w:left w:val="nil"/>
              <w:bottom w:val="single" w:color="542E8E" w:sz="6" w:space="0"/>
              <w:right w:val="single" w:color="542E8E" w:sz="4" w:space="0"/>
            </w:tcBorders>
            <w:shd w:val="solid" w:color="FFFFFF" w:fill="auto"/>
            <w:tcMar>
              <w:top w:w="57" w:type="dxa"/>
              <w:left w:w="57" w:type="dxa"/>
              <w:bottom w:w="57" w:type="dxa"/>
              <w:right w:w="57" w:type="dxa"/>
            </w:tcMar>
            <w:vAlign w:val="bottom"/>
          </w:tcPr>
          <w:p w:rsidRPr="00D92A2B" w:rsidR="000D6E6A" w:rsidP="00D92A2B" w:rsidRDefault="000D6E6A">
            <w:pPr>
              <w:pStyle w:val="bodycopytabletable"/>
              <w:jc w:val="right"/>
            </w:pPr>
            <w:r w:rsidRPr="00D92A2B">
              <w:rPr>
                <w:rStyle w:val="mediumpurple"/>
                <w:b/>
                <w:bCs/>
              </w:rPr>
              <w:t>FTE</w:t>
            </w:r>
          </w:p>
        </w:tc>
        <w:tc>
          <w:tcPr>
            <w:tcW w:w="1134" w:type="dxa"/>
            <w:tcBorders>
              <w:top w:val="single" w:color="542E8E" w:sz="6" w:space="0"/>
              <w:left w:val="single" w:color="542E8E" w:sz="4" w:space="0"/>
              <w:bottom w:val="single" w:color="542E8E" w:sz="6" w:space="0"/>
              <w:right w:val="nil"/>
            </w:tcBorders>
            <w:shd w:val="solid" w:color="FFFFFF" w:fill="auto"/>
            <w:tcMar>
              <w:top w:w="57" w:type="dxa"/>
              <w:left w:w="57" w:type="dxa"/>
              <w:bottom w:w="57" w:type="dxa"/>
              <w:right w:w="57" w:type="dxa"/>
            </w:tcMar>
            <w:vAlign w:val="bottom"/>
          </w:tcPr>
          <w:p w:rsidRPr="00D92A2B" w:rsidR="000D6E6A" w:rsidP="00D92A2B" w:rsidRDefault="000D6E6A">
            <w:pPr>
              <w:pStyle w:val="bodycopytabletable"/>
              <w:jc w:val="right"/>
            </w:pPr>
            <w:r w:rsidRPr="00D92A2B">
              <w:rPr>
                <w:rStyle w:val="mediumpurple"/>
                <w:b/>
                <w:bCs/>
              </w:rPr>
              <w:t>Full time</w:t>
            </w:r>
            <w:r w:rsidRPr="00D92A2B">
              <w:rPr>
                <w:rStyle w:val="mediumpurple"/>
                <w:b/>
                <w:bCs/>
              </w:rPr>
              <w:br/>
            </w:r>
            <w:r w:rsidRPr="00D92A2B">
              <w:rPr>
                <w:rStyle w:val="mediumpurple"/>
                <w:b/>
                <w:bCs/>
                <w:spacing w:val="-3"/>
              </w:rPr>
              <w:t>(head count)</w:t>
            </w:r>
          </w:p>
        </w:tc>
        <w:tc>
          <w:tcPr>
            <w:tcW w:w="1134"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D92A2B" w:rsidR="000D6E6A" w:rsidP="00D92A2B" w:rsidRDefault="000D6E6A">
            <w:pPr>
              <w:pStyle w:val="bodycopytabletable"/>
              <w:jc w:val="right"/>
            </w:pPr>
            <w:r w:rsidRPr="00D92A2B">
              <w:rPr>
                <w:rStyle w:val="mediumpurple"/>
                <w:b/>
                <w:bCs/>
                <w:spacing w:val="-3"/>
              </w:rPr>
              <w:t>Part time</w:t>
            </w:r>
            <w:r w:rsidRPr="00D92A2B">
              <w:rPr>
                <w:rStyle w:val="mediumpurple"/>
                <w:b/>
                <w:bCs/>
                <w:spacing w:val="-3"/>
              </w:rPr>
              <w:br/>
              <w:t>(head count)</w:t>
            </w:r>
          </w:p>
        </w:tc>
        <w:tc>
          <w:tcPr>
            <w:tcW w:w="708" w:type="dxa"/>
            <w:tcBorders>
              <w:top w:val="single" w:color="542E8E" w:sz="6" w:space="0"/>
              <w:left w:val="nil"/>
              <w:bottom w:val="single" w:color="542E8E" w:sz="6" w:space="0"/>
              <w:right w:val="single" w:color="542E8E" w:sz="4" w:space="0"/>
            </w:tcBorders>
            <w:shd w:val="solid" w:color="FFFFFF" w:fill="auto"/>
            <w:tcMar>
              <w:top w:w="57" w:type="dxa"/>
              <w:left w:w="57" w:type="dxa"/>
              <w:bottom w:w="57" w:type="dxa"/>
              <w:right w:w="57" w:type="dxa"/>
            </w:tcMar>
            <w:vAlign w:val="bottom"/>
          </w:tcPr>
          <w:p w:rsidRPr="00D92A2B" w:rsidR="000D6E6A" w:rsidP="00D92A2B" w:rsidRDefault="000D6E6A">
            <w:pPr>
              <w:pStyle w:val="bodycopytabletable"/>
              <w:jc w:val="right"/>
            </w:pPr>
            <w:r w:rsidRPr="00D92A2B">
              <w:rPr>
                <w:rStyle w:val="mediumpurple"/>
                <w:b/>
                <w:bCs/>
              </w:rPr>
              <w:t>FTE</w:t>
            </w:r>
          </w:p>
        </w:tc>
        <w:tc>
          <w:tcPr>
            <w:tcW w:w="993" w:type="dxa"/>
            <w:tcBorders>
              <w:top w:val="single" w:color="542E8E" w:sz="6" w:space="0"/>
              <w:left w:val="single" w:color="542E8E" w:sz="4" w:space="0"/>
              <w:bottom w:val="single" w:color="542E8E" w:sz="6" w:space="0"/>
              <w:right w:val="nil"/>
            </w:tcBorders>
            <w:shd w:val="solid" w:color="FFFFFF" w:fill="auto"/>
            <w:tcMar>
              <w:top w:w="57" w:type="dxa"/>
              <w:left w:w="57" w:type="dxa"/>
              <w:bottom w:w="57" w:type="dxa"/>
              <w:right w:w="57" w:type="dxa"/>
            </w:tcMar>
            <w:vAlign w:val="bottom"/>
          </w:tcPr>
          <w:p w:rsidRPr="00D92A2B" w:rsidR="000D6E6A" w:rsidP="00D92A2B" w:rsidRDefault="000D6E6A">
            <w:pPr>
              <w:pStyle w:val="bodycopytabletable"/>
              <w:jc w:val="right"/>
            </w:pPr>
            <w:r w:rsidRPr="00D92A2B">
              <w:rPr>
                <w:rStyle w:val="mediumpurple"/>
                <w:b/>
                <w:bCs/>
              </w:rPr>
              <w:t>Head count</w:t>
            </w:r>
          </w:p>
        </w:tc>
        <w:tc>
          <w:tcPr>
            <w:tcW w:w="708"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D92A2B" w:rsidR="000D6E6A" w:rsidP="00D92A2B" w:rsidRDefault="000D6E6A">
            <w:pPr>
              <w:pStyle w:val="bodycopytabletable"/>
              <w:jc w:val="right"/>
            </w:pPr>
            <w:r w:rsidRPr="00D92A2B">
              <w:rPr>
                <w:rStyle w:val="mediumpurple"/>
                <w:b/>
                <w:bCs/>
              </w:rPr>
              <w:t>FTE</w:t>
            </w:r>
          </w:p>
        </w:tc>
      </w:tr>
      <w:tr w:rsidRPr="00D92A2B" w:rsidR="000D6E6A" w:rsidTr="00D92A2B">
        <w:tblPrEx>
          <w:tblCellMar>
            <w:top w:w="0" w:type="dxa"/>
            <w:left w:w="0" w:type="dxa"/>
            <w:bottom w:w="0" w:type="dxa"/>
            <w:right w:w="0" w:type="dxa"/>
          </w:tblCellMar>
        </w:tblPrEx>
        <w:trPr>
          <w:trHeight w:val="60"/>
        </w:trPr>
        <w:tc>
          <w:tcPr>
            <w:tcW w:w="10149" w:type="dxa"/>
            <w:gridSpan w:val="8"/>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D92A2B" w:rsidR="000D6E6A" w:rsidRDefault="000D6E6A">
            <w:pPr>
              <w:pStyle w:val="bodycopytabletable"/>
            </w:pPr>
            <w:r w:rsidRPr="00D92A2B">
              <w:rPr>
                <w:rStyle w:val="Purple"/>
              </w:rPr>
              <w:t>Gender</w:t>
            </w:r>
          </w:p>
        </w:tc>
      </w:tr>
      <w:tr w:rsidRPr="00D92A2B" w:rsidR="000D6E6A" w:rsidTr="00D92A2B">
        <w:tblPrEx>
          <w:tblCellMar>
            <w:top w:w="0" w:type="dxa"/>
            <w:left w:w="0" w:type="dxa"/>
            <w:bottom w:w="0" w:type="dxa"/>
            <w:right w:w="0" w:type="dxa"/>
          </w:tblCellMar>
        </w:tblPrEx>
        <w:trPr>
          <w:trHeight w:val="60"/>
        </w:trPr>
        <w:tc>
          <w:tcPr>
            <w:tcW w:w="3771" w:type="dxa"/>
            <w:tcBorders>
              <w:top w:val="single"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t>Woman</w:t>
            </w:r>
          </w:p>
        </w:tc>
        <w:tc>
          <w:tcPr>
            <w:tcW w:w="992" w:type="dxa"/>
            <w:tcBorders>
              <w:top w:val="single"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5002</w:t>
            </w:r>
          </w:p>
        </w:tc>
        <w:tc>
          <w:tcPr>
            <w:tcW w:w="709" w:type="dxa"/>
            <w:tcBorders>
              <w:top w:val="single"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4675</w:t>
            </w:r>
          </w:p>
        </w:tc>
        <w:tc>
          <w:tcPr>
            <w:tcW w:w="1134" w:type="dxa"/>
            <w:tcBorders>
              <w:top w:val="single"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3567</w:t>
            </w:r>
          </w:p>
        </w:tc>
        <w:tc>
          <w:tcPr>
            <w:tcW w:w="1134" w:type="dxa"/>
            <w:tcBorders>
              <w:top w:val="single"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614</w:t>
            </w:r>
          </w:p>
        </w:tc>
        <w:tc>
          <w:tcPr>
            <w:tcW w:w="708" w:type="dxa"/>
            <w:tcBorders>
              <w:top w:val="single"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3984</w:t>
            </w:r>
          </w:p>
        </w:tc>
        <w:tc>
          <w:tcPr>
            <w:tcW w:w="993" w:type="dxa"/>
            <w:tcBorders>
              <w:top w:val="single"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821</w:t>
            </w:r>
          </w:p>
        </w:tc>
        <w:tc>
          <w:tcPr>
            <w:tcW w:w="708" w:type="dxa"/>
            <w:tcBorders>
              <w:top w:val="single"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691</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t>Man</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4507</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4394</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3827</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71</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3877</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609</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517</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t>Self-</w:t>
            </w:r>
            <w:proofErr w:type="spellStart"/>
            <w:r w:rsidRPr="00D92A2B">
              <w:t>described</w:t>
            </w:r>
            <w:r w:rsidRPr="00D92A2B">
              <w:rPr>
                <w:rStyle w:val="Superscript"/>
              </w:rPr>
              <w:t>b</w:t>
            </w:r>
            <w:proofErr w:type="spellEnd"/>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1</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1</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single" w:color="542E8E" w:sz="4" w:space="0"/>
              <w:right w:val="single" w:color="542E8E" w:sz="6" w:space="0"/>
            </w:tcBorders>
            <w:shd w:val="solid" w:color="FFFFFF" w:fill="auto"/>
            <w:tcMar>
              <w:top w:w="57" w:type="dxa"/>
              <w:left w:w="57" w:type="dxa"/>
              <w:bottom w:w="57" w:type="dxa"/>
              <w:right w:w="57" w:type="dxa"/>
            </w:tcMar>
          </w:tcPr>
          <w:p w:rsidRPr="00D92A2B" w:rsidR="000D6E6A" w:rsidRDefault="000D6E6A">
            <w:pPr>
              <w:pStyle w:val="bodycopytabletable"/>
            </w:pPr>
            <w:r w:rsidRPr="00D92A2B">
              <w:rPr>
                <w:rStyle w:val="medium"/>
                <w:b/>
                <w:bCs/>
              </w:rPr>
              <w:t>Total employees</w:t>
            </w:r>
          </w:p>
        </w:tc>
        <w:tc>
          <w:tcPr>
            <w:tcW w:w="992" w:type="dxa"/>
            <w:tcBorders>
              <w:top w:val="dotted" w:color="542E8E" w:sz="4" w:space="0"/>
              <w:left w:val="single" w:color="542E8E" w:sz="6" w:space="0"/>
              <w:bottom w:val="single" w:color="542E8E" w:sz="4" w:space="0"/>
              <w:right w:val="nil"/>
            </w:tcBorders>
            <w:shd w:val="solid" w:color="FFFFFF" w:fill="auto"/>
            <w:tcMar>
              <w:top w:w="57" w:type="dxa"/>
              <w:left w:w="57" w:type="dxa"/>
              <w:bottom w:w="57" w:type="dxa"/>
              <w:right w:w="57" w:type="dxa"/>
            </w:tcMar>
          </w:tcPr>
          <w:p w:rsidRPr="00D92A2B" w:rsidR="000D6E6A" w:rsidRDefault="000D6E6A">
            <w:pPr>
              <w:pStyle w:val="bodycopytabletable"/>
              <w:jc w:val="right"/>
            </w:pPr>
            <w:r w:rsidRPr="00D92A2B">
              <w:rPr>
                <w:rStyle w:val="medium"/>
                <w:b/>
                <w:bCs/>
              </w:rPr>
              <w:t>9510</w:t>
            </w:r>
          </w:p>
        </w:tc>
        <w:tc>
          <w:tcPr>
            <w:tcW w:w="709" w:type="dxa"/>
            <w:tcBorders>
              <w:top w:val="dotted" w:color="542E8E" w:sz="4" w:space="0"/>
              <w:left w:val="nil"/>
              <w:bottom w:val="single" w:color="542E8E" w:sz="4" w:space="0"/>
              <w:right w:val="single" w:color="542E8E" w:sz="4" w:space="0"/>
            </w:tcBorders>
            <w:shd w:val="solid" w:color="FFFFFF" w:fill="auto"/>
            <w:tcMar>
              <w:top w:w="57" w:type="dxa"/>
              <w:left w:w="57" w:type="dxa"/>
              <w:bottom w:w="57" w:type="dxa"/>
              <w:right w:w="57" w:type="dxa"/>
            </w:tcMar>
          </w:tcPr>
          <w:p w:rsidRPr="00D92A2B" w:rsidR="000D6E6A" w:rsidRDefault="000D6E6A">
            <w:pPr>
              <w:pStyle w:val="bodycopytabletable"/>
              <w:jc w:val="right"/>
            </w:pPr>
            <w:r w:rsidRPr="00D92A2B">
              <w:rPr>
                <w:rStyle w:val="medium"/>
                <w:b/>
                <w:bCs/>
              </w:rPr>
              <w:t>9070</w:t>
            </w:r>
          </w:p>
        </w:tc>
        <w:tc>
          <w:tcPr>
            <w:tcW w:w="1134" w:type="dxa"/>
            <w:tcBorders>
              <w:top w:val="dotted" w:color="542E8E" w:sz="4" w:space="0"/>
              <w:left w:val="single" w:color="542E8E" w:sz="4" w:space="0"/>
              <w:bottom w:val="single" w:color="542E8E" w:sz="4" w:space="0"/>
              <w:right w:val="nil"/>
            </w:tcBorders>
            <w:shd w:val="solid" w:color="FFFFFF" w:fill="auto"/>
            <w:tcMar>
              <w:top w:w="57" w:type="dxa"/>
              <w:left w:w="57" w:type="dxa"/>
              <w:bottom w:w="57" w:type="dxa"/>
              <w:right w:w="57" w:type="dxa"/>
            </w:tcMar>
          </w:tcPr>
          <w:p w:rsidRPr="00D92A2B" w:rsidR="000D6E6A" w:rsidRDefault="000D6E6A">
            <w:pPr>
              <w:pStyle w:val="bodycopytabletable"/>
              <w:jc w:val="right"/>
            </w:pPr>
            <w:r w:rsidRPr="00D92A2B">
              <w:rPr>
                <w:rStyle w:val="medium"/>
                <w:b/>
                <w:bCs/>
              </w:rPr>
              <w:t>7394</w:t>
            </w:r>
          </w:p>
        </w:tc>
        <w:tc>
          <w:tcPr>
            <w:tcW w:w="1134"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D92A2B" w:rsidR="000D6E6A" w:rsidRDefault="000D6E6A">
            <w:pPr>
              <w:pStyle w:val="bodycopytabletable"/>
              <w:jc w:val="right"/>
            </w:pPr>
            <w:r w:rsidRPr="00D92A2B">
              <w:rPr>
                <w:rStyle w:val="medium"/>
                <w:b/>
                <w:bCs/>
              </w:rPr>
              <w:t>686</w:t>
            </w:r>
          </w:p>
        </w:tc>
        <w:tc>
          <w:tcPr>
            <w:tcW w:w="708" w:type="dxa"/>
            <w:tcBorders>
              <w:top w:val="dotted" w:color="542E8E" w:sz="4" w:space="0"/>
              <w:left w:val="nil"/>
              <w:bottom w:val="single" w:color="542E8E" w:sz="4" w:space="0"/>
              <w:right w:val="single" w:color="542E8E" w:sz="4" w:space="0"/>
            </w:tcBorders>
            <w:shd w:val="solid" w:color="FFFFFF" w:fill="auto"/>
            <w:tcMar>
              <w:top w:w="57" w:type="dxa"/>
              <w:left w:w="57" w:type="dxa"/>
              <w:bottom w:w="57" w:type="dxa"/>
              <w:right w:w="57" w:type="dxa"/>
            </w:tcMar>
          </w:tcPr>
          <w:p w:rsidRPr="00D92A2B" w:rsidR="000D6E6A" w:rsidRDefault="000D6E6A">
            <w:pPr>
              <w:pStyle w:val="bodycopytabletable"/>
              <w:jc w:val="right"/>
            </w:pPr>
            <w:r w:rsidRPr="00D92A2B">
              <w:rPr>
                <w:rStyle w:val="medium"/>
                <w:b/>
                <w:bCs/>
              </w:rPr>
              <w:t>7862</w:t>
            </w:r>
          </w:p>
        </w:tc>
        <w:tc>
          <w:tcPr>
            <w:tcW w:w="993" w:type="dxa"/>
            <w:tcBorders>
              <w:top w:val="dotted" w:color="542E8E" w:sz="4" w:space="0"/>
              <w:left w:val="single" w:color="542E8E" w:sz="4" w:space="0"/>
              <w:bottom w:val="single" w:color="542E8E" w:sz="4" w:space="0"/>
              <w:right w:val="nil"/>
            </w:tcBorders>
            <w:shd w:val="solid" w:color="FFFFFF" w:fill="auto"/>
            <w:tcMar>
              <w:top w:w="57" w:type="dxa"/>
              <w:left w:w="57" w:type="dxa"/>
              <w:bottom w:w="57" w:type="dxa"/>
              <w:right w:w="57" w:type="dxa"/>
            </w:tcMar>
          </w:tcPr>
          <w:p w:rsidRPr="00D92A2B" w:rsidR="000D6E6A" w:rsidRDefault="000D6E6A">
            <w:pPr>
              <w:pStyle w:val="bodycopytabletable"/>
              <w:jc w:val="right"/>
            </w:pPr>
            <w:r w:rsidRPr="00D92A2B">
              <w:rPr>
                <w:rStyle w:val="medium"/>
                <w:b/>
                <w:bCs/>
              </w:rPr>
              <w:t>1430</w:t>
            </w:r>
          </w:p>
        </w:tc>
        <w:tc>
          <w:tcPr>
            <w:tcW w:w="708"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D92A2B" w:rsidR="000D6E6A" w:rsidRDefault="000D6E6A">
            <w:pPr>
              <w:pStyle w:val="bodycopytabletable"/>
              <w:jc w:val="right"/>
            </w:pPr>
            <w:r w:rsidRPr="00D92A2B">
              <w:rPr>
                <w:rStyle w:val="medium"/>
                <w:b/>
                <w:bCs/>
              </w:rPr>
              <w:t>1208</w:t>
            </w:r>
          </w:p>
        </w:tc>
      </w:tr>
      <w:tr w:rsidRPr="00D92A2B" w:rsidR="000D6E6A" w:rsidTr="00D92A2B">
        <w:tblPrEx>
          <w:tblCellMar>
            <w:top w:w="0" w:type="dxa"/>
            <w:left w:w="0" w:type="dxa"/>
            <w:bottom w:w="0" w:type="dxa"/>
            <w:right w:w="0" w:type="dxa"/>
          </w:tblCellMar>
        </w:tblPrEx>
        <w:trPr>
          <w:trHeight w:val="60"/>
        </w:trPr>
        <w:tc>
          <w:tcPr>
            <w:tcW w:w="10149" w:type="dxa"/>
            <w:gridSpan w:val="8"/>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D92A2B" w:rsidR="000D6E6A" w:rsidRDefault="000D6E6A">
            <w:pPr>
              <w:pStyle w:val="bodycopytabletable"/>
            </w:pPr>
            <w:r w:rsidRPr="00D92A2B">
              <w:rPr>
                <w:rStyle w:val="Purple"/>
              </w:rPr>
              <w:t>Age</w:t>
            </w:r>
          </w:p>
        </w:tc>
      </w:tr>
      <w:tr w:rsidRPr="00D92A2B" w:rsidR="000D6E6A" w:rsidTr="00D92A2B">
        <w:tblPrEx>
          <w:tblCellMar>
            <w:top w:w="0" w:type="dxa"/>
            <w:left w:w="0" w:type="dxa"/>
            <w:bottom w:w="0" w:type="dxa"/>
            <w:right w:w="0" w:type="dxa"/>
          </w:tblCellMar>
        </w:tblPrEx>
        <w:trPr>
          <w:trHeight w:val="60"/>
        </w:trPr>
        <w:tc>
          <w:tcPr>
            <w:tcW w:w="3771" w:type="dxa"/>
            <w:tcBorders>
              <w:top w:val="single"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t>Under 25</w:t>
            </w:r>
          </w:p>
        </w:tc>
        <w:tc>
          <w:tcPr>
            <w:tcW w:w="992" w:type="dxa"/>
            <w:tcBorders>
              <w:top w:val="single"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433</w:t>
            </w:r>
          </w:p>
        </w:tc>
        <w:tc>
          <w:tcPr>
            <w:tcW w:w="709" w:type="dxa"/>
            <w:tcBorders>
              <w:top w:val="single"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417</w:t>
            </w:r>
          </w:p>
        </w:tc>
        <w:tc>
          <w:tcPr>
            <w:tcW w:w="1134" w:type="dxa"/>
            <w:tcBorders>
              <w:top w:val="single"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280</w:t>
            </w:r>
          </w:p>
        </w:tc>
        <w:tc>
          <w:tcPr>
            <w:tcW w:w="1134" w:type="dxa"/>
            <w:tcBorders>
              <w:top w:val="single"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7</w:t>
            </w:r>
          </w:p>
        </w:tc>
        <w:tc>
          <w:tcPr>
            <w:tcW w:w="708" w:type="dxa"/>
            <w:tcBorders>
              <w:top w:val="single"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284</w:t>
            </w:r>
          </w:p>
        </w:tc>
        <w:tc>
          <w:tcPr>
            <w:tcW w:w="993" w:type="dxa"/>
            <w:tcBorders>
              <w:top w:val="single"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146</w:t>
            </w:r>
          </w:p>
        </w:tc>
        <w:tc>
          <w:tcPr>
            <w:tcW w:w="708" w:type="dxa"/>
            <w:tcBorders>
              <w:top w:val="single"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133</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t>25–34</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2543</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2450</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1953</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151</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2054</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439</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396</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t>35–44</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2471</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2320</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1847</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291</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2042</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333</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278</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t>45–54</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2301</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2215</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1876</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128</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1966</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297</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249</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t>55–64</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1521</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1455</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1257</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89</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1321</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175</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134</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single" w:color="542E8E" w:sz="4" w:space="0"/>
              <w:right w:val="single" w:color="542E8E" w:sz="6" w:space="0"/>
            </w:tcBorders>
            <w:shd w:val="solid" w:color="FFFFFF" w:fill="auto"/>
            <w:tcMar>
              <w:top w:w="57" w:type="dxa"/>
              <w:left w:w="57" w:type="dxa"/>
              <w:bottom w:w="57" w:type="dxa"/>
              <w:right w:w="57" w:type="dxa"/>
            </w:tcMar>
          </w:tcPr>
          <w:p w:rsidRPr="00D92A2B" w:rsidR="000D6E6A" w:rsidRDefault="000D6E6A">
            <w:pPr>
              <w:pStyle w:val="bodycopytabletable"/>
            </w:pPr>
            <w:r w:rsidRPr="00D92A2B">
              <w:lastRenderedPageBreak/>
              <w:t>Over 64</w:t>
            </w:r>
          </w:p>
        </w:tc>
        <w:tc>
          <w:tcPr>
            <w:tcW w:w="992" w:type="dxa"/>
            <w:tcBorders>
              <w:top w:val="dotted" w:color="542E8E" w:sz="4" w:space="0"/>
              <w:left w:val="single" w:color="542E8E" w:sz="6" w:space="0"/>
              <w:bottom w:val="single" w:color="542E8E" w:sz="4" w:space="0"/>
              <w:right w:val="nil"/>
            </w:tcBorders>
            <w:shd w:val="solid" w:color="FFFFFF" w:fill="auto"/>
            <w:tcMar>
              <w:top w:w="57" w:type="dxa"/>
              <w:left w:w="57" w:type="dxa"/>
              <w:bottom w:w="57" w:type="dxa"/>
              <w:right w:w="57" w:type="dxa"/>
            </w:tcMar>
          </w:tcPr>
          <w:p w:rsidRPr="00D92A2B" w:rsidR="000D6E6A" w:rsidRDefault="000D6E6A">
            <w:pPr>
              <w:pStyle w:val="bodycopytabletable"/>
              <w:jc w:val="right"/>
            </w:pPr>
            <w:r w:rsidRPr="00D92A2B">
              <w:t>241</w:t>
            </w:r>
          </w:p>
        </w:tc>
        <w:tc>
          <w:tcPr>
            <w:tcW w:w="709" w:type="dxa"/>
            <w:tcBorders>
              <w:top w:val="dotted" w:color="542E8E" w:sz="4" w:space="0"/>
              <w:left w:val="nil"/>
              <w:bottom w:val="single" w:color="542E8E" w:sz="4" w:space="0"/>
              <w:right w:val="single" w:color="542E8E" w:sz="4" w:space="0"/>
            </w:tcBorders>
            <w:shd w:val="solid" w:color="FFFFFF" w:fill="auto"/>
            <w:tcMar>
              <w:top w:w="57" w:type="dxa"/>
              <w:left w:w="57" w:type="dxa"/>
              <w:bottom w:w="57" w:type="dxa"/>
              <w:right w:w="57" w:type="dxa"/>
            </w:tcMar>
          </w:tcPr>
          <w:p w:rsidRPr="00D92A2B" w:rsidR="000D6E6A" w:rsidRDefault="000D6E6A">
            <w:pPr>
              <w:pStyle w:val="bodycopytabletable"/>
              <w:jc w:val="right"/>
            </w:pPr>
            <w:r w:rsidRPr="00D92A2B">
              <w:t>213</w:t>
            </w:r>
          </w:p>
        </w:tc>
        <w:tc>
          <w:tcPr>
            <w:tcW w:w="1134" w:type="dxa"/>
            <w:tcBorders>
              <w:top w:val="dotted" w:color="542E8E" w:sz="4" w:space="0"/>
              <w:left w:val="single" w:color="542E8E" w:sz="4" w:space="0"/>
              <w:bottom w:val="single" w:color="542E8E" w:sz="4" w:space="0"/>
              <w:right w:val="nil"/>
            </w:tcBorders>
            <w:shd w:val="solid" w:color="FFFFFF" w:fill="auto"/>
            <w:tcMar>
              <w:top w:w="57" w:type="dxa"/>
              <w:left w:w="57" w:type="dxa"/>
              <w:bottom w:w="57" w:type="dxa"/>
              <w:right w:w="57" w:type="dxa"/>
            </w:tcMar>
          </w:tcPr>
          <w:p w:rsidRPr="00D92A2B" w:rsidR="000D6E6A" w:rsidRDefault="000D6E6A">
            <w:pPr>
              <w:pStyle w:val="bodycopytabletable"/>
              <w:jc w:val="right"/>
            </w:pPr>
            <w:r w:rsidRPr="00D92A2B">
              <w:t>181</w:t>
            </w:r>
          </w:p>
        </w:tc>
        <w:tc>
          <w:tcPr>
            <w:tcW w:w="1134"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D92A2B" w:rsidR="000D6E6A" w:rsidRDefault="000D6E6A">
            <w:pPr>
              <w:pStyle w:val="bodycopytabletable"/>
              <w:jc w:val="right"/>
            </w:pPr>
            <w:r w:rsidRPr="00D92A2B">
              <w:t>20</w:t>
            </w:r>
          </w:p>
        </w:tc>
        <w:tc>
          <w:tcPr>
            <w:tcW w:w="708" w:type="dxa"/>
            <w:tcBorders>
              <w:top w:val="dotted" w:color="542E8E" w:sz="4" w:space="0"/>
              <w:left w:val="nil"/>
              <w:bottom w:val="single" w:color="542E8E" w:sz="4" w:space="0"/>
              <w:right w:val="single" w:color="542E8E" w:sz="4" w:space="0"/>
            </w:tcBorders>
            <w:shd w:val="solid" w:color="FFFFFF" w:fill="auto"/>
            <w:tcMar>
              <w:top w:w="57" w:type="dxa"/>
              <w:left w:w="57" w:type="dxa"/>
              <w:bottom w:w="57" w:type="dxa"/>
              <w:right w:w="57" w:type="dxa"/>
            </w:tcMar>
          </w:tcPr>
          <w:p w:rsidRPr="00D92A2B" w:rsidR="000D6E6A" w:rsidRDefault="000D6E6A">
            <w:pPr>
              <w:pStyle w:val="bodycopytabletable"/>
              <w:jc w:val="right"/>
            </w:pPr>
            <w:r w:rsidRPr="00D92A2B">
              <w:t>195</w:t>
            </w:r>
          </w:p>
        </w:tc>
        <w:tc>
          <w:tcPr>
            <w:tcW w:w="993" w:type="dxa"/>
            <w:tcBorders>
              <w:top w:val="dotted" w:color="542E8E" w:sz="4" w:space="0"/>
              <w:left w:val="single" w:color="542E8E" w:sz="4" w:space="0"/>
              <w:bottom w:val="single" w:color="542E8E" w:sz="4" w:space="0"/>
              <w:right w:val="nil"/>
            </w:tcBorders>
            <w:shd w:val="solid" w:color="FFFFFF" w:fill="auto"/>
            <w:tcMar>
              <w:top w:w="57" w:type="dxa"/>
              <w:left w:w="57" w:type="dxa"/>
              <w:bottom w:w="57" w:type="dxa"/>
              <w:right w:w="57" w:type="dxa"/>
            </w:tcMar>
          </w:tcPr>
          <w:p w:rsidRPr="00D92A2B" w:rsidR="000D6E6A" w:rsidRDefault="000D6E6A">
            <w:pPr>
              <w:pStyle w:val="bodycopytabletable"/>
              <w:jc w:val="right"/>
            </w:pPr>
            <w:r w:rsidRPr="00D92A2B">
              <w:t>40</w:t>
            </w:r>
          </w:p>
        </w:tc>
        <w:tc>
          <w:tcPr>
            <w:tcW w:w="708"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D92A2B" w:rsidR="000D6E6A" w:rsidRDefault="000D6E6A">
            <w:pPr>
              <w:pStyle w:val="bodycopytabletable"/>
              <w:jc w:val="right"/>
            </w:pPr>
            <w:r w:rsidRPr="00D92A2B">
              <w:t>18</w:t>
            </w:r>
          </w:p>
        </w:tc>
      </w:tr>
      <w:tr w:rsidRPr="00D92A2B" w:rsidR="000D6E6A" w:rsidTr="00D92A2B">
        <w:tblPrEx>
          <w:tblCellMar>
            <w:top w:w="0" w:type="dxa"/>
            <w:left w:w="0" w:type="dxa"/>
            <w:bottom w:w="0" w:type="dxa"/>
            <w:right w:w="0" w:type="dxa"/>
          </w:tblCellMar>
        </w:tblPrEx>
        <w:trPr>
          <w:trHeight w:val="60"/>
        </w:trPr>
        <w:tc>
          <w:tcPr>
            <w:tcW w:w="10149" w:type="dxa"/>
            <w:gridSpan w:val="8"/>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D92A2B" w:rsidR="000D6E6A" w:rsidRDefault="000D6E6A">
            <w:pPr>
              <w:pStyle w:val="bodycopytabletable"/>
            </w:pPr>
            <w:r w:rsidRPr="00D92A2B">
              <w:rPr>
                <w:rStyle w:val="Purple"/>
              </w:rPr>
              <w:t>Classification</w:t>
            </w:r>
          </w:p>
        </w:tc>
      </w:tr>
      <w:tr w:rsidRPr="00D92A2B" w:rsidR="000D6E6A" w:rsidTr="00D92A2B">
        <w:tblPrEx>
          <w:tblCellMar>
            <w:top w:w="0" w:type="dxa"/>
            <w:left w:w="0" w:type="dxa"/>
            <w:bottom w:w="0" w:type="dxa"/>
            <w:right w:w="0" w:type="dxa"/>
          </w:tblCellMar>
        </w:tblPrEx>
        <w:trPr>
          <w:trHeight w:val="60"/>
        </w:trPr>
        <w:tc>
          <w:tcPr>
            <w:tcW w:w="3771" w:type="dxa"/>
            <w:tcBorders>
              <w:top w:val="single"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rPr>
                <w:rStyle w:val="bold"/>
              </w:rPr>
              <w:t>1–6</w:t>
            </w:r>
          </w:p>
        </w:tc>
        <w:tc>
          <w:tcPr>
            <w:tcW w:w="992" w:type="dxa"/>
            <w:tcBorders>
              <w:top w:val="single"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4116</w:t>
            </w:r>
          </w:p>
        </w:tc>
        <w:tc>
          <w:tcPr>
            <w:tcW w:w="709" w:type="dxa"/>
            <w:tcBorders>
              <w:top w:val="single"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rPr>
                <w:rStyle w:val="bold"/>
              </w:rPr>
              <w:t>3882</w:t>
            </w:r>
          </w:p>
        </w:tc>
        <w:tc>
          <w:tcPr>
            <w:tcW w:w="1134" w:type="dxa"/>
            <w:tcBorders>
              <w:top w:val="single"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2898</w:t>
            </w:r>
          </w:p>
        </w:tc>
        <w:tc>
          <w:tcPr>
            <w:tcW w:w="1134" w:type="dxa"/>
            <w:tcBorders>
              <w:top w:val="single"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494</w:t>
            </w:r>
          </w:p>
        </w:tc>
        <w:tc>
          <w:tcPr>
            <w:tcW w:w="708" w:type="dxa"/>
            <w:tcBorders>
              <w:top w:val="single"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rPr>
                <w:rStyle w:val="bold"/>
              </w:rPr>
              <w:t>3239</w:t>
            </w:r>
          </w:p>
        </w:tc>
        <w:tc>
          <w:tcPr>
            <w:tcW w:w="993" w:type="dxa"/>
            <w:tcBorders>
              <w:top w:val="single"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724</w:t>
            </w:r>
          </w:p>
        </w:tc>
        <w:tc>
          <w:tcPr>
            <w:tcW w:w="708" w:type="dxa"/>
            <w:tcBorders>
              <w:top w:val="single"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643</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t>VPS 1</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4</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4</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0</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4</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4</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t>VPS 2</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725</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669</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476</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94</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536</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155</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133</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t>VPS 3</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842</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778</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584</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94</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647</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164</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131</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t>VPS 4</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901</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851</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625</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109</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698</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167</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153</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t>VPS 5</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930</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888</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662</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117</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747</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151</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141</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t>VPS 6</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714</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692</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551</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80</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611</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83</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81</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rPr>
                <w:rStyle w:val="bold"/>
              </w:rPr>
              <w:t>Senior Employees</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113</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rPr>
                <w:rStyle w:val="bold"/>
              </w:rPr>
              <w:t>111</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101</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6</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rPr>
                <w:rStyle w:val="bold"/>
              </w:rPr>
              <w:t>105</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6</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6</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t>STS</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40</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39</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31</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3</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33</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6</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6</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t>Executives</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73</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72</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70</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3</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72</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rPr>
                <w:rStyle w:val="bold"/>
              </w:rPr>
              <w:t>Allied Health</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162</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rPr>
                <w:rStyle w:val="bold"/>
              </w:rPr>
              <w:t>145</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108</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35</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rPr>
                <w:rStyle w:val="bold"/>
              </w:rPr>
              <w:t>132</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19</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13</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t>Allied Health 2</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34</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32</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23</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5</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27</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6</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5</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t>Allied Health 3</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83</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76</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59</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18</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71</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6</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5</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t>Allied Health 4</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45</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37</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26</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12</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34</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7</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3</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rPr>
                <w:rStyle w:val="bold"/>
              </w:rPr>
              <w:t xml:space="preserve">Community Corrections Practitioner </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1054</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rPr>
                <w:rStyle w:val="bold"/>
              </w:rPr>
              <w:t>999</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830</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82</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rPr>
                <w:rStyle w:val="bold"/>
              </w:rPr>
              <w:t>882</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142</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117</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rPr>
                <w:spacing w:val="-2"/>
              </w:rPr>
              <w:t>Community Corrections Practitioner Grade 1</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108</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87</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28</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6</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32</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74</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55</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rPr>
                <w:spacing w:val="-2"/>
              </w:rPr>
              <w:t>Community Corrections Practitioner Grade 2</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106</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101</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77</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7</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82</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22</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19</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rPr>
                <w:spacing w:val="-2"/>
              </w:rPr>
              <w:t>Community Corrections Practitioner Grade 3</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420</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410</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369</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17</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379</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34</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31</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rPr>
                <w:spacing w:val="-2"/>
              </w:rPr>
              <w:t>Community Corrections Practitioner Grade 4</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350</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332</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288</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50</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320</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12</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12</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rPr>
                <w:spacing w:val="-2"/>
              </w:rPr>
              <w:t>Community Corrections Practitioner Grade 5</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63</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62</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61</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2</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62</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rPr>
                <w:spacing w:val="-2"/>
              </w:rPr>
              <w:t>Community Corrections Practitioner Grade 6</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7</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7</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7</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7</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rPr>
                <w:rStyle w:val="bold"/>
              </w:rPr>
              <w:t xml:space="preserve">Custodial Officers </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3170</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rPr>
                <w:rStyle w:val="bold"/>
              </w:rPr>
              <w:t>3073</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2708</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21</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rPr>
                <w:rStyle w:val="bold"/>
              </w:rPr>
              <w:t>2721</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441</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352</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t>COG 1</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94</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94</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17</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17</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77</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77</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t>COG 2a</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2041</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1945</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1662</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16</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1671</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363</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274</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t>COG 2b</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713</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712</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708</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4</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711</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t>COG 3</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259</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259</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258</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259</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t>COG 4</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44</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44</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44</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44</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t>COG 5</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7</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7</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7</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7</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t>COG 6</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12</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12</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12</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12</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rPr>
                <w:rStyle w:val="bold"/>
              </w:rPr>
              <w:t xml:space="preserve">Sheriff’s Officers </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159</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rPr>
                <w:rStyle w:val="bold"/>
              </w:rPr>
              <w:t>158</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156</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3</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rPr>
                <w:rStyle w:val="bold"/>
              </w:rPr>
              <w:t>158</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t>Trainee Sherriff’s Officers</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0</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0</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t>Sheriff’s Officer</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19</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19</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19</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19</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t>Senior Sheriff’s Officer</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108</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107</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105</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3</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107</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t>Supervisor</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21</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21</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21</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21</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t>Regional Manager</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10</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10</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10</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10</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t>Deputy Sheriff</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1</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1</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rPr>
                <w:rStyle w:val="bold"/>
              </w:rPr>
              <w:t>Children Youth and Family Workers</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216</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rPr>
                <w:rStyle w:val="bold"/>
              </w:rPr>
              <w:t>206</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142</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36</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rPr>
                <w:rStyle w:val="bold"/>
              </w:rPr>
              <w:t>169</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38</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37</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t>CYF Grade 1</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9</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7</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3</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3</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5</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3</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2</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t>CYF Grade 2</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95</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91</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57</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13</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66</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25</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25</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t>CYF Grade 3</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59</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56</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37</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12</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46</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t>CYF Grade 4</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29</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28</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25</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4</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28</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t>CYF Grade 5</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11</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11</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9</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2</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11</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lastRenderedPageBreak/>
              <w:t>CYF Grade 6</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13</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13</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11</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2</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13</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rPr>
                <w:rStyle w:val="bold"/>
              </w:rPr>
              <w:t>Youth Justice Workers</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513</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rPr>
                <w:rStyle w:val="bold"/>
              </w:rPr>
              <w:t>491</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449</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4</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rPr>
                <w:rStyle w:val="bold"/>
              </w:rPr>
              <w:t>451</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60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40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t>YJW Grade 1</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414</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394</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356</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2</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357</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56</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37</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t>YJW Grade 2</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42</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40</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37</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2</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38</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3</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2</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t>YJW Grade 3</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25</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25</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24</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24</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t>YJW Grade 4</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21</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21</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21</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21</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t>YJW Grade 5</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11</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11</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11</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11</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rPr>
                <w:rStyle w:val="bold"/>
              </w:rPr>
              <w:t>Other</w:t>
            </w:r>
          </w:p>
        </w:tc>
        <w:tc>
          <w:tcPr>
            <w:tcW w:w="992" w:type="dxa"/>
            <w:tcBorders>
              <w:top w:val="dotted" w:color="542E8E" w:sz="4" w:space="0"/>
              <w:left w:val="single" w:color="542E8E" w:sz="6"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7</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rPr>
                <w:rStyle w:val="bold"/>
              </w:rPr>
              <w:t>5</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2</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5</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rPr>
                <w:rStyle w:val="bold"/>
              </w:rPr>
              <w:t>5</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single" w:color="542E8E" w:sz="4" w:space="0"/>
              <w:right w:val="single" w:color="542E8E" w:sz="6" w:space="0"/>
            </w:tcBorders>
            <w:tcMar>
              <w:top w:w="57" w:type="dxa"/>
              <w:left w:w="57" w:type="dxa"/>
              <w:bottom w:w="57" w:type="dxa"/>
              <w:right w:w="57" w:type="dxa"/>
            </w:tcMar>
          </w:tcPr>
          <w:p w:rsidRPr="00D92A2B" w:rsidR="000D6E6A" w:rsidRDefault="000D6E6A">
            <w:pPr>
              <w:pStyle w:val="bodycopytabletable"/>
            </w:pPr>
            <w:r w:rsidRPr="00D92A2B">
              <w:t>Legal Officers</w:t>
            </w:r>
          </w:p>
        </w:tc>
        <w:tc>
          <w:tcPr>
            <w:tcW w:w="992" w:type="dxa"/>
            <w:tcBorders>
              <w:top w:val="dotted" w:color="542E8E" w:sz="4" w:space="0"/>
              <w:left w:val="single" w:color="542E8E" w:sz="6" w:space="0"/>
              <w:bottom w:val="single"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7</w:t>
            </w:r>
          </w:p>
        </w:tc>
        <w:tc>
          <w:tcPr>
            <w:tcW w:w="709" w:type="dxa"/>
            <w:tcBorders>
              <w:top w:val="dotted" w:color="542E8E" w:sz="4" w:space="0"/>
              <w:left w:val="nil"/>
              <w:bottom w:val="single"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5</w:t>
            </w:r>
          </w:p>
        </w:tc>
        <w:tc>
          <w:tcPr>
            <w:tcW w:w="1134" w:type="dxa"/>
            <w:tcBorders>
              <w:top w:val="dotted" w:color="542E8E" w:sz="4" w:space="0"/>
              <w:left w:val="single" w:color="542E8E" w:sz="4" w:space="0"/>
              <w:bottom w:val="single"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2</w:t>
            </w:r>
          </w:p>
        </w:tc>
        <w:tc>
          <w:tcPr>
            <w:tcW w:w="1134" w:type="dxa"/>
            <w:tcBorders>
              <w:top w:val="dotted" w:color="542E8E" w:sz="4" w:space="0"/>
              <w:left w:val="nil"/>
              <w:bottom w:val="single"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5</w:t>
            </w:r>
          </w:p>
        </w:tc>
        <w:tc>
          <w:tcPr>
            <w:tcW w:w="708" w:type="dxa"/>
            <w:tcBorders>
              <w:top w:val="dotted" w:color="542E8E" w:sz="4" w:space="0"/>
              <w:left w:val="nil"/>
              <w:bottom w:val="single"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5</w:t>
            </w:r>
          </w:p>
        </w:tc>
        <w:tc>
          <w:tcPr>
            <w:tcW w:w="993" w:type="dxa"/>
            <w:tcBorders>
              <w:top w:val="dotted" w:color="542E8E" w:sz="4" w:space="0"/>
              <w:left w:val="single" w:color="542E8E" w:sz="4" w:space="0"/>
              <w:bottom w:val="single"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single"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r>
    </w:tbl>
    <w:p w:rsidR="000D6E6A" w:rsidP="00D92A2B" w:rsidRDefault="000D6E6A">
      <w:pPr>
        <w:pStyle w:val="notestable"/>
        <w:spacing w:before="60"/>
      </w:pPr>
      <w:r>
        <w:t>Notes:</w:t>
      </w:r>
    </w:p>
    <w:p w:rsidR="000D6E6A" w:rsidP="00D92A2B" w:rsidRDefault="000D6E6A">
      <w:pPr>
        <w:pStyle w:val="notestable"/>
        <w:tabs>
          <w:tab w:val="clear" w:pos="283"/>
        </w:tabs>
        <w:ind w:left="284" w:hanging="284"/>
      </w:pPr>
      <w:r>
        <w:t xml:space="preserve">a. </w:t>
      </w:r>
      <w:r>
        <w:tab/>
        <w:t xml:space="preserve">‘Ongoing employee’ means an employee engaged on an open-ended contract of employment and executives engaged on a standard executive contract who were active in the last pay period of June. </w:t>
      </w:r>
    </w:p>
    <w:p w:rsidR="000D6E6A" w:rsidP="00D92A2B" w:rsidRDefault="000D6E6A">
      <w:pPr>
        <w:pStyle w:val="notestable"/>
        <w:tabs>
          <w:tab w:val="clear" w:pos="283"/>
        </w:tabs>
        <w:ind w:left="284" w:hanging="284"/>
      </w:pPr>
      <w:r>
        <w:t>b.</w:t>
      </w:r>
      <w:r>
        <w:tab/>
      </w:r>
      <w:r>
        <w:rPr>
          <w:spacing w:val="-1"/>
        </w:rPr>
        <w:t xml:space="preserve">From 2017–18, Financial Reporting Direction 29C requires that disclosure of gender include three categories: woman, man and self-described. ‘Woman’ and ‘man’ are gender identity terms. Some employees use terms such as ‘gender diverse’, ‘non-binary’ or a number of other terms to describe their gender identity. Employees may wish to use ‘self-described’ to report their gender identity. </w:t>
      </w:r>
    </w:p>
    <w:p w:rsidR="000D6E6A" w:rsidRDefault="000D6E6A">
      <w:pPr>
        <w:pStyle w:val="notestable"/>
      </w:pPr>
      <w:r>
        <w:t>This data excludes Victorian Institute of Forensic Medicine medical and executive staff.</w:t>
      </w:r>
    </w:p>
    <w:p w:rsidR="000D6E6A" w:rsidRDefault="000D6E6A">
      <w:pPr>
        <w:pStyle w:val="notestable"/>
      </w:pPr>
      <w:r>
        <w:t>The following agencies are discrete agencies within the Justice and Regulation portfolio. The heads of these agencies are public service body heads who employ public servants independent of the departmental Secretary. These agencies are required to produce their own annual reports. Employee numbers for the following agencies are published in their annual reports:</w:t>
      </w:r>
    </w:p>
    <w:p w:rsidRPr="00D92A2B" w:rsidR="000D6E6A" w:rsidP="00D92A2B" w:rsidRDefault="000D6E6A">
      <w:pPr>
        <w:pStyle w:val="BodycopybulletL2"/>
        <w:numPr>
          <w:ilvl w:val="0"/>
          <w:numId w:val="5"/>
        </w:numPr>
        <w:spacing w:after="0"/>
        <w:rPr>
          <w:sz w:val="14"/>
          <w:szCs w:val="14"/>
        </w:rPr>
      </w:pPr>
      <w:r w:rsidRPr="00D92A2B">
        <w:rPr>
          <w:sz w:val="14"/>
          <w:szCs w:val="14"/>
        </w:rPr>
        <w:t>Office of Public Prosecutions</w:t>
      </w:r>
    </w:p>
    <w:p w:rsidRPr="00D92A2B" w:rsidR="000D6E6A" w:rsidP="00D92A2B" w:rsidRDefault="000D6E6A">
      <w:pPr>
        <w:pStyle w:val="BodycopybulletL2"/>
        <w:numPr>
          <w:ilvl w:val="0"/>
          <w:numId w:val="5"/>
        </w:numPr>
        <w:spacing w:after="0"/>
        <w:rPr>
          <w:sz w:val="14"/>
          <w:szCs w:val="14"/>
        </w:rPr>
      </w:pPr>
      <w:r w:rsidRPr="00D92A2B">
        <w:rPr>
          <w:sz w:val="14"/>
          <w:szCs w:val="14"/>
        </w:rPr>
        <w:t>Road Safety Camera Commissioner</w:t>
      </w:r>
    </w:p>
    <w:p w:rsidRPr="00D92A2B" w:rsidR="000D6E6A" w:rsidP="00D92A2B" w:rsidRDefault="000D6E6A">
      <w:pPr>
        <w:pStyle w:val="BodycopybulletL2"/>
        <w:numPr>
          <w:ilvl w:val="0"/>
          <w:numId w:val="5"/>
        </w:numPr>
        <w:spacing w:after="0"/>
        <w:rPr>
          <w:sz w:val="14"/>
          <w:szCs w:val="14"/>
        </w:rPr>
      </w:pPr>
      <w:r w:rsidRPr="00D92A2B">
        <w:rPr>
          <w:sz w:val="14"/>
          <w:szCs w:val="14"/>
        </w:rPr>
        <w:t>Victoria Police</w:t>
      </w:r>
    </w:p>
    <w:p w:rsidRPr="00D92A2B" w:rsidR="000D6E6A" w:rsidP="00D92A2B" w:rsidRDefault="000D6E6A">
      <w:pPr>
        <w:pStyle w:val="BodycopybulletL2"/>
        <w:numPr>
          <w:ilvl w:val="0"/>
          <w:numId w:val="5"/>
        </w:numPr>
        <w:spacing w:after="0"/>
        <w:rPr>
          <w:sz w:val="14"/>
          <w:szCs w:val="14"/>
        </w:rPr>
      </w:pPr>
      <w:r w:rsidRPr="00D92A2B">
        <w:rPr>
          <w:sz w:val="14"/>
          <w:szCs w:val="14"/>
        </w:rPr>
        <w:t>Victorian Electoral Commission</w:t>
      </w:r>
    </w:p>
    <w:p w:rsidRPr="00D92A2B" w:rsidR="000D6E6A" w:rsidP="00D92A2B" w:rsidRDefault="000D6E6A">
      <w:pPr>
        <w:pStyle w:val="BodycopybulletL2"/>
        <w:numPr>
          <w:ilvl w:val="0"/>
          <w:numId w:val="5"/>
        </w:numPr>
        <w:spacing w:after="0"/>
        <w:rPr>
          <w:sz w:val="14"/>
          <w:szCs w:val="14"/>
        </w:rPr>
      </w:pPr>
      <w:r w:rsidRPr="00D92A2B">
        <w:rPr>
          <w:sz w:val="14"/>
          <w:szCs w:val="14"/>
        </w:rPr>
        <w:t>Victorian Equal Opportunity and Human Rights Commission</w:t>
      </w:r>
    </w:p>
    <w:p w:rsidRPr="00D92A2B" w:rsidR="000D6E6A" w:rsidP="00D92A2B" w:rsidRDefault="000D6E6A">
      <w:pPr>
        <w:pStyle w:val="BodycopybulletL2"/>
        <w:numPr>
          <w:ilvl w:val="0"/>
          <w:numId w:val="5"/>
        </w:numPr>
        <w:spacing w:after="0"/>
        <w:rPr>
          <w:sz w:val="14"/>
          <w:szCs w:val="14"/>
        </w:rPr>
      </w:pPr>
      <w:r w:rsidRPr="00D92A2B">
        <w:rPr>
          <w:sz w:val="14"/>
          <w:szCs w:val="14"/>
        </w:rPr>
        <w:t>Victorian Commission for Gambling and Liquor Regulation</w:t>
      </w:r>
    </w:p>
    <w:p w:rsidRPr="00D92A2B" w:rsidR="000D6E6A" w:rsidP="00D92A2B" w:rsidRDefault="000D6E6A">
      <w:pPr>
        <w:pStyle w:val="BodycopybulletL2"/>
        <w:numPr>
          <w:ilvl w:val="0"/>
          <w:numId w:val="5"/>
        </w:numPr>
        <w:spacing w:after="0"/>
        <w:rPr>
          <w:sz w:val="14"/>
          <w:szCs w:val="14"/>
        </w:rPr>
      </w:pPr>
      <w:r w:rsidRPr="00D92A2B">
        <w:rPr>
          <w:sz w:val="14"/>
          <w:szCs w:val="14"/>
        </w:rPr>
        <w:t>Victorian Responsible Gambling Foundation.</w:t>
      </w:r>
    </w:p>
    <w:p w:rsidR="000D6E6A" w:rsidRDefault="000D6E6A">
      <w:pPr>
        <w:pStyle w:val="Bodycopy"/>
        <w:rPr>
          <w:rStyle w:val="italic"/>
        </w:rPr>
      </w:pPr>
    </w:p>
    <w:tbl>
      <w:tblPr>
        <w:tblW w:w="0" w:type="auto"/>
        <w:tblInd w:w="57" w:type="dxa"/>
        <w:tblLayout w:type="fixed"/>
        <w:tblCellMar>
          <w:left w:w="0" w:type="dxa"/>
          <w:right w:w="0" w:type="dxa"/>
        </w:tblCellMar>
        <w:tblLook w:firstRow="0" w:lastRow="0" w:firstColumn="0" w:lastColumn="0" w:noHBand="0" w:noVBand="0" w:val="0000"/>
      </w:tblPr>
      <w:tblGrid>
        <w:gridCol w:w="3771"/>
        <w:gridCol w:w="992"/>
        <w:gridCol w:w="709"/>
        <w:gridCol w:w="1134"/>
        <w:gridCol w:w="1134"/>
        <w:gridCol w:w="708"/>
        <w:gridCol w:w="993"/>
        <w:gridCol w:w="708"/>
      </w:tblGrid>
      <w:tr w:rsidRPr="00D92A2B" w:rsidR="000D6E6A" w:rsidTr="00D92A2B">
        <w:tblPrEx>
          <w:tblCellMar>
            <w:top w:w="0" w:type="dxa"/>
            <w:left w:w="0" w:type="dxa"/>
            <w:bottom w:w="0" w:type="dxa"/>
            <w:right w:w="0" w:type="dxa"/>
          </w:tblCellMar>
        </w:tblPrEx>
        <w:trPr>
          <w:trHeight w:val="60"/>
          <w:tblHeader/>
        </w:trPr>
        <w:tc>
          <w:tcPr>
            <w:tcW w:w="3771"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D92A2B" w:rsidR="000D6E6A" w:rsidP="00D92A2B" w:rsidRDefault="000D6E6A">
            <w:pPr>
              <w:pStyle w:val="NoParagraphStyle"/>
              <w:spacing w:line="240" w:lineRule="auto"/>
              <w:textAlignment w:val="auto"/>
              <w:rPr>
                <w:color w:val="auto"/>
                <w:sz w:val="16"/>
                <w:szCs w:val="16"/>
              </w:rPr>
            </w:pPr>
          </w:p>
        </w:tc>
        <w:tc>
          <w:tcPr>
            <w:tcW w:w="6378" w:type="dxa"/>
            <w:gridSpan w:val="7"/>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D92A2B" w:rsidR="000D6E6A" w:rsidP="00D92A2B" w:rsidRDefault="000D6E6A">
            <w:pPr>
              <w:pStyle w:val="bodycopytabletable"/>
              <w:jc w:val="center"/>
            </w:pPr>
            <w:r w:rsidRPr="00D92A2B">
              <w:rPr>
                <w:rStyle w:val="mediumpurple"/>
                <w:b/>
                <w:bCs/>
              </w:rPr>
              <w:t>As at 30 June 2017</w:t>
            </w:r>
          </w:p>
        </w:tc>
      </w:tr>
      <w:tr w:rsidRPr="00D92A2B" w:rsidR="000D6E6A" w:rsidTr="00D92A2B">
        <w:tblPrEx>
          <w:tblCellMar>
            <w:top w:w="0" w:type="dxa"/>
            <w:left w:w="0" w:type="dxa"/>
            <w:bottom w:w="0" w:type="dxa"/>
            <w:right w:w="0" w:type="dxa"/>
          </w:tblCellMar>
        </w:tblPrEx>
        <w:trPr>
          <w:trHeight w:val="60"/>
          <w:tblHeader/>
        </w:trPr>
        <w:tc>
          <w:tcPr>
            <w:tcW w:w="3771"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tcPr>
          <w:p w:rsidRPr="00D92A2B" w:rsidR="000D6E6A" w:rsidP="00D92A2B" w:rsidRDefault="000D6E6A">
            <w:pPr>
              <w:pStyle w:val="NoParagraphStyle"/>
              <w:spacing w:line="240" w:lineRule="auto"/>
              <w:textAlignment w:val="auto"/>
              <w:rPr>
                <w:color w:val="auto"/>
                <w:sz w:val="16"/>
                <w:szCs w:val="16"/>
              </w:rPr>
            </w:pPr>
          </w:p>
        </w:tc>
        <w:tc>
          <w:tcPr>
            <w:tcW w:w="1701" w:type="dxa"/>
            <w:gridSpan w:val="2"/>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D92A2B" w:rsidR="000D6E6A" w:rsidP="00D92A2B" w:rsidRDefault="000D6E6A">
            <w:pPr>
              <w:pStyle w:val="bodycopytabletable"/>
              <w:jc w:val="center"/>
            </w:pPr>
            <w:r w:rsidRPr="00D92A2B">
              <w:rPr>
                <w:rStyle w:val="mediumpurple"/>
                <w:b/>
                <w:bCs/>
              </w:rPr>
              <w:t>All employees</w:t>
            </w:r>
          </w:p>
        </w:tc>
        <w:tc>
          <w:tcPr>
            <w:tcW w:w="2976" w:type="dxa"/>
            <w:gridSpan w:val="3"/>
            <w:tcBorders>
              <w:top w:val="single" w:color="542E8E" w:sz="6" w:space="0"/>
              <w:left w:val="single" w:color="542E8E" w:sz="4" w:space="0"/>
              <w:bottom w:val="single" w:color="542E8E" w:sz="6" w:space="0"/>
              <w:right w:val="nil"/>
            </w:tcBorders>
            <w:shd w:val="solid" w:color="FFFFFF" w:fill="auto"/>
            <w:tcMar>
              <w:top w:w="57" w:type="dxa"/>
              <w:left w:w="57" w:type="dxa"/>
              <w:bottom w:w="57" w:type="dxa"/>
              <w:right w:w="57" w:type="dxa"/>
            </w:tcMar>
            <w:vAlign w:val="bottom"/>
          </w:tcPr>
          <w:p w:rsidRPr="00D92A2B" w:rsidR="000D6E6A" w:rsidP="00D92A2B" w:rsidRDefault="000D6E6A">
            <w:pPr>
              <w:pStyle w:val="bodycopytabletable"/>
              <w:jc w:val="center"/>
            </w:pPr>
            <w:proofErr w:type="spellStart"/>
            <w:r w:rsidRPr="00D92A2B">
              <w:rPr>
                <w:rStyle w:val="mediumpurple"/>
                <w:b/>
                <w:bCs/>
              </w:rPr>
              <w:t>Ongoing</w:t>
            </w:r>
            <w:r w:rsidRPr="00D92A2B">
              <w:rPr>
                <w:rStyle w:val="Superscript"/>
                <w:color w:val="542E8E"/>
              </w:rPr>
              <w:t>a</w:t>
            </w:r>
            <w:proofErr w:type="spellEnd"/>
          </w:p>
        </w:tc>
        <w:tc>
          <w:tcPr>
            <w:tcW w:w="1701" w:type="dxa"/>
            <w:gridSpan w:val="2"/>
            <w:tcBorders>
              <w:top w:val="single" w:color="542E8E" w:sz="6" w:space="0"/>
              <w:left w:val="single" w:color="542E8E" w:sz="4" w:space="0"/>
              <w:bottom w:val="single" w:color="542E8E" w:sz="6" w:space="0"/>
              <w:right w:val="nil"/>
            </w:tcBorders>
            <w:shd w:val="solid" w:color="FFFFFF" w:fill="auto"/>
            <w:tcMar>
              <w:top w:w="57" w:type="dxa"/>
              <w:left w:w="57" w:type="dxa"/>
              <w:bottom w:w="57" w:type="dxa"/>
              <w:right w:w="57" w:type="dxa"/>
            </w:tcMar>
            <w:vAlign w:val="bottom"/>
          </w:tcPr>
          <w:p w:rsidRPr="00D92A2B" w:rsidR="000D6E6A" w:rsidP="00D92A2B" w:rsidRDefault="000D6E6A">
            <w:pPr>
              <w:pStyle w:val="bodycopytabletable"/>
              <w:jc w:val="center"/>
            </w:pPr>
            <w:r w:rsidRPr="00D92A2B">
              <w:rPr>
                <w:rStyle w:val="mediumpurple"/>
                <w:b/>
                <w:bCs/>
              </w:rPr>
              <w:t xml:space="preserve">Fixed-term </w:t>
            </w:r>
            <w:r w:rsidRPr="00D92A2B">
              <w:rPr>
                <w:rStyle w:val="mediumpurple"/>
                <w:b/>
                <w:bCs/>
              </w:rPr>
              <w:br/>
              <w:t>and casual</w:t>
            </w:r>
          </w:p>
        </w:tc>
      </w:tr>
      <w:tr w:rsidRPr="00D92A2B" w:rsidR="000D6E6A" w:rsidTr="00D92A2B">
        <w:tblPrEx>
          <w:tblCellMar>
            <w:top w:w="0" w:type="dxa"/>
            <w:left w:w="0" w:type="dxa"/>
            <w:bottom w:w="0" w:type="dxa"/>
            <w:right w:w="0" w:type="dxa"/>
          </w:tblCellMar>
        </w:tblPrEx>
        <w:trPr>
          <w:trHeight w:val="60"/>
          <w:tblHeader/>
        </w:trPr>
        <w:tc>
          <w:tcPr>
            <w:tcW w:w="3771"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tcPr>
          <w:p w:rsidRPr="00D92A2B" w:rsidR="000D6E6A" w:rsidP="00D92A2B" w:rsidRDefault="000D6E6A">
            <w:pPr>
              <w:pStyle w:val="NoParagraphStyle"/>
              <w:spacing w:line="240" w:lineRule="auto"/>
              <w:textAlignment w:val="auto"/>
              <w:rPr>
                <w:color w:val="auto"/>
                <w:sz w:val="16"/>
                <w:szCs w:val="16"/>
              </w:rPr>
            </w:pPr>
          </w:p>
        </w:tc>
        <w:tc>
          <w:tcPr>
            <w:tcW w:w="992"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D92A2B" w:rsidR="000D6E6A" w:rsidP="00D92A2B" w:rsidRDefault="000D6E6A">
            <w:pPr>
              <w:pStyle w:val="bodycopytabletable"/>
              <w:jc w:val="right"/>
            </w:pPr>
            <w:r w:rsidRPr="00D92A2B">
              <w:rPr>
                <w:rStyle w:val="mediumpurple"/>
                <w:b/>
                <w:bCs/>
              </w:rPr>
              <w:t>Head count</w:t>
            </w:r>
          </w:p>
        </w:tc>
        <w:tc>
          <w:tcPr>
            <w:tcW w:w="709" w:type="dxa"/>
            <w:tcBorders>
              <w:top w:val="single" w:color="542E8E" w:sz="6" w:space="0"/>
              <w:left w:val="nil"/>
              <w:bottom w:val="single" w:color="542E8E" w:sz="6" w:space="0"/>
              <w:right w:val="single" w:color="542E8E" w:sz="4" w:space="0"/>
            </w:tcBorders>
            <w:shd w:val="solid" w:color="FFFFFF" w:fill="auto"/>
            <w:tcMar>
              <w:top w:w="57" w:type="dxa"/>
              <w:left w:w="57" w:type="dxa"/>
              <w:bottom w:w="57" w:type="dxa"/>
              <w:right w:w="57" w:type="dxa"/>
            </w:tcMar>
            <w:vAlign w:val="bottom"/>
          </w:tcPr>
          <w:p w:rsidRPr="00D92A2B" w:rsidR="000D6E6A" w:rsidP="00D92A2B" w:rsidRDefault="000D6E6A">
            <w:pPr>
              <w:pStyle w:val="bodycopytabletable"/>
              <w:jc w:val="right"/>
            </w:pPr>
            <w:r w:rsidRPr="00D92A2B">
              <w:rPr>
                <w:rStyle w:val="mediumpurple"/>
                <w:b/>
                <w:bCs/>
              </w:rPr>
              <w:t>FTE</w:t>
            </w:r>
          </w:p>
        </w:tc>
        <w:tc>
          <w:tcPr>
            <w:tcW w:w="1134" w:type="dxa"/>
            <w:tcBorders>
              <w:top w:val="single" w:color="542E8E" w:sz="6" w:space="0"/>
              <w:left w:val="single" w:color="542E8E" w:sz="4" w:space="0"/>
              <w:bottom w:val="single" w:color="542E8E" w:sz="6" w:space="0"/>
              <w:right w:val="nil"/>
            </w:tcBorders>
            <w:shd w:val="solid" w:color="FFFFFF" w:fill="auto"/>
            <w:tcMar>
              <w:top w:w="57" w:type="dxa"/>
              <w:left w:w="57" w:type="dxa"/>
              <w:bottom w:w="57" w:type="dxa"/>
              <w:right w:w="0" w:type="dxa"/>
            </w:tcMar>
            <w:vAlign w:val="bottom"/>
          </w:tcPr>
          <w:p w:rsidRPr="00D92A2B" w:rsidR="000D6E6A" w:rsidP="00D92A2B" w:rsidRDefault="000D6E6A">
            <w:pPr>
              <w:pStyle w:val="bodycopytabletable"/>
              <w:jc w:val="right"/>
            </w:pPr>
            <w:r w:rsidRPr="00D92A2B">
              <w:rPr>
                <w:rStyle w:val="mediumpurple"/>
                <w:b/>
                <w:bCs/>
              </w:rPr>
              <w:t>Full time</w:t>
            </w:r>
            <w:r w:rsidRPr="00D92A2B">
              <w:rPr>
                <w:rStyle w:val="mediumpurple"/>
                <w:b/>
                <w:bCs/>
              </w:rPr>
              <w:br/>
              <w:t>(head count)</w:t>
            </w:r>
          </w:p>
        </w:tc>
        <w:tc>
          <w:tcPr>
            <w:tcW w:w="1134" w:type="dxa"/>
            <w:tcBorders>
              <w:top w:val="single" w:color="542E8E" w:sz="6" w:space="0"/>
              <w:left w:val="nil"/>
              <w:bottom w:val="single" w:color="542E8E" w:sz="6" w:space="0"/>
              <w:right w:val="nil"/>
            </w:tcBorders>
            <w:shd w:val="solid" w:color="FFFFFF" w:fill="auto"/>
            <w:tcMar>
              <w:top w:w="57" w:type="dxa"/>
              <w:left w:w="57" w:type="dxa"/>
              <w:bottom w:w="57" w:type="dxa"/>
              <w:right w:w="0" w:type="dxa"/>
            </w:tcMar>
            <w:vAlign w:val="bottom"/>
          </w:tcPr>
          <w:p w:rsidRPr="00D92A2B" w:rsidR="000D6E6A" w:rsidP="00D92A2B" w:rsidRDefault="000D6E6A">
            <w:pPr>
              <w:pStyle w:val="bodycopytabletable"/>
              <w:jc w:val="right"/>
            </w:pPr>
            <w:r w:rsidRPr="00D92A2B">
              <w:rPr>
                <w:rStyle w:val="mediumpurple"/>
                <w:b/>
                <w:bCs/>
                <w:spacing w:val="-3"/>
              </w:rPr>
              <w:t>Part time</w:t>
            </w:r>
            <w:r w:rsidRPr="00D92A2B">
              <w:rPr>
                <w:rStyle w:val="mediumpurple"/>
                <w:b/>
                <w:bCs/>
                <w:spacing w:val="-3"/>
              </w:rPr>
              <w:br/>
              <w:t>(head count)</w:t>
            </w:r>
          </w:p>
        </w:tc>
        <w:tc>
          <w:tcPr>
            <w:tcW w:w="708" w:type="dxa"/>
            <w:tcBorders>
              <w:top w:val="single" w:color="542E8E" w:sz="6" w:space="0"/>
              <w:left w:val="nil"/>
              <w:bottom w:val="single" w:color="542E8E" w:sz="6" w:space="0"/>
              <w:right w:val="single" w:color="542E8E" w:sz="4" w:space="0"/>
            </w:tcBorders>
            <w:shd w:val="solid" w:color="FFFFFF" w:fill="auto"/>
            <w:tcMar>
              <w:top w:w="57" w:type="dxa"/>
              <w:left w:w="57" w:type="dxa"/>
              <w:bottom w:w="57" w:type="dxa"/>
              <w:right w:w="57" w:type="dxa"/>
            </w:tcMar>
            <w:vAlign w:val="bottom"/>
          </w:tcPr>
          <w:p w:rsidRPr="00D92A2B" w:rsidR="000D6E6A" w:rsidP="00D92A2B" w:rsidRDefault="000D6E6A">
            <w:pPr>
              <w:pStyle w:val="bodycopytabletable"/>
              <w:jc w:val="right"/>
            </w:pPr>
            <w:r w:rsidRPr="00D92A2B">
              <w:rPr>
                <w:rStyle w:val="mediumpurple"/>
                <w:b/>
                <w:bCs/>
              </w:rPr>
              <w:t>FTE</w:t>
            </w:r>
          </w:p>
        </w:tc>
        <w:tc>
          <w:tcPr>
            <w:tcW w:w="993" w:type="dxa"/>
            <w:tcBorders>
              <w:top w:val="single" w:color="542E8E" w:sz="6" w:space="0"/>
              <w:left w:val="single" w:color="542E8E" w:sz="4" w:space="0"/>
              <w:bottom w:val="single" w:color="542E8E" w:sz="6" w:space="0"/>
              <w:right w:val="nil"/>
            </w:tcBorders>
            <w:shd w:val="solid" w:color="FFFFFF" w:fill="auto"/>
            <w:tcMar>
              <w:top w:w="57" w:type="dxa"/>
              <w:left w:w="57" w:type="dxa"/>
              <w:bottom w:w="57" w:type="dxa"/>
              <w:right w:w="57" w:type="dxa"/>
            </w:tcMar>
            <w:vAlign w:val="bottom"/>
          </w:tcPr>
          <w:p w:rsidRPr="00D92A2B" w:rsidR="000D6E6A" w:rsidP="00D92A2B" w:rsidRDefault="000D6E6A">
            <w:pPr>
              <w:pStyle w:val="bodycopytabletable"/>
              <w:jc w:val="right"/>
            </w:pPr>
            <w:r w:rsidRPr="00D92A2B">
              <w:rPr>
                <w:rStyle w:val="mediumpurple"/>
                <w:b/>
                <w:bCs/>
              </w:rPr>
              <w:t>Head count</w:t>
            </w:r>
          </w:p>
        </w:tc>
        <w:tc>
          <w:tcPr>
            <w:tcW w:w="708"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D92A2B" w:rsidR="000D6E6A" w:rsidP="00D92A2B" w:rsidRDefault="000D6E6A">
            <w:pPr>
              <w:pStyle w:val="bodycopytabletable"/>
              <w:jc w:val="right"/>
            </w:pPr>
            <w:r w:rsidRPr="00D92A2B">
              <w:rPr>
                <w:rStyle w:val="mediumpurple"/>
                <w:b/>
                <w:bCs/>
              </w:rPr>
              <w:t>FTE</w:t>
            </w:r>
          </w:p>
        </w:tc>
      </w:tr>
      <w:tr w:rsidRPr="00D92A2B" w:rsidR="000D6E6A" w:rsidTr="00D92A2B">
        <w:tblPrEx>
          <w:tblCellMar>
            <w:top w:w="0" w:type="dxa"/>
            <w:left w:w="0" w:type="dxa"/>
            <w:bottom w:w="0" w:type="dxa"/>
            <w:right w:w="0" w:type="dxa"/>
          </w:tblCellMar>
        </w:tblPrEx>
        <w:trPr>
          <w:trHeight w:val="60"/>
        </w:trPr>
        <w:tc>
          <w:tcPr>
            <w:tcW w:w="10149" w:type="dxa"/>
            <w:gridSpan w:val="8"/>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D92A2B" w:rsidR="000D6E6A" w:rsidP="00D92A2B" w:rsidRDefault="000D6E6A">
            <w:pPr>
              <w:pStyle w:val="bodycopytabletable"/>
            </w:pPr>
            <w:r w:rsidRPr="00D92A2B">
              <w:rPr>
                <w:rStyle w:val="Purple"/>
              </w:rPr>
              <w:t>Gender</w:t>
            </w:r>
          </w:p>
        </w:tc>
      </w:tr>
      <w:tr w:rsidRPr="00D92A2B" w:rsidR="000D6E6A" w:rsidTr="00D92A2B">
        <w:tblPrEx>
          <w:tblCellMar>
            <w:top w:w="0" w:type="dxa"/>
            <w:left w:w="0" w:type="dxa"/>
            <w:bottom w:w="0" w:type="dxa"/>
            <w:right w:w="0" w:type="dxa"/>
          </w:tblCellMar>
        </w:tblPrEx>
        <w:trPr>
          <w:trHeight w:val="60"/>
        </w:trPr>
        <w:tc>
          <w:tcPr>
            <w:tcW w:w="3771" w:type="dxa"/>
            <w:tcBorders>
              <w:top w:val="single"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Woman</w:t>
            </w:r>
          </w:p>
        </w:tc>
        <w:tc>
          <w:tcPr>
            <w:tcW w:w="992" w:type="dxa"/>
            <w:tcBorders>
              <w:top w:val="single"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4650</w:t>
            </w:r>
          </w:p>
        </w:tc>
        <w:tc>
          <w:tcPr>
            <w:tcW w:w="709" w:type="dxa"/>
            <w:tcBorders>
              <w:top w:val="single"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4342</w:t>
            </w:r>
          </w:p>
        </w:tc>
        <w:tc>
          <w:tcPr>
            <w:tcW w:w="1134" w:type="dxa"/>
            <w:tcBorders>
              <w:top w:val="single"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3274</w:t>
            </w:r>
          </w:p>
        </w:tc>
        <w:tc>
          <w:tcPr>
            <w:tcW w:w="1134" w:type="dxa"/>
            <w:tcBorders>
              <w:top w:val="single"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573</w:t>
            </w:r>
          </w:p>
        </w:tc>
        <w:tc>
          <w:tcPr>
            <w:tcW w:w="708" w:type="dxa"/>
            <w:tcBorders>
              <w:top w:val="single"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3657</w:t>
            </w:r>
          </w:p>
        </w:tc>
        <w:tc>
          <w:tcPr>
            <w:tcW w:w="993" w:type="dxa"/>
            <w:tcBorders>
              <w:top w:val="single"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803</w:t>
            </w:r>
          </w:p>
        </w:tc>
        <w:tc>
          <w:tcPr>
            <w:tcW w:w="708" w:type="dxa"/>
            <w:tcBorders>
              <w:top w:val="single"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685</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Man</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4285</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4177</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3649</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60</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3690</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576</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487</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single"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rPr>
                <w:rStyle w:val="medium"/>
                <w:b/>
                <w:bCs/>
              </w:rPr>
              <w:t>Total employees</w:t>
            </w:r>
          </w:p>
        </w:tc>
        <w:tc>
          <w:tcPr>
            <w:tcW w:w="992" w:type="dxa"/>
            <w:tcBorders>
              <w:top w:val="dotted" w:color="542E8E" w:sz="4" w:space="0"/>
              <w:left w:val="nil"/>
              <w:bottom w:val="single"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medium"/>
                <w:b/>
                <w:bCs/>
              </w:rPr>
              <w:t>8935</w:t>
            </w:r>
          </w:p>
        </w:tc>
        <w:tc>
          <w:tcPr>
            <w:tcW w:w="709" w:type="dxa"/>
            <w:tcBorders>
              <w:top w:val="dotted" w:color="542E8E" w:sz="4" w:space="0"/>
              <w:left w:val="nil"/>
              <w:bottom w:val="single"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rPr>
                <w:rStyle w:val="medium"/>
                <w:b/>
                <w:bCs/>
              </w:rPr>
              <w:t>8519</w:t>
            </w:r>
          </w:p>
        </w:tc>
        <w:tc>
          <w:tcPr>
            <w:tcW w:w="1134" w:type="dxa"/>
            <w:tcBorders>
              <w:top w:val="dotted" w:color="542E8E" w:sz="4" w:space="0"/>
              <w:left w:val="single" w:color="542E8E" w:sz="4" w:space="0"/>
              <w:bottom w:val="single"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rPr>
                <w:rStyle w:val="medium"/>
                <w:b/>
                <w:bCs/>
              </w:rPr>
              <w:t>6923</w:t>
            </w:r>
          </w:p>
        </w:tc>
        <w:tc>
          <w:tcPr>
            <w:tcW w:w="1134" w:type="dxa"/>
            <w:tcBorders>
              <w:top w:val="dotted" w:color="542E8E" w:sz="4" w:space="0"/>
              <w:left w:val="nil"/>
              <w:bottom w:val="single"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rPr>
                <w:rStyle w:val="medium"/>
                <w:b/>
                <w:bCs/>
              </w:rPr>
              <w:t>633</w:t>
            </w:r>
          </w:p>
        </w:tc>
        <w:tc>
          <w:tcPr>
            <w:tcW w:w="708" w:type="dxa"/>
            <w:tcBorders>
              <w:top w:val="dotted" w:color="542E8E" w:sz="4" w:space="0"/>
              <w:left w:val="nil"/>
              <w:bottom w:val="single"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rPr>
                <w:rStyle w:val="medium"/>
                <w:b/>
                <w:bCs/>
              </w:rPr>
              <w:t>7347</w:t>
            </w:r>
          </w:p>
        </w:tc>
        <w:tc>
          <w:tcPr>
            <w:tcW w:w="993" w:type="dxa"/>
            <w:tcBorders>
              <w:top w:val="dotted" w:color="542E8E" w:sz="4" w:space="0"/>
              <w:left w:val="single" w:color="542E8E" w:sz="4" w:space="0"/>
              <w:bottom w:val="single"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medium"/>
                <w:b/>
                <w:bCs/>
              </w:rPr>
              <w:t>1379</w:t>
            </w:r>
          </w:p>
        </w:tc>
        <w:tc>
          <w:tcPr>
            <w:tcW w:w="708" w:type="dxa"/>
            <w:tcBorders>
              <w:top w:val="dotted" w:color="542E8E" w:sz="4" w:space="0"/>
              <w:left w:val="nil"/>
              <w:bottom w:val="single"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medium"/>
                <w:b/>
                <w:bCs/>
              </w:rPr>
              <w:t>1172</w:t>
            </w:r>
          </w:p>
        </w:tc>
      </w:tr>
      <w:tr w:rsidRPr="00D92A2B" w:rsidR="000D6E6A" w:rsidTr="00D92A2B">
        <w:tblPrEx>
          <w:tblCellMar>
            <w:top w:w="0" w:type="dxa"/>
            <w:left w:w="0" w:type="dxa"/>
            <w:bottom w:w="0" w:type="dxa"/>
            <w:right w:w="0" w:type="dxa"/>
          </w:tblCellMar>
        </w:tblPrEx>
        <w:trPr>
          <w:trHeight w:val="60"/>
        </w:trPr>
        <w:tc>
          <w:tcPr>
            <w:tcW w:w="10149" w:type="dxa"/>
            <w:gridSpan w:val="8"/>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D92A2B" w:rsidR="000D6E6A" w:rsidP="00D92A2B" w:rsidRDefault="000D6E6A">
            <w:pPr>
              <w:pStyle w:val="bodycopytabletable"/>
            </w:pPr>
            <w:r w:rsidRPr="00D92A2B">
              <w:rPr>
                <w:rStyle w:val="Purple"/>
              </w:rPr>
              <w:t>Age</w:t>
            </w:r>
          </w:p>
        </w:tc>
      </w:tr>
      <w:tr w:rsidRPr="00D92A2B" w:rsidR="000D6E6A" w:rsidTr="00D92A2B">
        <w:tblPrEx>
          <w:tblCellMar>
            <w:top w:w="0" w:type="dxa"/>
            <w:left w:w="0" w:type="dxa"/>
            <w:bottom w:w="0" w:type="dxa"/>
            <w:right w:w="0" w:type="dxa"/>
          </w:tblCellMar>
        </w:tblPrEx>
        <w:trPr>
          <w:trHeight w:val="60"/>
        </w:trPr>
        <w:tc>
          <w:tcPr>
            <w:tcW w:w="3771" w:type="dxa"/>
            <w:tcBorders>
              <w:top w:val="single"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Under 25</w:t>
            </w:r>
          </w:p>
        </w:tc>
        <w:tc>
          <w:tcPr>
            <w:tcW w:w="992" w:type="dxa"/>
            <w:tcBorders>
              <w:top w:val="single"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391</w:t>
            </w:r>
          </w:p>
        </w:tc>
        <w:tc>
          <w:tcPr>
            <w:tcW w:w="709" w:type="dxa"/>
            <w:tcBorders>
              <w:top w:val="single"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371</w:t>
            </w:r>
          </w:p>
        </w:tc>
        <w:tc>
          <w:tcPr>
            <w:tcW w:w="1134" w:type="dxa"/>
            <w:tcBorders>
              <w:top w:val="single"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237</w:t>
            </w:r>
          </w:p>
        </w:tc>
        <w:tc>
          <w:tcPr>
            <w:tcW w:w="1134" w:type="dxa"/>
            <w:tcBorders>
              <w:top w:val="single"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11</w:t>
            </w:r>
          </w:p>
        </w:tc>
        <w:tc>
          <w:tcPr>
            <w:tcW w:w="708" w:type="dxa"/>
            <w:tcBorders>
              <w:top w:val="single"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243</w:t>
            </w:r>
          </w:p>
        </w:tc>
        <w:tc>
          <w:tcPr>
            <w:tcW w:w="993" w:type="dxa"/>
            <w:tcBorders>
              <w:top w:val="single"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143</w:t>
            </w:r>
          </w:p>
        </w:tc>
        <w:tc>
          <w:tcPr>
            <w:tcW w:w="708" w:type="dxa"/>
            <w:tcBorders>
              <w:top w:val="single"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128</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25–34</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2351</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2262</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1773</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135</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1859</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443</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403</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35–44</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2341</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2204</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1758</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267</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1936</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316</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268</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45–54</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2220</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2138</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1807</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118</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1891</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295</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247</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55–64</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1426</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1359</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1193</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81</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1249</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152</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110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single"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Over 64</w:t>
            </w:r>
          </w:p>
        </w:tc>
        <w:tc>
          <w:tcPr>
            <w:tcW w:w="992" w:type="dxa"/>
            <w:tcBorders>
              <w:top w:val="dotted" w:color="542E8E" w:sz="4" w:space="0"/>
              <w:left w:val="nil"/>
              <w:bottom w:val="single"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206</w:t>
            </w:r>
          </w:p>
        </w:tc>
        <w:tc>
          <w:tcPr>
            <w:tcW w:w="709" w:type="dxa"/>
            <w:tcBorders>
              <w:top w:val="dotted" w:color="542E8E" w:sz="4" w:space="0"/>
              <w:left w:val="nil"/>
              <w:bottom w:val="single"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185</w:t>
            </w:r>
          </w:p>
        </w:tc>
        <w:tc>
          <w:tcPr>
            <w:tcW w:w="1134" w:type="dxa"/>
            <w:tcBorders>
              <w:top w:val="dotted" w:color="542E8E" w:sz="4" w:space="0"/>
              <w:left w:val="single" w:color="542E8E" w:sz="4" w:space="0"/>
              <w:bottom w:val="single"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155</w:t>
            </w:r>
          </w:p>
        </w:tc>
        <w:tc>
          <w:tcPr>
            <w:tcW w:w="1134" w:type="dxa"/>
            <w:tcBorders>
              <w:top w:val="dotted" w:color="542E8E" w:sz="4" w:space="0"/>
              <w:left w:val="nil"/>
              <w:bottom w:val="single"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21</w:t>
            </w:r>
          </w:p>
        </w:tc>
        <w:tc>
          <w:tcPr>
            <w:tcW w:w="708" w:type="dxa"/>
            <w:tcBorders>
              <w:top w:val="dotted" w:color="542E8E" w:sz="4" w:space="0"/>
              <w:left w:val="nil"/>
              <w:bottom w:val="single"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169</w:t>
            </w:r>
          </w:p>
        </w:tc>
        <w:tc>
          <w:tcPr>
            <w:tcW w:w="993" w:type="dxa"/>
            <w:tcBorders>
              <w:top w:val="dotted" w:color="542E8E" w:sz="4" w:space="0"/>
              <w:left w:val="single" w:color="542E8E" w:sz="4" w:space="0"/>
              <w:bottom w:val="single"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30</w:t>
            </w:r>
          </w:p>
        </w:tc>
        <w:tc>
          <w:tcPr>
            <w:tcW w:w="708" w:type="dxa"/>
            <w:tcBorders>
              <w:top w:val="dotted" w:color="542E8E" w:sz="4" w:space="0"/>
              <w:left w:val="nil"/>
              <w:bottom w:val="single"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16</w:t>
            </w:r>
          </w:p>
        </w:tc>
      </w:tr>
      <w:tr w:rsidRPr="00D92A2B" w:rsidR="000D6E6A" w:rsidTr="00D92A2B">
        <w:tblPrEx>
          <w:tblCellMar>
            <w:top w:w="0" w:type="dxa"/>
            <w:left w:w="0" w:type="dxa"/>
            <w:bottom w:w="0" w:type="dxa"/>
            <w:right w:w="0" w:type="dxa"/>
          </w:tblCellMar>
        </w:tblPrEx>
        <w:trPr>
          <w:trHeight w:val="60"/>
        </w:trPr>
        <w:tc>
          <w:tcPr>
            <w:tcW w:w="10149" w:type="dxa"/>
            <w:gridSpan w:val="8"/>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D92A2B" w:rsidR="000D6E6A" w:rsidP="00D92A2B" w:rsidRDefault="000D6E6A">
            <w:pPr>
              <w:pStyle w:val="bodycopytabletable"/>
            </w:pPr>
            <w:r w:rsidRPr="00D92A2B">
              <w:rPr>
                <w:rStyle w:val="Purple"/>
              </w:rPr>
              <w:t>Classification</w:t>
            </w:r>
          </w:p>
        </w:tc>
      </w:tr>
      <w:tr w:rsidRPr="00D92A2B" w:rsidR="000D6E6A" w:rsidTr="00D92A2B">
        <w:tblPrEx>
          <w:tblCellMar>
            <w:top w:w="0" w:type="dxa"/>
            <w:left w:w="0" w:type="dxa"/>
            <w:bottom w:w="0" w:type="dxa"/>
            <w:right w:w="0" w:type="dxa"/>
          </w:tblCellMar>
        </w:tblPrEx>
        <w:trPr>
          <w:trHeight w:val="60"/>
        </w:trPr>
        <w:tc>
          <w:tcPr>
            <w:tcW w:w="3771" w:type="dxa"/>
            <w:tcBorders>
              <w:top w:val="single"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rPr>
                <w:rStyle w:val="bold"/>
              </w:rPr>
              <w:t>1–6</w:t>
            </w:r>
          </w:p>
        </w:tc>
        <w:tc>
          <w:tcPr>
            <w:tcW w:w="992" w:type="dxa"/>
            <w:tcBorders>
              <w:top w:val="single"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3753</w:t>
            </w:r>
          </w:p>
        </w:tc>
        <w:tc>
          <w:tcPr>
            <w:tcW w:w="709" w:type="dxa"/>
            <w:tcBorders>
              <w:top w:val="single"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3544</w:t>
            </w:r>
          </w:p>
        </w:tc>
        <w:tc>
          <w:tcPr>
            <w:tcW w:w="1134" w:type="dxa"/>
            <w:tcBorders>
              <w:top w:val="single"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rPr>
                <w:rStyle w:val="bold"/>
              </w:rPr>
              <w:t>2654</w:t>
            </w:r>
          </w:p>
        </w:tc>
        <w:tc>
          <w:tcPr>
            <w:tcW w:w="1134" w:type="dxa"/>
            <w:tcBorders>
              <w:top w:val="single"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rPr>
                <w:rStyle w:val="bold"/>
              </w:rPr>
              <w:t>451</w:t>
            </w:r>
          </w:p>
        </w:tc>
        <w:tc>
          <w:tcPr>
            <w:tcW w:w="708" w:type="dxa"/>
            <w:tcBorders>
              <w:top w:val="single"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2959</w:t>
            </w:r>
          </w:p>
        </w:tc>
        <w:tc>
          <w:tcPr>
            <w:tcW w:w="993" w:type="dxa"/>
            <w:tcBorders>
              <w:top w:val="single"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648</w:t>
            </w:r>
          </w:p>
        </w:tc>
        <w:tc>
          <w:tcPr>
            <w:tcW w:w="708" w:type="dxa"/>
            <w:tcBorders>
              <w:top w:val="single"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585</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VPS 1</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0</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0</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0</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0</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VPS 2</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685</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631</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450</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91</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506</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144</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125</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VPS 3</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796</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741</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555</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87</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614</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154</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127</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VPS 4</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790</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750</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553</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97</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617</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140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133</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VPS 5</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831</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793</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607</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95</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672</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129</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121</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VPS 6</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651</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629</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489</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81</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550</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81</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79</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rPr>
                <w:rStyle w:val="bold"/>
              </w:rPr>
              <w:t>Senior Employees</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87</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87</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rPr>
                <w:rStyle w:val="bold"/>
              </w:rPr>
              <w:t>80</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rPr>
                <w:rStyle w:val="bold"/>
              </w:rPr>
              <w:t>4</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84</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3</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3</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lastRenderedPageBreak/>
              <w:t>STS</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27</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27</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21</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3</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24</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3</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3</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Executives</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60</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60</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59</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1</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60</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rPr>
                <w:rStyle w:val="bold"/>
              </w:rPr>
              <w:t>Allied Health</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146</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135</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rPr>
                <w:rStyle w:val="bold"/>
              </w:rPr>
              <w:t>96</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rPr>
                <w:rStyle w:val="bold"/>
              </w:rPr>
              <w:t>26</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113</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24</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22</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Allied Health 2</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24</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22</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11</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6</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15</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7</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7</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Allied Health 3</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87</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79</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56</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17</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67</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14</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12</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Allied Health 4</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35</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34</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29</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3</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31</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3</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3</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rPr>
                <w:rStyle w:val="bold"/>
              </w:rPr>
              <w:t xml:space="preserve">Community Corrections Practitioner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1044</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991</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rPr>
                <w:rStyle w:val="bold"/>
              </w:rPr>
              <w:t>835</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rPr>
                <w:rStyle w:val="bold"/>
              </w:rPr>
              <w:t>77</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883</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132</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108</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pPr>
            <w:r w:rsidRPr="00D92A2B">
              <w:rPr>
                <w:spacing w:val="-2"/>
              </w:rPr>
              <w:t>Community Corrections Practitioner Grade 1</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200</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181</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111</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9</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116</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80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65</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pPr>
            <w:r w:rsidRPr="00D92A2B">
              <w:rPr>
                <w:spacing w:val="-2"/>
              </w:rPr>
              <w:t>Community Corrections Practitioner Grade 2</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46</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40</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32</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4</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35</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5</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pPr>
            <w:r w:rsidRPr="00D92A2B">
              <w:rPr>
                <w:spacing w:val="-2"/>
              </w:rPr>
              <w:t>Community Corrections Practitioner Grade 3</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389</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377</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335</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22</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348</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32</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29</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pPr>
            <w:r w:rsidRPr="00D92A2B">
              <w:rPr>
                <w:spacing w:val="-2"/>
              </w:rPr>
              <w:t>Community Corrections Practitioner Grade 4</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333</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317</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284</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40</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309</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9</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8</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pPr>
            <w:r w:rsidRPr="00D92A2B">
              <w:rPr>
                <w:spacing w:val="-2"/>
              </w:rPr>
              <w:t>Community Corrections Practitioner Grade 5</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68</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68</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65</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2</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67</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pPr>
            <w:r w:rsidRPr="00D92A2B">
              <w:rPr>
                <w:spacing w:val="-2"/>
              </w:rPr>
              <w:t>Community Corrections Practitioner Grade 6</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8</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8</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8</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0</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8</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rPr>
                <w:rStyle w:val="bold"/>
              </w:rPr>
              <w:t xml:space="preserve">Custodial Officers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3111</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3017</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rPr>
                <w:rStyle w:val="bold"/>
              </w:rPr>
              <w:t>2651</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rPr>
                <w:rStyle w:val="bold"/>
              </w:rPr>
              <w:t>25</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2665</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435</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352</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COG 1</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44</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44</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2</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0</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2</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42</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42</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COG 2a</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2070</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1978</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1660</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21</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1672</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389</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306</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COG 2b</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691</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689</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683</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4</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685</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4</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4</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COG 3</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242</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242</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242</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0</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242</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COG 4</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46</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46</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46</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0</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46</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COG 5</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7</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7</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7</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0</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7</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COG 6</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11</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11</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11</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0</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11</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rPr>
                <w:rStyle w:val="bold"/>
              </w:rPr>
              <w:t xml:space="preserve">Sheriff’s Officers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171</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170</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rPr>
                <w:rStyle w:val="bold"/>
              </w:rPr>
              <w:t>167</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rPr>
                <w:rStyle w:val="bold"/>
              </w:rPr>
              <w:t>4</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170</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Trainee Sherriff’s Officers</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0</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0</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0</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0</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Sheriff’s Officer</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30</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30</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30</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0</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30</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Senior Sheriff’s Officer</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108</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107</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104</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4</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107</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Supervisor</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22</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22</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22</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0</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22</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Regional Manager</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10</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10</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10</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0</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10</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Deputy Sheriff</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1</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1</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0</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1</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rPr>
                <w:rStyle w:val="bold"/>
              </w:rPr>
              <w:t>Children Youth and Family Workers</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206</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192</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rPr>
                <w:rStyle w:val="bold"/>
              </w:rPr>
              <w:t>130</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rPr>
                <w:rStyle w:val="bold"/>
              </w:rPr>
              <w:t>38</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158</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38</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34</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CYF Grade 1</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11</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8</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3</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3</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5</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5</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3</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CYF Grade 2</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85</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79</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52</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10</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58</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23</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21</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CYF Grade 3</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59</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56</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34</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15</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46</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CYF Grade 4</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34</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32</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27</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7</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32</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CYF Grade 5</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10</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10</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9</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1</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10</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CYF Grade 6</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7</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7</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5</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2</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7</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rPr>
                <w:rStyle w:val="bold"/>
              </w:rPr>
              <w:t>Youth Justice Workers</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411</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378</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rPr>
                <w:rStyle w:val="bold"/>
              </w:rPr>
              <w:t>308</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rPr>
                <w:rStyle w:val="bold"/>
              </w:rPr>
              <w:t>4</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310</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99</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68</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YJW Grade 1</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324</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293</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229</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2</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230</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93</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63</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YJW Grade 2</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53</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51</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46</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2</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47</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5</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4</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YJW Grade 3</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13</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13</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12</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0</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12</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YJW Grade 4</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15</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15</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15</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0</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15</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YJW Grade 5</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6</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6</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6</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0</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6</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rPr>
                <w:rStyle w:val="bold"/>
              </w:rPr>
              <w:t>Other</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6</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5</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rPr>
                <w:rStyle w:val="bold"/>
              </w:rPr>
              <w:t>2</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rPr>
                <w:rStyle w:val="bold"/>
              </w:rPr>
              <w:t>4</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5</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single"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Legal Officers</w:t>
            </w:r>
          </w:p>
        </w:tc>
        <w:tc>
          <w:tcPr>
            <w:tcW w:w="992" w:type="dxa"/>
            <w:tcBorders>
              <w:top w:val="dotted" w:color="542E8E" w:sz="4" w:space="0"/>
              <w:left w:val="nil"/>
              <w:bottom w:val="single"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6</w:t>
            </w:r>
          </w:p>
        </w:tc>
        <w:tc>
          <w:tcPr>
            <w:tcW w:w="709" w:type="dxa"/>
            <w:tcBorders>
              <w:top w:val="dotted" w:color="542E8E" w:sz="4" w:space="0"/>
              <w:left w:val="nil"/>
              <w:bottom w:val="single"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5</w:t>
            </w:r>
          </w:p>
        </w:tc>
        <w:tc>
          <w:tcPr>
            <w:tcW w:w="1134" w:type="dxa"/>
            <w:tcBorders>
              <w:top w:val="dotted" w:color="542E8E" w:sz="4" w:space="0"/>
              <w:left w:val="single" w:color="542E8E" w:sz="4" w:space="0"/>
              <w:bottom w:val="single"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2</w:t>
            </w:r>
          </w:p>
        </w:tc>
        <w:tc>
          <w:tcPr>
            <w:tcW w:w="1134" w:type="dxa"/>
            <w:tcBorders>
              <w:top w:val="dotted" w:color="542E8E" w:sz="4" w:space="0"/>
              <w:left w:val="nil"/>
              <w:bottom w:val="single" w:color="542E8E" w:sz="4" w:space="0"/>
              <w:right w:val="nil"/>
            </w:tcBorders>
            <w:tcMar>
              <w:top w:w="57" w:type="dxa"/>
              <w:left w:w="57" w:type="dxa"/>
              <w:bottom w:w="57" w:type="dxa"/>
              <w:right w:w="0" w:type="dxa"/>
            </w:tcMar>
          </w:tcPr>
          <w:p w:rsidRPr="00D92A2B" w:rsidR="000D6E6A" w:rsidP="00D92A2B" w:rsidRDefault="000D6E6A">
            <w:pPr>
              <w:pStyle w:val="bodycopytabletable"/>
              <w:jc w:val="right"/>
            </w:pPr>
            <w:r w:rsidRPr="00D92A2B">
              <w:t>4</w:t>
            </w:r>
          </w:p>
        </w:tc>
        <w:tc>
          <w:tcPr>
            <w:tcW w:w="708" w:type="dxa"/>
            <w:tcBorders>
              <w:top w:val="dotted" w:color="542E8E" w:sz="4" w:space="0"/>
              <w:left w:val="nil"/>
              <w:bottom w:val="single"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5</w:t>
            </w:r>
          </w:p>
        </w:tc>
        <w:tc>
          <w:tcPr>
            <w:tcW w:w="993" w:type="dxa"/>
            <w:tcBorders>
              <w:top w:val="dotted" w:color="542E8E" w:sz="4" w:space="0"/>
              <w:left w:val="single" w:color="542E8E" w:sz="4" w:space="0"/>
              <w:bottom w:val="single"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c>
          <w:tcPr>
            <w:tcW w:w="708" w:type="dxa"/>
            <w:tcBorders>
              <w:top w:val="dotted" w:color="542E8E" w:sz="4" w:space="0"/>
              <w:left w:val="nil"/>
              <w:bottom w:val="single"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r>
    </w:tbl>
    <w:p w:rsidR="000D6E6A" w:rsidP="00D92A2B" w:rsidRDefault="000D6E6A">
      <w:pPr>
        <w:pStyle w:val="notestable"/>
        <w:spacing w:before="60"/>
      </w:pPr>
      <w:r>
        <w:t>Notes:</w:t>
      </w:r>
    </w:p>
    <w:p w:rsidR="000D6E6A" w:rsidP="00D92A2B" w:rsidRDefault="000D6E6A">
      <w:pPr>
        <w:pStyle w:val="notestable"/>
        <w:tabs>
          <w:tab w:val="clear" w:pos="283"/>
        </w:tabs>
        <w:ind w:left="284" w:hanging="284"/>
      </w:pPr>
      <w:r>
        <w:t xml:space="preserve">a. </w:t>
      </w:r>
      <w:r>
        <w:tab/>
        <w:t xml:space="preserve">‘Ongoing employee’ means an employee engaged on an open-ended contract of employment and executives engaged on a standard executive contract who were active in the last pay period of June. </w:t>
      </w:r>
    </w:p>
    <w:p w:rsidR="000D6E6A" w:rsidRDefault="000D6E6A">
      <w:pPr>
        <w:pStyle w:val="H2"/>
      </w:pPr>
      <w:r>
        <w:lastRenderedPageBreak/>
        <w:t>Workforce data: Victorian Government Solicitor’s Office</w:t>
      </w:r>
    </w:p>
    <w:p w:rsidR="000D6E6A" w:rsidRDefault="000D6E6A">
      <w:pPr>
        <w:pStyle w:val="Bodycopy"/>
      </w:pPr>
      <w:r>
        <w:t xml:space="preserve">The Victorian Government Solicitor’s Office is a discrete agency within the justice and regulation portfolio. The head of this agency is a public service body head who employs public servants independent of the departmental Secretary. As this agency does not produce its own annual report, employee numbers are reported below. </w:t>
      </w:r>
    </w:p>
    <w:tbl>
      <w:tblPr>
        <w:tblW w:w="0" w:type="auto"/>
        <w:tblInd w:w="57" w:type="dxa"/>
        <w:tblLayout w:type="fixed"/>
        <w:tblCellMar>
          <w:left w:w="0" w:type="dxa"/>
          <w:right w:w="0" w:type="dxa"/>
        </w:tblCellMar>
        <w:tblLook w:firstRow="0" w:lastRow="0" w:firstColumn="0" w:lastColumn="0" w:noHBand="0" w:noVBand="0" w:val="0000"/>
      </w:tblPr>
      <w:tblGrid>
        <w:gridCol w:w="3771"/>
        <w:gridCol w:w="992"/>
        <w:gridCol w:w="709"/>
        <w:gridCol w:w="1134"/>
        <w:gridCol w:w="1134"/>
        <w:gridCol w:w="708"/>
        <w:gridCol w:w="993"/>
        <w:gridCol w:w="708"/>
      </w:tblGrid>
      <w:tr w:rsidRPr="00D92A2B" w:rsidR="000D6E6A" w:rsidTr="00D92A2B">
        <w:tblPrEx>
          <w:tblCellMar>
            <w:top w:w="0" w:type="dxa"/>
            <w:left w:w="0" w:type="dxa"/>
            <w:bottom w:w="0" w:type="dxa"/>
            <w:right w:w="0" w:type="dxa"/>
          </w:tblCellMar>
        </w:tblPrEx>
        <w:trPr>
          <w:trHeight w:val="60"/>
          <w:tblHeader/>
        </w:trPr>
        <w:tc>
          <w:tcPr>
            <w:tcW w:w="10149" w:type="dxa"/>
            <w:gridSpan w:val="8"/>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D92A2B" w:rsidR="000D6E6A" w:rsidRDefault="000D6E6A">
            <w:pPr>
              <w:pStyle w:val="bodycopytabletable"/>
              <w:jc w:val="center"/>
            </w:pPr>
            <w:r w:rsidRPr="00D92A2B">
              <w:rPr>
                <w:rStyle w:val="mediumpurple"/>
                <w:b/>
                <w:bCs/>
              </w:rPr>
              <w:t>As at 30 June 2018</w:t>
            </w:r>
          </w:p>
        </w:tc>
      </w:tr>
      <w:tr w:rsidRPr="00D92A2B" w:rsidR="000D6E6A" w:rsidTr="00D92A2B">
        <w:tblPrEx>
          <w:tblCellMar>
            <w:top w:w="0" w:type="dxa"/>
            <w:left w:w="0" w:type="dxa"/>
            <w:bottom w:w="0" w:type="dxa"/>
            <w:right w:w="0" w:type="dxa"/>
          </w:tblCellMar>
        </w:tblPrEx>
        <w:trPr>
          <w:trHeight w:val="60"/>
          <w:tblHeader/>
        </w:trPr>
        <w:tc>
          <w:tcPr>
            <w:tcW w:w="3771"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tcPr>
          <w:p w:rsidRPr="00D92A2B" w:rsidR="000D6E6A" w:rsidRDefault="000D6E6A">
            <w:pPr>
              <w:pStyle w:val="NoParagraphStyle"/>
              <w:spacing w:line="240" w:lineRule="auto"/>
              <w:textAlignment w:val="auto"/>
              <w:rPr>
                <w:color w:val="auto"/>
                <w:sz w:val="16"/>
                <w:szCs w:val="16"/>
              </w:rPr>
            </w:pPr>
          </w:p>
        </w:tc>
        <w:tc>
          <w:tcPr>
            <w:tcW w:w="1701" w:type="dxa"/>
            <w:gridSpan w:val="2"/>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D92A2B" w:rsidR="000D6E6A" w:rsidP="00D92A2B" w:rsidRDefault="000D6E6A">
            <w:pPr>
              <w:pStyle w:val="bodycopytabletable"/>
              <w:jc w:val="center"/>
            </w:pPr>
            <w:r w:rsidRPr="00D92A2B">
              <w:rPr>
                <w:rStyle w:val="mediumpurple"/>
                <w:b/>
                <w:bCs/>
              </w:rPr>
              <w:t>All employees</w:t>
            </w:r>
          </w:p>
        </w:tc>
        <w:tc>
          <w:tcPr>
            <w:tcW w:w="2976" w:type="dxa"/>
            <w:gridSpan w:val="3"/>
            <w:tcBorders>
              <w:top w:val="single" w:color="542E8E" w:sz="6" w:space="0"/>
              <w:left w:val="single" w:color="542E8E" w:sz="4" w:space="0"/>
              <w:bottom w:val="single" w:color="542E8E" w:sz="6" w:space="0"/>
              <w:right w:val="nil"/>
            </w:tcBorders>
            <w:shd w:val="solid" w:color="FFFFFF" w:fill="auto"/>
            <w:tcMar>
              <w:top w:w="57" w:type="dxa"/>
              <w:left w:w="57" w:type="dxa"/>
              <w:bottom w:w="57" w:type="dxa"/>
              <w:right w:w="57" w:type="dxa"/>
            </w:tcMar>
            <w:vAlign w:val="bottom"/>
          </w:tcPr>
          <w:p w:rsidRPr="00D92A2B" w:rsidR="000D6E6A" w:rsidP="00D92A2B" w:rsidRDefault="000D6E6A">
            <w:pPr>
              <w:pStyle w:val="bodycopytabletable"/>
              <w:jc w:val="center"/>
            </w:pPr>
            <w:proofErr w:type="spellStart"/>
            <w:r w:rsidRPr="00D92A2B">
              <w:rPr>
                <w:rStyle w:val="mediumpurple"/>
                <w:b/>
                <w:bCs/>
              </w:rPr>
              <w:t>Ongoing</w:t>
            </w:r>
            <w:r w:rsidRPr="00D92A2B">
              <w:rPr>
                <w:rStyle w:val="Superscript"/>
                <w:color w:val="542E8E"/>
              </w:rPr>
              <w:t>a</w:t>
            </w:r>
            <w:proofErr w:type="spellEnd"/>
          </w:p>
        </w:tc>
        <w:tc>
          <w:tcPr>
            <w:tcW w:w="1701" w:type="dxa"/>
            <w:gridSpan w:val="2"/>
            <w:tcBorders>
              <w:top w:val="single" w:color="542E8E" w:sz="6" w:space="0"/>
              <w:left w:val="single" w:color="542E8E" w:sz="4" w:space="0"/>
              <w:bottom w:val="single" w:color="542E8E" w:sz="6" w:space="0"/>
              <w:right w:val="nil"/>
            </w:tcBorders>
            <w:shd w:val="solid" w:color="FFFFFF" w:fill="auto"/>
            <w:tcMar>
              <w:top w:w="57" w:type="dxa"/>
              <w:left w:w="57" w:type="dxa"/>
              <w:bottom w:w="57" w:type="dxa"/>
              <w:right w:w="57" w:type="dxa"/>
            </w:tcMar>
            <w:vAlign w:val="bottom"/>
          </w:tcPr>
          <w:p w:rsidRPr="00D92A2B" w:rsidR="000D6E6A" w:rsidP="00D92A2B" w:rsidRDefault="000D6E6A">
            <w:pPr>
              <w:pStyle w:val="bodycopytabletable"/>
              <w:jc w:val="center"/>
            </w:pPr>
            <w:r w:rsidRPr="00D92A2B">
              <w:rPr>
                <w:rStyle w:val="mediumpurple"/>
                <w:b/>
                <w:bCs/>
              </w:rPr>
              <w:t xml:space="preserve">Fixed-term </w:t>
            </w:r>
            <w:r w:rsidRPr="00D92A2B">
              <w:rPr>
                <w:rStyle w:val="mediumpurple"/>
                <w:b/>
                <w:bCs/>
              </w:rPr>
              <w:br/>
              <w:t>and casual</w:t>
            </w:r>
          </w:p>
        </w:tc>
      </w:tr>
      <w:tr w:rsidRPr="00D92A2B" w:rsidR="000D6E6A" w:rsidTr="00D92A2B">
        <w:tblPrEx>
          <w:tblCellMar>
            <w:top w:w="0" w:type="dxa"/>
            <w:left w:w="0" w:type="dxa"/>
            <w:bottom w:w="0" w:type="dxa"/>
            <w:right w:w="0" w:type="dxa"/>
          </w:tblCellMar>
        </w:tblPrEx>
        <w:trPr>
          <w:trHeight w:val="60"/>
          <w:tblHeader/>
        </w:trPr>
        <w:tc>
          <w:tcPr>
            <w:tcW w:w="3771"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tcPr>
          <w:p w:rsidRPr="00D92A2B" w:rsidR="000D6E6A" w:rsidRDefault="000D6E6A">
            <w:pPr>
              <w:pStyle w:val="NoParagraphStyle"/>
              <w:spacing w:line="240" w:lineRule="auto"/>
              <w:textAlignment w:val="auto"/>
              <w:rPr>
                <w:color w:val="auto"/>
                <w:sz w:val="16"/>
                <w:szCs w:val="16"/>
              </w:rPr>
            </w:pPr>
          </w:p>
        </w:tc>
        <w:tc>
          <w:tcPr>
            <w:tcW w:w="992"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D92A2B" w:rsidR="000D6E6A" w:rsidP="00D92A2B" w:rsidRDefault="000D6E6A">
            <w:pPr>
              <w:pStyle w:val="bodycopytabletable"/>
              <w:jc w:val="right"/>
            </w:pPr>
            <w:r w:rsidRPr="00D92A2B">
              <w:rPr>
                <w:rStyle w:val="mediumpurple"/>
                <w:b/>
                <w:bCs/>
              </w:rPr>
              <w:t>Head count</w:t>
            </w:r>
          </w:p>
        </w:tc>
        <w:tc>
          <w:tcPr>
            <w:tcW w:w="709" w:type="dxa"/>
            <w:tcBorders>
              <w:top w:val="single" w:color="542E8E" w:sz="6" w:space="0"/>
              <w:left w:val="nil"/>
              <w:bottom w:val="single" w:color="542E8E" w:sz="6" w:space="0"/>
              <w:right w:val="single" w:color="542E8E" w:sz="4" w:space="0"/>
            </w:tcBorders>
            <w:shd w:val="solid" w:color="FFFFFF" w:fill="auto"/>
            <w:tcMar>
              <w:top w:w="57" w:type="dxa"/>
              <w:left w:w="57" w:type="dxa"/>
              <w:bottom w:w="57" w:type="dxa"/>
              <w:right w:w="57" w:type="dxa"/>
            </w:tcMar>
            <w:vAlign w:val="bottom"/>
          </w:tcPr>
          <w:p w:rsidRPr="00D92A2B" w:rsidR="000D6E6A" w:rsidP="00D92A2B" w:rsidRDefault="000D6E6A">
            <w:pPr>
              <w:pStyle w:val="bodycopytabletable"/>
              <w:jc w:val="right"/>
            </w:pPr>
            <w:r w:rsidRPr="00D92A2B">
              <w:rPr>
                <w:rStyle w:val="mediumpurple"/>
                <w:b/>
                <w:bCs/>
              </w:rPr>
              <w:t>FTE</w:t>
            </w:r>
          </w:p>
        </w:tc>
        <w:tc>
          <w:tcPr>
            <w:tcW w:w="1134" w:type="dxa"/>
            <w:tcBorders>
              <w:top w:val="single" w:color="542E8E" w:sz="6" w:space="0"/>
              <w:left w:val="single" w:color="542E8E" w:sz="4" w:space="0"/>
              <w:bottom w:val="single" w:color="542E8E" w:sz="6" w:space="0"/>
              <w:right w:val="nil"/>
            </w:tcBorders>
            <w:shd w:val="solid" w:color="FFFFFF" w:fill="auto"/>
            <w:tcMar>
              <w:top w:w="57" w:type="dxa"/>
              <w:left w:w="57" w:type="dxa"/>
              <w:bottom w:w="57" w:type="dxa"/>
              <w:right w:w="57" w:type="dxa"/>
            </w:tcMar>
            <w:vAlign w:val="bottom"/>
          </w:tcPr>
          <w:p w:rsidRPr="00D92A2B" w:rsidR="000D6E6A" w:rsidP="00D92A2B" w:rsidRDefault="000D6E6A">
            <w:pPr>
              <w:pStyle w:val="bodycopytabletable"/>
              <w:jc w:val="right"/>
            </w:pPr>
            <w:r w:rsidRPr="00D92A2B">
              <w:rPr>
                <w:rStyle w:val="mediumpurple"/>
                <w:b/>
                <w:bCs/>
              </w:rPr>
              <w:t>Full time</w:t>
            </w:r>
            <w:r w:rsidRPr="00D92A2B">
              <w:rPr>
                <w:rStyle w:val="mediumpurple"/>
                <w:b/>
                <w:bCs/>
              </w:rPr>
              <w:br/>
              <w:t>(head count)</w:t>
            </w:r>
          </w:p>
        </w:tc>
        <w:tc>
          <w:tcPr>
            <w:tcW w:w="1134"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D92A2B" w:rsidR="000D6E6A" w:rsidP="00D92A2B" w:rsidRDefault="000D6E6A">
            <w:pPr>
              <w:pStyle w:val="bodycopytabletable"/>
              <w:jc w:val="right"/>
            </w:pPr>
            <w:r w:rsidRPr="00D92A2B">
              <w:rPr>
                <w:rStyle w:val="mediumpurple"/>
                <w:b/>
                <w:bCs/>
              </w:rPr>
              <w:t>Part time</w:t>
            </w:r>
            <w:r w:rsidRPr="00D92A2B">
              <w:rPr>
                <w:rStyle w:val="mediumpurple"/>
                <w:b/>
                <w:bCs/>
              </w:rPr>
              <w:br/>
              <w:t>(head count)</w:t>
            </w:r>
          </w:p>
        </w:tc>
        <w:tc>
          <w:tcPr>
            <w:tcW w:w="708" w:type="dxa"/>
            <w:tcBorders>
              <w:top w:val="single" w:color="542E8E" w:sz="6" w:space="0"/>
              <w:left w:val="nil"/>
              <w:bottom w:val="single" w:color="542E8E" w:sz="6" w:space="0"/>
              <w:right w:val="single" w:color="542E8E" w:sz="4" w:space="0"/>
            </w:tcBorders>
            <w:shd w:val="solid" w:color="FFFFFF" w:fill="auto"/>
            <w:tcMar>
              <w:top w:w="57" w:type="dxa"/>
              <w:left w:w="57" w:type="dxa"/>
              <w:bottom w:w="57" w:type="dxa"/>
              <w:right w:w="57" w:type="dxa"/>
            </w:tcMar>
            <w:vAlign w:val="bottom"/>
          </w:tcPr>
          <w:p w:rsidRPr="00D92A2B" w:rsidR="000D6E6A" w:rsidP="00D92A2B" w:rsidRDefault="000D6E6A">
            <w:pPr>
              <w:pStyle w:val="bodycopytabletable"/>
              <w:jc w:val="right"/>
            </w:pPr>
            <w:r w:rsidRPr="00D92A2B">
              <w:rPr>
                <w:rStyle w:val="mediumpurple"/>
                <w:b/>
                <w:bCs/>
              </w:rPr>
              <w:t>FTE</w:t>
            </w:r>
          </w:p>
        </w:tc>
        <w:tc>
          <w:tcPr>
            <w:tcW w:w="993" w:type="dxa"/>
            <w:tcBorders>
              <w:top w:val="single" w:color="542E8E" w:sz="6" w:space="0"/>
              <w:left w:val="single" w:color="542E8E" w:sz="4" w:space="0"/>
              <w:bottom w:val="single" w:color="542E8E" w:sz="6" w:space="0"/>
              <w:right w:val="nil"/>
            </w:tcBorders>
            <w:shd w:val="solid" w:color="FFFFFF" w:fill="auto"/>
            <w:tcMar>
              <w:top w:w="57" w:type="dxa"/>
              <w:left w:w="57" w:type="dxa"/>
              <w:bottom w:w="57" w:type="dxa"/>
              <w:right w:w="57" w:type="dxa"/>
            </w:tcMar>
            <w:vAlign w:val="bottom"/>
          </w:tcPr>
          <w:p w:rsidRPr="00D92A2B" w:rsidR="000D6E6A" w:rsidP="00D92A2B" w:rsidRDefault="000D6E6A">
            <w:pPr>
              <w:pStyle w:val="bodycopytabletable"/>
              <w:jc w:val="right"/>
            </w:pPr>
            <w:r w:rsidRPr="00D92A2B">
              <w:rPr>
                <w:rStyle w:val="mediumpurple"/>
                <w:b/>
                <w:bCs/>
              </w:rPr>
              <w:t>Head count</w:t>
            </w:r>
          </w:p>
        </w:tc>
        <w:tc>
          <w:tcPr>
            <w:tcW w:w="708"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D92A2B" w:rsidR="000D6E6A" w:rsidP="00D92A2B" w:rsidRDefault="000D6E6A">
            <w:pPr>
              <w:pStyle w:val="bodycopytabletable"/>
              <w:jc w:val="right"/>
            </w:pPr>
            <w:r w:rsidRPr="00D92A2B">
              <w:rPr>
                <w:rStyle w:val="mediumpurple"/>
                <w:b/>
                <w:bCs/>
              </w:rPr>
              <w:t>FTE</w:t>
            </w:r>
          </w:p>
        </w:tc>
      </w:tr>
      <w:tr w:rsidRPr="00D92A2B" w:rsidR="000D6E6A" w:rsidTr="00D92A2B">
        <w:tblPrEx>
          <w:tblCellMar>
            <w:top w:w="0" w:type="dxa"/>
            <w:left w:w="0" w:type="dxa"/>
            <w:bottom w:w="0" w:type="dxa"/>
            <w:right w:w="0" w:type="dxa"/>
          </w:tblCellMar>
        </w:tblPrEx>
        <w:trPr>
          <w:trHeight w:val="60"/>
        </w:trPr>
        <w:tc>
          <w:tcPr>
            <w:tcW w:w="10149" w:type="dxa"/>
            <w:gridSpan w:val="8"/>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D92A2B" w:rsidR="000D6E6A" w:rsidRDefault="000D6E6A">
            <w:pPr>
              <w:pStyle w:val="bodycopytabletable"/>
            </w:pPr>
            <w:r w:rsidRPr="00D92A2B">
              <w:rPr>
                <w:rStyle w:val="Purple"/>
              </w:rPr>
              <w:t>Gender</w:t>
            </w:r>
          </w:p>
        </w:tc>
      </w:tr>
      <w:tr w:rsidRPr="00D92A2B" w:rsidR="000D6E6A" w:rsidTr="00D92A2B">
        <w:tblPrEx>
          <w:tblCellMar>
            <w:top w:w="0" w:type="dxa"/>
            <w:left w:w="0" w:type="dxa"/>
            <w:bottom w:w="0" w:type="dxa"/>
            <w:right w:w="0" w:type="dxa"/>
          </w:tblCellMar>
        </w:tblPrEx>
        <w:trPr>
          <w:trHeight w:val="60"/>
        </w:trPr>
        <w:tc>
          <w:tcPr>
            <w:tcW w:w="3771" w:type="dxa"/>
            <w:tcBorders>
              <w:top w:val="single"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pPr>
            <w:r w:rsidRPr="00D92A2B">
              <w:t>Woman</w:t>
            </w:r>
          </w:p>
        </w:tc>
        <w:tc>
          <w:tcPr>
            <w:tcW w:w="992" w:type="dxa"/>
            <w:tcBorders>
              <w:top w:val="single"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159</w:t>
            </w:r>
          </w:p>
        </w:tc>
        <w:tc>
          <w:tcPr>
            <w:tcW w:w="709" w:type="dxa"/>
            <w:tcBorders>
              <w:top w:val="single"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143</w:t>
            </w:r>
          </w:p>
        </w:tc>
        <w:tc>
          <w:tcPr>
            <w:tcW w:w="1134" w:type="dxa"/>
            <w:tcBorders>
              <w:top w:val="single"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101</w:t>
            </w:r>
          </w:p>
        </w:tc>
        <w:tc>
          <w:tcPr>
            <w:tcW w:w="1134" w:type="dxa"/>
            <w:tcBorders>
              <w:top w:val="single"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46</w:t>
            </w:r>
          </w:p>
        </w:tc>
        <w:tc>
          <w:tcPr>
            <w:tcW w:w="708" w:type="dxa"/>
            <w:tcBorders>
              <w:top w:val="single"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131</w:t>
            </w:r>
          </w:p>
        </w:tc>
        <w:tc>
          <w:tcPr>
            <w:tcW w:w="993" w:type="dxa"/>
            <w:tcBorders>
              <w:top w:val="single"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12</w:t>
            </w:r>
          </w:p>
        </w:tc>
        <w:tc>
          <w:tcPr>
            <w:tcW w:w="708" w:type="dxa"/>
            <w:tcBorders>
              <w:top w:val="single"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12</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pPr>
            <w:r w:rsidRPr="00D92A2B">
              <w:t>Man</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42</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41</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35</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2</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36</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5</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5</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pPr>
            <w:r w:rsidRPr="00D92A2B">
              <w:t>Self-</w:t>
            </w:r>
            <w:proofErr w:type="spellStart"/>
            <w:r w:rsidRPr="00D92A2B">
              <w:t>described</w:t>
            </w:r>
            <w:r w:rsidRPr="00D92A2B">
              <w:rPr>
                <w:rStyle w:val="Superscript"/>
              </w:rPr>
              <w:t>b</w:t>
            </w:r>
            <w:proofErr w:type="spellEnd"/>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0</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0</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single" w:color="542E8E" w:sz="4" w:space="0"/>
              <w:right w:val="nil"/>
            </w:tcBorders>
            <w:tcMar>
              <w:top w:w="57" w:type="dxa"/>
              <w:left w:w="57" w:type="dxa"/>
              <w:bottom w:w="57" w:type="dxa"/>
              <w:right w:w="57" w:type="dxa"/>
            </w:tcMar>
          </w:tcPr>
          <w:p w:rsidRPr="00D92A2B" w:rsidR="000D6E6A" w:rsidRDefault="000D6E6A">
            <w:pPr>
              <w:pStyle w:val="bodycopytabletable"/>
            </w:pPr>
            <w:r w:rsidRPr="00D92A2B">
              <w:rPr>
                <w:rStyle w:val="medium"/>
                <w:b/>
                <w:bCs/>
              </w:rPr>
              <w:t>Total employees</w:t>
            </w:r>
          </w:p>
        </w:tc>
        <w:tc>
          <w:tcPr>
            <w:tcW w:w="992" w:type="dxa"/>
            <w:tcBorders>
              <w:top w:val="dotted" w:color="542E8E" w:sz="4" w:space="0"/>
              <w:left w:val="nil"/>
              <w:bottom w:val="single"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medium"/>
                <w:b/>
                <w:bCs/>
              </w:rPr>
              <w:t>201</w:t>
            </w:r>
          </w:p>
        </w:tc>
        <w:tc>
          <w:tcPr>
            <w:tcW w:w="709" w:type="dxa"/>
            <w:tcBorders>
              <w:top w:val="dotted" w:color="542E8E" w:sz="4" w:space="0"/>
              <w:left w:val="nil"/>
              <w:bottom w:val="single"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rPr>
                <w:rStyle w:val="medium"/>
                <w:b/>
                <w:bCs/>
              </w:rPr>
              <w:t>184</w:t>
            </w:r>
          </w:p>
        </w:tc>
        <w:tc>
          <w:tcPr>
            <w:tcW w:w="1134" w:type="dxa"/>
            <w:tcBorders>
              <w:top w:val="dotted" w:color="542E8E" w:sz="4" w:space="0"/>
              <w:left w:val="single" w:color="542E8E" w:sz="4" w:space="0"/>
              <w:bottom w:val="single"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medium"/>
                <w:b/>
                <w:bCs/>
              </w:rPr>
              <w:t>136</w:t>
            </w:r>
          </w:p>
        </w:tc>
        <w:tc>
          <w:tcPr>
            <w:tcW w:w="1134" w:type="dxa"/>
            <w:tcBorders>
              <w:top w:val="dotted" w:color="542E8E" w:sz="4" w:space="0"/>
              <w:left w:val="nil"/>
              <w:bottom w:val="single"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medium"/>
                <w:b/>
                <w:bCs/>
              </w:rPr>
              <w:t>48</w:t>
            </w:r>
          </w:p>
        </w:tc>
        <w:tc>
          <w:tcPr>
            <w:tcW w:w="708" w:type="dxa"/>
            <w:tcBorders>
              <w:top w:val="dotted" w:color="542E8E" w:sz="4" w:space="0"/>
              <w:left w:val="nil"/>
              <w:bottom w:val="single"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rPr>
                <w:rStyle w:val="medium"/>
                <w:b/>
                <w:bCs/>
              </w:rPr>
              <w:t>167</w:t>
            </w:r>
          </w:p>
        </w:tc>
        <w:tc>
          <w:tcPr>
            <w:tcW w:w="993" w:type="dxa"/>
            <w:tcBorders>
              <w:top w:val="dotted" w:color="542E8E" w:sz="4" w:space="0"/>
              <w:left w:val="single" w:color="542E8E" w:sz="4" w:space="0"/>
              <w:bottom w:val="single"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medium"/>
                <w:b/>
                <w:bCs/>
              </w:rPr>
              <w:t>17</w:t>
            </w:r>
          </w:p>
        </w:tc>
        <w:tc>
          <w:tcPr>
            <w:tcW w:w="708" w:type="dxa"/>
            <w:tcBorders>
              <w:top w:val="dotted" w:color="542E8E" w:sz="4" w:space="0"/>
              <w:left w:val="nil"/>
              <w:bottom w:val="single"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medium"/>
                <w:b/>
                <w:bCs/>
              </w:rPr>
              <w:t>17</w:t>
            </w:r>
          </w:p>
        </w:tc>
      </w:tr>
      <w:tr w:rsidRPr="00D92A2B" w:rsidR="000D6E6A" w:rsidTr="00D92A2B">
        <w:tblPrEx>
          <w:tblCellMar>
            <w:top w:w="0" w:type="dxa"/>
            <w:left w:w="0" w:type="dxa"/>
            <w:bottom w:w="0" w:type="dxa"/>
            <w:right w:w="0" w:type="dxa"/>
          </w:tblCellMar>
        </w:tblPrEx>
        <w:trPr>
          <w:trHeight w:val="60"/>
        </w:trPr>
        <w:tc>
          <w:tcPr>
            <w:tcW w:w="10149" w:type="dxa"/>
            <w:gridSpan w:val="8"/>
            <w:tcBorders>
              <w:top w:val="single" w:color="542E8E" w:sz="4" w:space="0"/>
              <w:left w:val="nil"/>
              <w:bottom w:val="single" w:color="542E8E" w:sz="4" w:space="0"/>
              <w:right w:val="nil"/>
            </w:tcBorders>
            <w:tcMar>
              <w:top w:w="57" w:type="dxa"/>
              <w:left w:w="57" w:type="dxa"/>
              <w:bottom w:w="57" w:type="dxa"/>
              <w:right w:w="57" w:type="dxa"/>
            </w:tcMar>
          </w:tcPr>
          <w:p w:rsidRPr="00D92A2B" w:rsidR="000D6E6A" w:rsidRDefault="000D6E6A">
            <w:pPr>
              <w:pStyle w:val="bodycopytabletable"/>
            </w:pPr>
            <w:r w:rsidRPr="00D92A2B">
              <w:rPr>
                <w:rStyle w:val="Purple"/>
              </w:rPr>
              <w:t>Age</w:t>
            </w:r>
          </w:p>
        </w:tc>
      </w:tr>
      <w:tr w:rsidRPr="00D92A2B" w:rsidR="000D6E6A" w:rsidTr="00D92A2B">
        <w:tblPrEx>
          <w:tblCellMar>
            <w:top w:w="0" w:type="dxa"/>
            <w:left w:w="0" w:type="dxa"/>
            <w:bottom w:w="0" w:type="dxa"/>
            <w:right w:w="0" w:type="dxa"/>
          </w:tblCellMar>
        </w:tblPrEx>
        <w:trPr>
          <w:trHeight w:val="60"/>
        </w:trPr>
        <w:tc>
          <w:tcPr>
            <w:tcW w:w="3771" w:type="dxa"/>
            <w:tcBorders>
              <w:top w:val="single"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pPr>
            <w:r w:rsidRPr="00D92A2B">
              <w:t>Under 25</w:t>
            </w:r>
          </w:p>
        </w:tc>
        <w:tc>
          <w:tcPr>
            <w:tcW w:w="992" w:type="dxa"/>
            <w:tcBorders>
              <w:top w:val="single"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8</w:t>
            </w:r>
          </w:p>
        </w:tc>
        <w:tc>
          <w:tcPr>
            <w:tcW w:w="709" w:type="dxa"/>
            <w:tcBorders>
              <w:top w:val="single"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8</w:t>
            </w:r>
          </w:p>
        </w:tc>
        <w:tc>
          <w:tcPr>
            <w:tcW w:w="1134" w:type="dxa"/>
            <w:tcBorders>
              <w:top w:val="single"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3</w:t>
            </w:r>
          </w:p>
        </w:tc>
        <w:tc>
          <w:tcPr>
            <w:tcW w:w="1134" w:type="dxa"/>
            <w:tcBorders>
              <w:top w:val="single"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single"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3</w:t>
            </w:r>
          </w:p>
        </w:tc>
        <w:tc>
          <w:tcPr>
            <w:tcW w:w="993" w:type="dxa"/>
            <w:tcBorders>
              <w:top w:val="single"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5</w:t>
            </w:r>
          </w:p>
        </w:tc>
        <w:tc>
          <w:tcPr>
            <w:tcW w:w="708" w:type="dxa"/>
            <w:tcBorders>
              <w:top w:val="single"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5</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pPr>
            <w:r w:rsidRPr="00D92A2B">
              <w:t>25–34</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90</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86</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67</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12</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75</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11</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11</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pPr>
            <w:r w:rsidRPr="00D92A2B">
              <w:t>35–44</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54</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46</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30</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23</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45</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pPr>
            <w:r w:rsidRPr="00D92A2B">
              <w:t>45–54</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32</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29</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22</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10</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29</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pPr>
            <w:r w:rsidRPr="00D92A2B">
              <w:t>55–64</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16</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15</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14</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2</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15</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single" w:color="542E8E" w:sz="4" w:space="0"/>
              <w:right w:val="nil"/>
            </w:tcBorders>
            <w:tcMar>
              <w:top w:w="57" w:type="dxa"/>
              <w:left w:w="57" w:type="dxa"/>
              <w:bottom w:w="57" w:type="dxa"/>
              <w:right w:w="57" w:type="dxa"/>
            </w:tcMar>
          </w:tcPr>
          <w:p w:rsidRPr="00D92A2B" w:rsidR="000D6E6A" w:rsidRDefault="000D6E6A">
            <w:pPr>
              <w:pStyle w:val="bodycopytabletable"/>
            </w:pPr>
            <w:r w:rsidRPr="00D92A2B">
              <w:t>Over 64</w:t>
            </w:r>
          </w:p>
        </w:tc>
        <w:tc>
          <w:tcPr>
            <w:tcW w:w="992" w:type="dxa"/>
            <w:tcBorders>
              <w:top w:val="dotted" w:color="542E8E" w:sz="4" w:space="0"/>
              <w:left w:val="nil"/>
              <w:bottom w:val="single"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w:t>
            </w:r>
          </w:p>
        </w:tc>
        <w:tc>
          <w:tcPr>
            <w:tcW w:w="709" w:type="dxa"/>
            <w:tcBorders>
              <w:top w:val="dotted" w:color="542E8E" w:sz="4" w:space="0"/>
              <w:left w:val="nil"/>
              <w:bottom w:val="single"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0</w:t>
            </w:r>
          </w:p>
        </w:tc>
        <w:tc>
          <w:tcPr>
            <w:tcW w:w="1134" w:type="dxa"/>
            <w:tcBorders>
              <w:top w:val="dotted" w:color="542E8E" w:sz="4" w:space="0"/>
              <w:left w:val="single" w:color="542E8E" w:sz="4" w:space="0"/>
              <w:bottom w:val="single"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1134" w:type="dxa"/>
            <w:tcBorders>
              <w:top w:val="dotted" w:color="542E8E" w:sz="4" w:space="0"/>
              <w:left w:val="nil"/>
              <w:bottom w:val="single"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w:t>
            </w:r>
          </w:p>
        </w:tc>
        <w:tc>
          <w:tcPr>
            <w:tcW w:w="708" w:type="dxa"/>
            <w:tcBorders>
              <w:top w:val="dotted" w:color="542E8E" w:sz="4" w:space="0"/>
              <w:left w:val="nil"/>
              <w:bottom w:val="single"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0</w:t>
            </w:r>
          </w:p>
        </w:tc>
        <w:tc>
          <w:tcPr>
            <w:tcW w:w="993" w:type="dxa"/>
            <w:tcBorders>
              <w:top w:val="dotted" w:color="542E8E" w:sz="4" w:space="0"/>
              <w:left w:val="single" w:color="542E8E" w:sz="4" w:space="0"/>
              <w:bottom w:val="single"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single"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10149" w:type="dxa"/>
            <w:gridSpan w:val="8"/>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D92A2B" w:rsidR="000D6E6A" w:rsidRDefault="000D6E6A">
            <w:pPr>
              <w:pStyle w:val="bodycopytabletable"/>
            </w:pPr>
            <w:r w:rsidRPr="00D92A2B">
              <w:rPr>
                <w:rStyle w:val="Purple"/>
              </w:rPr>
              <w:t>Classification</w:t>
            </w:r>
          </w:p>
        </w:tc>
      </w:tr>
      <w:tr w:rsidRPr="00D92A2B" w:rsidR="000D6E6A" w:rsidTr="00D92A2B">
        <w:tblPrEx>
          <w:tblCellMar>
            <w:top w:w="0" w:type="dxa"/>
            <w:left w:w="0" w:type="dxa"/>
            <w:bottom w:w="0" w:type="dxa"/>
            <w:right w:w="0" w:type="dxa"/>
          </w:tblCellMar>
        </w:tblPrEx>
        <w:trPr>
          <w:trHeight w:val="60"/>
        </w:trPr>
        <w:tc>
          <w:tcPr>
            <w:tcW w:w="3771" w:type="dxa"/>
            <w:tcBorders>
              <w:top w:val="single"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pPr>
            <w:r w:rsidRPr="00D92A2B">
              <w:rPr>
                <w:rStyle w:val="bold"/>
              </w:rPr>
              <w:t>VPS 1–6</w:t>
            </w:r>
          </w:p>
        </w:tc>
        <w:tc>
          <w:tcPr>
            <w:tcW w:w="992" w:type="dxa"/>
            <w:tcBorders>
              <w:top w:val="single"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83</w:t>
            </w:r>
          </w:p>
        </w:tc>
        <w:tc>
          <w:tcPr>
            <w:tcW w:w="709" w:type="dxa"/>
            <w:tcBorders>
              <w:top w:val="single"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rPr>
                <w:rStyle w:val="bold"/>
              </w:rPr>
              <w:t>75</w:t>
            </w:r>
          </w:p>
        </w:tc>
        <w:tc>
          <w:tcPr>
            <w:tcW w:w="1134" w:type="dxa"/>
            <w:tcBorders>
              <w:top w:val="single"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49</w:t>
            </w:r>
          </w:p>
        </w:tc>
        <w:tc>
          <w:tcPr>
            <w:tcW w:w="1134" w:type="dxa"/>
            <w:tcBorders>
              <w:top w:val="single"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20</w:t>
            </w:r>
          </w:p>
        </w:tc>
        <w:tc>
          <w:tcPr>
            <w:tcW w:w="708" w:type="dxa"/>
            <w:tcBorders>
              <w:top w:val="single"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rPr>
                <w:rStyle w:val="bold"/>
              </w:rPr>
              <w:t>61</w:t>
            </w:r>
          </w:p>
        </w:tc>
        <w:tc>
          <w:tcPr>
            <w:tcW w:w="993" w:type="dxa"/>
            <w:tcBorders>
              <w:top w:val="single"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14</w:t>
            </w:r>
          </w:p>
        </w:tc>
        <w:tc>
          <w:tcPr>
            <w:tcW w:w="708" w:type="dxa"/>
            <w:tcBorders>
              <w:top w:val="single"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14</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pPr>
            <w:r w:rsidRPr="00D92A2B">
              <w:t>VPS 1</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0</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0</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pPr>
            <w:r w:rsidRPr="00D92A2B">
              <w:t>VPS 2</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39</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37</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19</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6</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23</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14</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14</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pPr>
            <w:r w:rsidRPr="00D92A2B">
              <w:t>VPS 3</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22</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18</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11</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11</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18</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pPr>
            <w:r w:rsidRPr="00D92A2B">
              <w:t>VPS 4</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17</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15</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14</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3</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15</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pPr>
            <w:r w:rsidRPr="00D92A2B">
              <w:t>VPS 5</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1</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1</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pPr>
            <w:r w:rsidRPr="00D92A2B">
              <w:t>VPS 6</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4</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4</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4</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4</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pPr>
            <w:r w:rsidRPr="00D92A2B">
              <w:rPr>
                <w:rStyle w:val="bold"/>
              </w:rPr>
              <w:t>Senior Employees</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7</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rPr>
                <w:rStyle w:val="bold"/>
              </w:rPr>
              <w:t>7</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7</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0</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rPr>
                <w:rStyle w:val="bold"/>
              </w:rPr>
              <w:t>7</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pPr>
            <w:r w:rsidRPr="00D92A2B">
              <w:t>STS</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1</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1</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pPr>
            <w:r w:rsidRPr="00D92A2B">
              <w:t>Executives</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6</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6</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6</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6</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pPr>
            <w:r w:rsidRPr="00D92A2B">
              <w:rPr>
                <w:rStyle w:val="bold"/>
              </w:rPr>
              <w:t xml:space="preserve">Legal Officers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111</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rPr>
                <w:rStyle w:val="bold"/>
              </w:rPr>
              <w:t>102</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80</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28</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rPr>
                <w:rStyle w:val="bold"/>
              </w:rPr>
              <w:t>99</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3</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rPr>
                <w:rStyle w:val="bold"/>
              </w:rPr>
              <w:t>3</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pPr>
            <w:r w:rsidRPr="00D92A2B">
              <w:t>Solicitor 2</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19</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19</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19</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19</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pPr>
            <w:r w:rsidRPr="00D92A2B">
              <w:t>Solicitor 3</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11</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11</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9</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10</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1</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pPr>
            <w:r w:rsidRPr="00D92A2B">
              <w:t>Senior Solicitor</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34</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32</w:t>
            </w:r>
          </w:p>
        </w:tc>
        <w:tc>
          <w:tcPr>
            <w:tcW w:w="1134"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27</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5</w:t>
            </w:r>
          </w:p>
        </w:tc>
        <w:tc>
          <w:tcPr>
            <w:tcW w:w="708"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30</w:t>
            </w:r>
          </w:p>
        </w:tc>
        <w:tc>
          <w:tcPr>
            <w:tcW w:w="993"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2</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2</w:t>
            </w:r>
          </w:p>
        </w:tc>
      </w:tr>
      <w:tr w:rsidRPr="00D92A2B" w:rsidR="000D6E6A" w:rsidTr="00D92A2B">
        <w:tblPrEx>
          <w:tblCellMar>
            <w:top w:w="0" w:type="dxa"/>
            <w:left w:w="0" w:type="dxa"/>
            <w:bottom w:w="0" w:type="dxa"/>
            <w:right w:w="0" w:type="dxa"/>
          </w:tblCellMar>
        </w:tblPrEx>
        <w:trPr>
          <w:trHeight w:val="60"/>
        </w:trPr>
        <w:tc>
          <w:tcPr>
            <w:tcW w:w="3771" w:type="dxa"/>
            <w:tcBorders>
              <w:top w:val="dotted" w:color="542E8E" w:sz="4" w:space="0"/>
              <w:left w:val="nil"/>
              <w:bottom w:val="single" w:color="542E8E" w:sz="4" w:space="0"/>
              <w:right w:val="nil"/>
            </w:tcBorders>
            <w:tcMar>
              <w:top w:w="57" w:type="dxa"/>
              <w:left w:w="57" w:type="dxa"/>
              <w:bottom w:w="57" w:type="dxa"/>
              <w:right w:w="57" w:type="dxa"/>
            </w:tcMar>
          </w:tcPr>
          <w:p w:rsidRPr="00D92A2B" w:rsidR="000D6E6A" w:rsidRDefault="000D6E6A">
            <w:pPr>
              <w:pStyle w:val="bodycopytabletable"/>
            </w:pPr>
            <w:r w:rsidRPr="00D92A2B">
              <w:t>Principal Solicitor</w:t>
            </w:r>
          </w:p>
        </w:tc>
        <w:tc>
          <w:tcPr>
            <w:tcW w:w="992" w:type="dxa"/>
            <w:tcBorders>
              <w:top w:val="dotted" w:color="542E8E" w:sz="4" w:space="0"/>
              <w:left w:val="nil"/>
              <w:bottom w:val="single"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47</w:t>
            </w:r>
          </w:p>
        </w:tc>
        <w:tc>
          <w:tcPr>
            <w:tcW w:w="709" w:type="dxa"/>
            <w:tcBorders>
              <w:top w:val="dotted" w:color="542E8E" w:sz="4" w:space="0"/>
              <w:left w:val="nil"/>
              <w:bottom w:val="single"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40</w:t>
            </w:r>
          </w:p>
        </w:tc>
        <w:tc>
          <w:tcPr>
            <w:tcW w:w="1134" w:type="dxa"/>
            <w:tcBorders>
              <w:top w:val="dotted" w:color="542E8E" w:sz="4" w:space="0"/>
              <w:left w:val="single" w:color="542E8E" w:sz="4" w:space="0"/>
              <w:bottom w:val="single"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25</w:t>
            </w:r>
          </w:p>
        </w:tc>
        <w:tc>
          <w:tcPr>
            <w:tcW w:w="1134" w:type="dxa"/>
            <w:tcBorders>
              <w:top w:val="dotted" w:color="542E8E" w:sz="4" w:space="0"/>
              <w:left w:val="nil"/>
              <w:bottom w:val="single"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22</w:t>
            </w:r>
          </w:p>
        </w:tc>
        <w:tc>
          <w:tcPr>
            <w:tcW w:w="708" w:type="dxa"/>
            <w:tcBorders>
              <w:top w:val="dotted" w:color="542E8E" w:sz="4" w:space="0"/>
              <w:left w:val="nil"/>
              <w:bottom w:val="single" w:color="542E8E" w:sz="4" w:space="0"/>
              <w:right w:val="single" w:color="542E8E" w:sz="4" w:space="0"/>
            </w:tcBorders>
            <w:tcMar>
              <w:top w:w="57" w:type="dxa"/>
              <w:left w:w="57" w:type="dxa"/>
              <w:bottom w:w="57" w:type="dxa"/>
              <w:right w:w="57" w:type="dxa"/>
            </w:tcMar>
          </w:tcPr>
          <w:p w:rsidRPr="00D92A2B" w:rsidR="000D6E6A" w:rsidRDefault="000D6E6A">
            <w:pPr>
              <w:pStyle w:val="bodycopytabletable"/>
              <w:jc w:val="right"/>
            </w:pPr>
            <w:r w:rsidRPr="00D92A2B">
              <w:t>40</w:t>
            </w:r>
          </w:p>
        </w:tc>
        <w:tc>
          <w:tcPr>
            <w:tcW w:w="993" w:type="dxa"/>
            <w:tcBorders>
              <w:top w:val="dotted" w:color="542E8E" w:sz="4" w:space="0"/>
              <w:left w:val="single" w:color="542E8E" w:sz="4" w:space="0"/>
              <w:bottom w:val="single"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c>
          <w:tcPr>
            <w:tcW w:w="708" w:type="dxa"/>
            <w:tcBorders>
              <w:top w:val="dotted" w:color="542E8E" w:sz="4" w:space="0"/>
              <w:left w:val="nil"/>
              <w:bottom w:val="single" w:color="542E8E" w:sz="4" w:space="0"/>
              <w:right w:val="nil"/>
            </w:tcBorders>
            <w:tcMar>
              <w:top w:w="57" w:type="dxa"/>
              <w:left w:w="57" w:type="dxa"/>
              <w:bottom w:w="57" w:type="dxa"/>
              <w:right w:w="57" w:type="dxa"/>
            </w:tcMar>
          </w:tcPr>
          <w:p w:rsidRPr="00D92A2B" w:rsidR="000D6E6A" w:rsidRDefault="000D6E6A">
            <w:pPr>
              <w:pStyle w:val="bodycopytabletable"/>
              <w:jc w:val="right"/>
            </w:pPr>
            <w:r w:rsidRPr="00D92A2B">
              <w:t>0</w:t>
            </w:r>
          </w:p>
        </w:tc>
      </w:tr>
    </w:tbl>
    <w:p w:rsidR="000D6E6A" w:rsidP="00D92A2B" w:rsidRDefault="000D6E6A">
      <w:pPr>
        <w:pStyle w:val="notestable"/>
        <w:spacing w:before="60"/>
      </w:pPr>
      <w:r>
        <w:t>Notes:</w:t>
      </w:r>
    </w:p>
    <w:p w:rsidR="000D6E6A" w:rsidRDefault="000D6E6A">
      <w:pPr>
        <w:pStyle w:val="notestable"/>
      </w:pPr>
      <w:r>
        <w:t>All figures reflect active public service employees in the department, employed in the last full pay period in June each year.</w:t>
      </w:r>
    </w:p>
    <w:p w:rsidR="000D6E6A" w:rsidRDefault="000D6E6A">
      <w:pPr>
        <w:pStyle w:val="notestable"/>
      </w:pPr>
      <w:r>
        <w:t xml:space="preserve">The figures exclude those persons on leave without pay or absent on secondment, external contractors/consultants, temporary staff </w:t>
      </w:r>
      <w:r>
        <w:rPr>
          <w:spacing w:val="-2"/>
        </w:rPr>
        <w:t xml:space="preserve">employed by employment agencies, and a small number of people who are appointees to a statutory office but not employees as defined </w:t>
      </w:r>
      <w:r>
        <w:t xml:space="preserve">in the </w:t>
      </w:r>
      <w:r>
        <w:rPr>
          <w:rStyle w:val="italic"/>
        </w:rPr>
        <w:t>Public Administration Act 2004</w:t>
      </w:r>
      <w:r>
        <w:t xml:space="preserve"> (such as persons appointed to a non-executive board member role, to an office of a commissioner or to a judicial office).</w:t>
      </w:r>
    </w:p>
    <w:p w:rsidR="000D6E6A" w:rsidP="00D92A2B" w:rsidRDefault="000D6E6A">
      <w:pPr>
        <w:pStyle w:val="notestable"/>
        <w:tabs>
          <w:tab w:val="clear" w:pos="283"/>
        </w:tabs>
        <w:ind w:left="284" w:hanging="284"/>
      </w:pPr>
      <w:r>
        <w:t>a</w:t>
      </w:r>
      <w:r>
        <w:tab/>
        <w:t>‘Ongoing employee’ means an employee engaged on an open-ended contract of employment and executives engaged on a standard executive contract who were active in the last pay period of June.</w:t>
      </w:r>
    </w:p>
    <w:p w:rsidR="000D6E6A" w:rsidP="00D92A2B" w:rsidRDefault="000D6E6A">
      <w:pPr>
        <w:pStyle w:val="notestable"/>
        <w:tabs>
          <w:tab w:val="clear" w:pos="283"/>
        </w:tabs>
        <w:ind w:left="284" w:hanging="284"/>
      </w:pPr>
      <w:r>
        <w:t xml:space="preserve">b. </w:t>
      </w:r>
      <w:r>
        <w:tab/>
        <w:t xml:space="preserve">From 2017–18, Financial Reporting Direction 29C requires that disclosure of gender include three categories: woman, man and self-described. ‘Woman’ and ‘man’ are gender identity terms. Some employees use terms such as ‘gender diverse’, ‘non-binary’ or a number of other terms to describe their gender identity. Employees may wish to use ‘self-described’ to report their gender identity. </w:t>
      </w:r>
    </w:p>
    <w:p w:rsidR="00D92A2B" w:rsidP="00D92A2B" w:rsidRDefault="00D92A2B">
      <w:pPr>
        <w:pStyle w:val="Bodycopy"/>
      </w:pPr>
      <w:r>
        <w:br w:type="page"/>
      </w:r>
    </w:p>
    <w:tbl>
      <w:tblPr>
        <w:tblW w:w="0" w:type="auto"/>
        <w:tblInd w:w="57" w:type="dxa"/>
        <w:tblLayout w:type="fixed"/>
        <w:tblCellMar>
          <w:left w:w="0" w:type="dxa"/>
          <w:right w:w="0" w:type="dxa"/>
        </w:tblCellMar>
        <w:tblLook w:firstRow="0" w:lastRow="0" w:firstColumn="0" w:lastColumn="0" w:noHBand="0" w:noVBand="0" w:val="0000"/>
      </w:tblPr>
      <w:tblGrid>
        <w:gridCol w:w="3062"/>
        <w:gridCol w:w="1134"/>
        <w:gridCol w:w="709"/>
        <w:gridCol w:w="1275"/>
        <w:gridCol w:w="1276"/>
        <w:gridCol w:w="709"/>
        <w:gridCol w:w="1276"/>
        <w:gridCol w:w="708"/>
      </w:tblGrid>
      <w:tr w:rsidRPr="00D92A2B" w:rsidR="000D6E6A" w:rsidTr="00D92A2B">
        <w:tblPrEx>
          <w:tblCellMar>
            <w:top w:w="0" w:type="dxa"/>
            <w:left w:w="0" w:type="dxa"/>
            <w:bottom w:w="0" w:type="dxa"/>
            <w:right w:w="0" w:type="dxa"/>
          </w:tblCellMar>
        </w:tblPrEx>
        <w:trPr>
          <w:trHeight w:val="60"/>
          <w:tblHeader/>
        </w:trPr>
        <w:tc>
          <w:tcPr>
            <w:tcW w:w="10149" w:type="dxa"/>
            <w:gridSpan w:val="8"/>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D92A2B" w:rsidR="000D6E6A" w:rsidP="00D92A2B" w:rsidRDefault="000D6E6A">
            <w:pPr>
              <w:pStyle w:val="bodycopytabletable"/>
              <w:jc w:val="center"/>
            </w:pPr>
            <w:r w:rsidRPr="00D92A2B">
              <w:rPr>
                <w:rStyle w:val="mediumpurple"/>
                <w:b/>
                <w:bCs/>
              </w:rPr>
              <w:lastRenderedPageBreak/>
              <w:t>As at 30 June 2017</w:t>
            </w:r>
          </w:p>
        </w:tc>
      </w:tr>
      <w:tr w:rsidRPr="00D92A2B" w:rsidR="000D6E6A" w:rsidTr="00D92A2B">
        <w:tblPrEx>
          <w:tblCellMar>
            <w:top w:w="0" w:type="dxa"/>
            <w:left w:w="0" w:type="dxa"/>
            <w:bottom w:w="0" w:type="dxa"/>
            <w:right w:w="0" w:type="dxa"/>
          </w:tblCellMar>
        </w:tblPrEx>
        <w:trPr>
          <w:trHeight w:val="60"/>
          <w:tblHeader/>
        </w:trPr>
        <w:tc>
          <w:tcPr>
            <w:tcW w:w="3062"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tcPr>
          <w:p w:rsidRPr="00D92A2B" w:rsidR="000D6E6A" w:rsidP="00D92A2B" w:rsidRDefault="000D6E6A">
            <w:pPr>
              <w:pStyle w:val="NoParagraphStyle"/>
              <w:spacing w:line="240" w:lineRule="auto"/>
              <w:textAlignment w:val="auto"/>
              <w:rPr>
                <w:color w:val="auto"/>
                <w:sz w:val="16"/>
                <w:szCs w:val="16"/>
              </w:rPr>
            </w:pPr>
          </w:p>
        </w:tc>
        <w:tc>
          <w:tcPr>
            <w:tcW w:w="1843" w:type="dxa"/>
            <w:gridSpan w:val="2"/>
            <w:tcBorders>
              <w:top w:val="single" w:color="542E8E" w:sz="6" w:space="0"/>
              <w:left w:val="nil"/>
              <w:bottom w:val="single" w:color="542E8E" w:sz="6" w:space="0"/>
              <w:right w:val="nil"/>
            </w:tcBorders>
            <w:shd w:val="solid" w:color="FFFFFF" w:fill="auto"/>
            <w:tcMar>
              <w:top w:w="57" w:type="dxa"/>
              <w:left w:w="57" w:type="dxa"/>
              <w:bottom w:w="57" w:type="dxa"/>
              <w:right w:w="57" w:type="dxa"/>
            </w:tcMar>
          </w:tcPr>
          <w:p w:rsidRPr="00D92A2B" w:rsidR="000D6E6A" w:rsidP="00D92A2B" w:rsidRDefault="000D6E6A">
            <w:pPr>
              <w:pStyle w:val="bodycopytabletable"/>
              <w:jc w:val="center"/>
            </w:pPr>
            <w:r w:rsidRPr="00D92A2B">
              <w:rPr>
                <w:rStyle w:val="mediumpurple"/>
                <w:b/>
                <w:bCs/>
              </w:rPr>
              <w:t>All employees</w:t>
            </w:r>
          </w:p>
        </w:tc>
        <w:tc>
          <w:tcPr>
            <w:tcW w:w="3260" w:type="dxa"/>
            <w:gridSpan w:val="3"/>
            <w:tcBorders>
              <w:top w:val="single" w:color="542E8E" w:sz="6" w:space="0"/>
              <w:left w:val="single" w:color="542E8E" w:sz="4" w:space="0"/>
              <w:bottom w:val="single" w:color="542E8E" w:sz="6" w:space="0"/>
              <w:right w:val="nil"/>
            </w:tcBorders>
            <w:shd w:val="solid" w:color="FFFFFF" w:fill="auto"/>
            <w:tcMar>
              <w:top w:w="57" w:type="dxa"/>
              <w:left w:w="57" w:type="dxa"/>
              <w:bottom w:w="57" w:type="dxa"/>
              <w:right w:w="57" w:type="dxa"/>
            </w:tcMar>
          </w:tcPr>
          <w:p w:rsidRPr="00D92A2B" w:rsidR="000D6E6A" w:rsidP="00D92A2B" w:rsidRDefault="000D6E6A">
            <w:pPr>
              <w:pStyle w:val="bodycopytabletable"/>
              <w:jc w:val="center"/>
            </w:pPr>
            <w:proofErr w:type="spellStart"/>
            <w:r w:rsidRPr="00D92A2B">
              <w:rPr>
                <w:rStyle w:val="mediumpurple"/>
                <w:b/>
                <w:bCs/>
              </w:rPr>
              <w:t>Ongoing</w:t>
            </w:r>
            <w:r w:rsidRPr="00D92A2B">
              <w:rPr>
                <w:rStyle w:val="Superscript"/>
                <w:color w:val="542E8E"/>
              </w:rPr>
              <w:t>a</w:t>
            </w:r>
            <w:proofErr w:type="spellEnd"/>
          </w:p>
        </w:tc>
        <w:tc>
          <w:tcPr>
            <w:tcW w:w="1984" w:type="dxa"/>
            <w:gridSpan w:val="2"/>
            <w:tcBorders>
              <w:top w:val="single" w:color="542E8E" w:sz="6" w:space="0"/>
              <w:left w:val="single" w:color="542E8E" w:sz="4" w:space="0"/>
              <w:bottom w:val="single" w:color="542E8E" w:sz="6" w:space="0"/>
              <w:right w:val="nil"/>
            </w:tcBorders>
            <w:shd w:val="solid" w:color="FFFFFF" w:fill="auto"/>
            <w:tcMar>
              <w:top w:w="57" w:type="dxa"/>
              <w:left w:w="57" w:type="dxa"/>
              <w:bottom w:w="57" w:type="dxa"/>
              <w:right w:w="57" w:type="dxa"/>
            </w:tcMar>
          </w:tcPr>
          <w:p w:rsidRPr="00D92A2B" w:rsidR="000D6E6A" w:rsidP="00D92A2B" w:rsidRDefault="00D92A2B">
            <w:pPr>
              <w:pStyle w:val="bodycopytabletable"/>
              <w:jc w:val="center"/>
            </w:pPr>
            <w:r>
              <w:rPr>
                <w:rStyle w:val="mediumpurple"/>
                <w:b/>
                <w:bCs/>
              </w:rPr>
              <w:t xml:space="preserve">Fixed-term </w:t>
            </w:r>
            <w:r w:rsidRPr="00D92A2B" w:rsidR="000D6E6A">
              <w:rPr>
                <w:rStyle w:val="mediumpurple"/>
                <w:b/>
                <w:bCs/>
              </w:rPr>
              <w:t>and casual</w:t>
            </w:r>
          </w:p>
        </w:tc>
      </w:tr>
      <w:tr w:rsidRPr="00D92A2B" w:rsidR="000D6E6A" w:rsidTr="00D92A2B">
        <w:tblPrEx>
          <w:tblCellMar>
            <w:top w:w="0" w:type="dxa"/>
            <w:left w:w="0" w:type="dxa"/>
            <w:bottom w:w="0" w:type="dxa"/>
            <w:right w:w="0" w:type="dxa"/>
          </w:tblCellMar>
        </w:tblPrEx>
        <w:trPr>
          <w:trHeight w:val="60"/>
          <w:tblHeader/>
        </w:trPr>
        <w:tc>
          <w:tcPr>
            <w:tcW w:w="3062"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tcPr>
          <w:p w:rsidRPr="00D92A2B" w:rsidR="000D6E6A" w:rsidP="00D92A2B" w:rsidRDefault="000D6E6A">
            <w:pPr>
              <w:pStyle w:val="NoParagraphStyle"/>
              <w:spacing w:line="240" w:lineRule="auto"/>
              <w:textAlignment w:val="auto"/>
              <w:rPr>
                <w:color w:val="auto"/>
                <w:sz w:val="16"/>
                <w:szCs w:val="16"/>
              </w:rPr>
            </w:pPr>
          </w:p>
        </w:tc>
        <w:tc>
          <w:tcPr>
            <w:tcW w:w="1134"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D92A2B" w:rsidR="000D6E6A" w:rsidP="00D92A2B" w:rsidRDefault="000D6E6A">
            <w:pPr>
              <w:pStyle w:val="bodycopytabletable"/>
              <w:jc w:val="right"/>
            </w:pPr>
            <w:r w:rsidRPr="00D92A2B">
              <w:rPr>
                <w:rStyle w:val="mediumpurple"/>
                <w:b/>
                <w:bCs/>
              </w:rPr>
              <w:t>Head count</w:t>
            </w:r>
          </w:p>
        </w:tc>
        <w:tc>
          <w:tcPr>
            <w:tcW w:w="709" w:type="dxa"/>
            <w:tcBorders>
              <w:top w:val="single" w:color="542E8E" w:sz="6" w:space="0"/>
              <w:left w:val="nil"/>
              <w:bottom w:val="single" w:color="542E8E" w:sz="6" w:space="0"/>
              <w:right w:val="single" w:color="542E8E" w:sz="4" w:space="0"/>
            </w:tcBorders>
            <w:shd w:val="solid" w:color="FFFFFF" w:fill="auto"/>
            <w:tcMar>
              <w:top w:w="57" w:type="dxa"/>
              <w:left w:w="57" w:type="dxa"/>
              <w:bottom w:w="57" w:type="dxa"/>
              <w:right w:w="57" w:type="dxa"/>
            </w:tcMar>
            <w:vAlign w:val="bottom"/>
          </w:tcPr>
          <w:p w:rsidRPr="00D92A2B" w:rsidR="000D6E6A" w:rsidP="00D92A2B" w:rsidRDefault="000D6E6A">
            <w:pPr>
              <w:pStyle w:val="bodycopytabletable"/>
              <w:jc w:val="right"/>
            </w:pPr>
            <w:r w:rsidRPr="00D92A2B">
              <w:rPr>
                <w:rStyle w:val="mediumpurple"/>
                <w:b/>
                <w:bCs/>
              </w:rPr>
              <w:t>FTE</w:t>
            </w:r>
          </w:p>
        </w:tc>
        <w:tc>
          <w:tcPr>
            <w:tcW w:w="1275" w:type="dxa"/>
            <w:tcBorders>
              <w:top w:val="single" w:color="542E8E" w:sz="6" w:space="0"/>
              <w:left w:val="single" w:color="542E8E" w:sz="4" w:space="0"/>
              <w:bottom w:val="single" w:color="542E8E" w:sz="6" w:space="0"/>
              <w:right w:val="nil"/>
            </w:tcBorders>
            <w:shd w:val="solid" w:color="FFFFFF" w:fill="auto"/>
            <w:tcMar>
              <w:top w:w="57" w:type="dxa"/>
              <w:left w:w="57" w:type="dxa"/>
              <w:bottom w:w="57" w:type="dxa"/>
              <w:right w:w="57" w:type="dxa"/>
            </w:tcMar>
            <w:vAlign w:val="bottom"/>
          </w:tcPr>
          <w:p w:rsidRPr="00D92A2B" w:rsidR="000D6E6A" w:rsidP="00D92A2B" w:rsidRDefault="000D6E6A">
            <w:pPr>
              <w:pStyle w:val="bodycopytabletable"/>
              <w:jc w:val="right"/>
            </w:pPr>
            <w:r w:rsidRPr="00D92A2B">
              <w:rPr>
                <w:rStyle w:val="mediumpurple"/>
                <w:b/>
                <w:bCs/>
              </w:rPr>
              <w:t>Full time</w:t>
            </w:r>
            <w:r w:rsidRPr="00D92A2B">
              <w:rPr>
                <w:rStyle w:val="mediumpurple"/>
                <w:b/>
                <w:bCs/>
              </w:rPr>
              <w:br/>
              <w:t>(head count)</w:t>
            </w:r>
          </w:p>
        </w:tc>
        <w:tc>
          <w:tcPr>
            <w:tcW w:w="1276"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D92A2B" w:rsidR="000D6E6A" w:rsidP="00D92A2B" w:rsidRDefault="000D6E6A">
            <w:pPr>
              <w:pStyle w:val="bodycopytabletable"/>
              <w:jc w:val="right"/>
            </w:pPr>
            <w:r w:rsidRPr="00D92A2B">
              <w:rPr>
                <w:rStyle w:val="mediumpurple"/>
                <w:b/>
                <w:bCs/>
              </w:rPr>
              <w:t>Part time</w:t>
            </w:r>
            <w:r w:rsidRPr="00D92A2B">
              <w:rPr>
                <w:rStyle w:val="mediumpurple"/>
                <w:b/>
                <w:bCs/>
              </w:rPr>
              <w:br/>
              <w:t>(head count)</w:t>
            </w:r>
          </w:p>
        </w:tc>
        <w:tc>
          <w:tcPr>
            <w:tcW w:w="709" w:type="dxa"/>
            <w:tcBorders>
              <w:top w:val="single" w:color="542E8E" w:sz="6" w:space="0"/>
              <w:left w:val="nil"/>
              <w:bottom w:val="single" w:color="542E8E" w:sz="6" w:space="0"/>
              <w:right w:val="single" w:color="542E8E" w:sz="4" w:space="0"/>
            </w:tcBorders>
            <w:shd w:val="solid" w:color="FFFFFF" w:fill="auto"/>
            <w:tcMar>
              <w:top w:w="57" w:type="dxa"/>
              <w:left w:w="57" w:type="dxa"/>
              <w:bottom w:w="57" w:type="dxa"/>
              <w:right w:w="57" w:type="dxa"/>
            </w:tcMar>
            <w:vAlign w:val="bottom"/>
          </w:tcPr>
          <w:p w:rsidRPr="00D92A2B" w:rsidR="000D6E6A" w:rsidP="00D92A2B" w:rsidRDefault="000D6E6A">
            <w:pPr>
              <w:pStyle w:val="bodycopytabletable"/>
              <w:jc w:val="right"/>
            </w:pPr>
            <w:r w:rsidRPr="00D92A2B">
              <w:rPr>
                <w:rStyle w:val="mediumpurple"/>
                <w:b/>
                <w:bCs/>
              </w:rPr>
              <w:t>FTE</w:t>
            </w:r>
          </w:p>
        </w:tc>
        <w:tc>
          <w:tcPr>
            <w:tcW w:w="1276" w:type="dxa"/>
            <w:tcBorders>
              <w:top w:val="single" w:color="542E8E" w:sz="6" w:space="0"/>
              <w:left w:val="single" w:color="542E8E" w:sz="4" w:space="0"/>
              <w:bottom w:val="single" w:color="542E8E" w:sz="6" w:space="0"/>
              <w:right w:val="nil"/>
            </w:tcBorders>
            <w:shd w:val="solid" w:color="FFFFFF" w:fill="auto"/>
            <w:tcMar>
              <w:top w:w="57" w:type="dxa"/>
              <w:left w:w="57" w:type="dxa"/>
              <w:bottom w:w="57" w:type="dxa"/>
              <w:right w:w="57" w:type="dxa"/>
            </w:tcMar>
            <w:vAlign w:val="bottom"/>
          </w:tcPr>
          <w:p w:rsidRPr="00D92A2B" w:rsidR="000D6E6A" w:rsidP="00D92A2B" w:rsidRDefault="000D6E6A">
            <w:pPr>
              <w:pStyle w:val="bodycopytabletable"/>
              <w:jc w:val="right"/>
            </w:pPr>
            <w:r w:rsidRPr="00D92A2B">
              <w:rPr>
                <w:rStyle w:val="mediumpurple"/>
                <w:b/>
                <w:bCs/>
              </w:rPr>
              <w:t>Head count</w:t>
            </w:r>
          </w:p>
        </w:tc>
        <w:tc>
          <w:tcPr>
            <w:tcW w:w="708"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D92A2B" w:rsidR="000D6E6A" w:rsidP="00D92A2B" w:rsidRDefault="000D6E6A">
            <w:pPr>
              <w:pStyle w:val="bodycopytabletable"/>
              <w:jc w:val="right"/>
            </w:pPr>
            <w:r w:rsidRPr="00D92A2B">
              <w:rPr>
                <w:rStyle w:val="mediumpurple"/>
                <w:b/>
                <w:bCs/>
              </w:rPr>
              <w:t>FTE</w:t>
            </w:r>
          </w:p>
        </w:tc>
      </w:tr>
      <w:tr w:rsidRPr="00D92A2B" w:rsidR="000D6E6A" w:rsidTr="00D92A2B">
        <w:tblPrEx>
          <w:tblCellMar>
            <w:top w:w="0" w:type="dxa"/>
            <w:left w:w="0" w:type="dxa"/>
            <w:bottom w:w="0" w:type="dxa"/>
            <w:right w:w="0" w:type="dxa"/>
          </w:tblCellMar>
        </w:tblPrEx>
        <w:trPr>
          <w:trHeight w:val="60"/>
        </w:trPr>
        <w:tc>
          <w:tcPr>
            <w:tcW w:w="10149" w:type="dxa"/>
            <w:gridSpan w:val="8"/>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D92A2B" w:rsidR="000D6E6A" w:rsidP="00D92A2B" w:rsidRDefault="000D6E6A">
            <w:pPr>
              <w:pStyle w:val="bodycopytabletable"/>
            </w:pPr>
            <w:r w:rsidRPr="00D92A2B">
              <w:rPr>
                <w:rStyle w:val="Purple"/>
              </w:rPr>
              <w:t>Gender</w:t>
            </w:r>
          </w:p>
        </w:tc>
      </w:tr>
      <w:tr w:rsidRPr="00D92A2B" w:rsidR="000D6E6A" w:rsidTr="00D92A2B">
        <w:tblPrEx>
          <w:tblCellMar>
            <w:top w:w="0" w:type="dxa"/>
            <w:left w:w="0" w:type="dxa"/>
            <w:bottom w:w="0" w:type="dxa"/>
            <w:right w:w="0" w:type="dxa"/>
          </w:tblCellMar>
        </w:tblPrEx>
        <w:trPr>
          <w:trHeight w:val="60"/>
        </w:trPr>
        <w:tc>
          <w:tcPr>
            <w:tcW w:w="3062" w:type="dxa"/>
            <w:tcBorders>
              <w:top w:val="single"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Woman</w:t>
            </w:r>
          </w:p>
        </w:tc>
        <w:tc>
          <w:tcPr>
            <w:tcW w:w="1134" w:type="dxa"/>
            <w:tcBorders>
              <w:top w:val="single"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157</w:t>
            </w:r>
          </w:p>
        </w:tc>
        <w:tc>
          <w:tcPr>
            <w:tcW w:w="709" w:type="dxa"/>
            <w:tcBorders>
              <w:top w:val="single"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139</w:t>
            </w:r>
          </w:p>
        </w:tc>
        <w:tc>
          <w:tcPr>
            <w:tcW w:w="1275" w:type="dxa"/>
            <w:tcBorders>
              <w:top w:val="single"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93</w:t>
            </w:r>
          </w:p>
        </w:tc>
        <w:tc>
          <w:tcPr>
            <w:tcW w:w="1276" w:type="dxa"/>
            <w:tcBorders>
              <w:top w:val="single"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53</w:t>
            </w:r>
          </w:p>
        </w:tc>
        <w:tc>
          <w:tcPr>
            <w:tcW w:w="709" w:type="dxa"/>
            <w:tcBorders>
              <w:top w:val="single"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128</w:t>
            </w:r>
          </w:p>
        </w:tc>
        <w:tc>
          <w:tcPr>
            <w:tcW w:w="1276" w:type="dxa"/>
            <w:tcBorders>
              <w:top w:val="single"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11</w:t>
            </w:r>
          </w:p>
        </w:tc>
        <w:tc>
          <w:tcPr>
            <w:tcW w:w="708" w:type="dxa"/>
            <w:tcBorders>
              <w:top w:val="single"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11</w:t>
            </w:r>
          </w:p>
        </w:tc>
      </w:tr>
      <w:tr w:rsidRPr="00D92A2B" w:rsidR="000D6E6A" w:rsidTr="00D92A2B">
        <w:tblPrEx>
          <w:tblCellMar>
            <w:top w:w="0" w:type="dxa"/>
            <w:left w:w="0" w:type="dxa"/>
            <w:bottom w:w="0" w:type="dxa"/>
            <w:right w:w="0" w:type="dxa"/>
          </w:tblCellMar>
        </w:tblPrEx>
        <w:trPr>
          <w:trHeight w:val="60"/>
        </w:trPr>
        <w:tc>
          <w:tcPr>
            <w:tcW w:w="306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Man</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41</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40</w:t>
            </w:r>
          </w:p>
        </w:tc>
        <w:tc>
          <w:tcPr>
            <w:tcW w:w="1275"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34</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4</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37</w:t>
            </w:r>
          </w:p>
        </w:tc>
        <w:tc>
          <w:tcPr>
            <w:tcW w:w="1276"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3</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3</w:t>
            </w:r>
          </w:p>
        </w:tc>
      </w:tr>
      <w:tr w:rsidRPr="00D92A2B" w:rsidR="000D6E6A" w:rsidTr="00D92A2B">
        <w:tblPrEx>
          <w:tblCellMar>
            <w:top w:w="0" w:type="dxa"/>
            <w:left w:w="0" w:type="dxa"/>
            <w:bottom w:w="0" w:type="dxa"/>
            <w:right w:w="0" w:type="dxa"/>
          </w:tblCellMar>
        </w:tblPrEx>
        <w:trPr>
          <w:trHeight w:val="60"/>
        </w:trPr>
        <w:tc>
          <w:tcPr>
            <w:tcW w:w="3062" w:type="dxa"/>
            <w:tcBorders>
              <w:top w:val="dotted" w:color="542E8E" w:sz="4" w:space="0"/>
              <w:left w:val="nil"/>
              <w:bottom w:val="single"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rPr>
                <w:rStyle w:val="medium"/>
                <w:b/>
                <w:bCs/>
              </w:rPr>
              <w:t>Total employees</w:t>
            </w:r>
          </w:p>
        </w:tc>
        <w:tc>
          <w:tcPr>
            <w:tcW w:w="1134" w:type="dxa"/>
            <w:tcBorders>
              <w:top w:val="dotted" w:color="542E8E" w:sz="4" w:space="0"/>
              <w:left w:val="nil"/>
              <w:bottom w:val="single"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medium"/>
                <w:b/>
                <w:bCs/>
              </w:rPr>
              <w:t>198</w:t>
            </w:r>
          </w:p>
        </w:tc>
        <w:tc>
          <w:tcPr>
            <w:tcW w:w="709" w:type="dxa"/>
            <w:tcBorders>
              <w:top w:val="dotted" w:color="542E8E" w:sz="4" w:space="0"/>
              <w:left w:val="nil"/>
              <w:bottom w:val="single"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rPr>
                <w:rStyle w:val="medium"/>
                <w:b/>
                <w:bCs/>
              </w:rPr>
              <w:t>179</w:t>
            </w:r>
          </w:p>
        </w:tc>
        <w:tc>
          <w:tcPr>
            <w:tcW w:w="1275" w:type="dxa"/>
            <w:tcBorders>
              <w:top w:val="dotted" w:color="542E8E" w:sz="4" w:space="0"/>
              <w:left w:val="single" w:color="542E8E" w:sz="4" w:space="0"/>
              <w:bottom w:val="single"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medium"/>
                <w:b/>
                <w:bCs/>
              </w:rPr>
              <w:t>127</w:t>
            </w:r>
          </w:p>
        </w:tc>
        <w:tc>
          <w:tcPr>
            <w:tcW w:w="1276" w:type="dxa"/>
            <w:tcBorders>
              <w:top w:val="dotted" w:color="542E8E" w:sz="4" w:space="0"/>
              <w:left w:val="nil"/>
              <w:bottom w:val="single"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medium"/>
                <w:b/>
                <w:bCs/>
              </w:rPr>
              <w:t>57</w:t>
            </w:r>
          </w:p>
        </w:tc>
        <w:tc>
          <w:tcPr>
            <w:tcW w:w="709" w:type="dxa"/>
            <w:tcBorders>
              <w:top w:val="dotted" w:color="542E8E" w:sz="4" w:space="0"/>
              <w:left w:val="nil"/>
              <w:bottom w:val="single"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rPr>
                <w:rStyle w:val="medium"/>
                <w:b/>
                <w:bCs/>
              </w:rPr>
              <w:t>165</w:t>
            </w:r>
          </w:p>
        </w:tc>
        <w:tc>
          <w:tcPr>
            <w:tcW w:w="1276" w:type="dxa"/>
            <w:tcBorders>
              <w:top w:val="dotted" w:color="542E8E" w:sz="4" w:space="0"/>
              <w:left w:val="single" w:color="542E8E" w:sz="4" w:space="0"/>
              <w:bottom w:val="single"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medium"/>
                <w:b/>
                <w:bCs/>
              </w:rPr>
              <w:t>14</w:t>
            </w:r>
          </w:p>
        </w:tc>
        <w:tc>
          <w:tcPr>
            <w:tcW w:w="708" w:type="dxa"/>
            <w:tcBorders>
              <w:top w:val="dotted" w:color="542E8E" w:sz="4" w:space="0"/>
              <w:left w:val="nil"/>
              <w:bottom w:val="single"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medium"/>
                <w:b/>
                <w:bCs/>
              </w:rPr>
              <w:t>14</w:t>
            </w:r>
          </w:p>
        </w:tc>
      </w:tr>
      <w:tr w:rsidRPr="00D92A2B" w:rsidR="000D6E6A" w:rsidTr="00D92A2B">
        <w:tblPrEx>
          <w:tblCellMar>
            <w:top w:w="0" w:type="dxa"/>
            <w:left w:w="0" w:type="dxa"/>
            <w:bottom w:w="0" w:type="dxa"/>
            <w:right w:w="0" w:type="dxa"/>
          </w:tblCellMar>
        </w:tblPrEx>
        <w:trPr>
          <w:trHeight w:val="60"/>
        </w:trPr>
        <w:tc>
          <w:tcPr>
            <w:tcW w:w="10149" w:type="dxa"/>
            <w:gridSpan w:val="8"/>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D92A2B" w:rsidR="000D6E6A" w:rsidP="00D92A2B" w:rsidRDefault="000D6E6A">
            <w:pPr>
              <w:pStyle w:val="bodycopytabletable"/>
            </w:pPr>
            <w:r w:rsidRPr="00D92A2B">
              <w:rPr>
                <w:rStyle w:val="Purple"/>
              </w:rPr>
              <w:t>Age</w:t>
            </w:r>
          </w:p>
        </w:tc>
      </w:tr>
      <w:tr w:rsidRPr="00D92A2B" w:rsidR="000D6E6A" w:rsidTr="00D92A2B">
        <w:tblPrEx>
          <w:tblCellMar>
            <w:top w:w="0" w:type="dxa"/>
            <w:left w:w="0" w:type="dxa"/>
            <w:bottom w:w="0" w:type="dxa"/>
            <w:right w:w="0" w:type="dxa"/>
          </w:tblCellMar>
        </w:tblPrEx>
        <w:trPr>
          <w:trHeight w:val="60"/>
        </w:trPr>
        <w:tc>
          <w:tcPr>
            <w:tcW w:w="3062" w:type="dxa"/>
            <w:tcBorders>
              <w:top w:val="single"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Under 25</w:t>
            </w:r>
          </w:p>
        </w:tc>
        <w:tc>
          <w:tcPr>
            <w:tcW w:w="1134" w:type="dxa"/>
            <w:tcBorders>
              <w:top w:val="single"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3</w:t>
            </w:r>
          </w:p>
        </w:tc>
        <w:tc>
          <w:tcPr>
            <w:tcW w:w="709" w:type="dxa"/>
            <w:tcBorders>
              <w:top w:val="single"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3</w:t>
            </w:r>
          </w:p>
        </w:tc>
        <w:tc>
          <w:tcPr>
            <w:tcW w:w="1275" w:type="dxa"/>
            <w:tcBorders>
              <w:top w:val="single"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2</w:t>
            </w:r>
          </w:p>
        </w:tc>
        <w:tc>
          <w:tcPr>
            <w:tcW w:w="1276" w:type="dxa"/>
            <w:tcBorders>
              <w:top w:val="single"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c>
          <w:tcPr>
            <w:tcW w:w="709" w:type="dxa"/>
            <w:tcBorders>
              <w:top w:val="single"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2</w:t>
            </w:r>
          </w:p>
        </w:tc>
        <w:tc>
          <w:tcPr>
            <w:tcW w:w="1276" w:type="dxa"/>
            <w:tcBorders>
              <w:top w:val="single"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w:t>
            </w:r>
          </w:p>
        </w:tc>
        <w:tc>
          <w:tcPr>
            <w:tcW w:w="708" w:type="dxa"/>
            <w:tcBorders>
              <w:top w:val="single"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w:t>
            </w:r>
          </w:p>
        </w:tc>
      </w:tr>
      <w:tr w:rsidRPr="00D92A2B" w:rsidR="000D6E6A" w:rsidTr="00D92A2B">
        <w:tblPrEx>
          <w:tblCellMar>
            <w:top w:w="0" w:type="dxa"/>
            <w:left w:w="0" w:type="dxa"/>
            <w:bottom w:w="0" w:type="dxa"/>
            <w:right w:w="0" w:type="dxa"/>
          </w:tblCellMar>
        </w:tblPrEx>
        <w:trPr>
          <w:trHeight w:val="60"/>
        </w:trPr>
        <w:tc>
          <w:tcPr>
            <w:tcW w:w="306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25–34</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90</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85</w:t>
            </w:r>
          </w:p>
        </w:tc>
        <w:tc>
          <w:tcPr>
            <w:tcW w:w="1275"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63</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17</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75</w:t>
            </w:r>
          </w:p>
        </w:tc>
        <w:tc>
          <w:tcPr>
            <w:tcW w:w="1276"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10</w:t>
            </w:r>
          </w:p>
        </w:tc>
      </w:tr>
      <w:tr w:rsidRPr="00D92A2B" w:rsidR="000D6E6A" w:rsidTr="00D92A2B">
        <w:tblPrEx>
          <w:tblCellMar>
            <w:top w:w="0" w:type="dxa"/>
            <w:left w:w="0" w:type="dxa"/>
            <w:bottom w:w="0" w:type="dxa"/>
            <w:right w:w="0" w:type="dxa"/>
          </w:tblCellMar>
        </w:tblPrEx>
        <w:trPr>
          <w:trHeight w:val="60"/>
        </w:trPr>
        <w:tc>
          <w:tcPr>
            <w:tcW w:w="306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35–44</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58</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49</w:t>
            </w:r>
          </w:p>
        </w:tc>
        <w:tc>
          <w:tcPr>
            <w:tcW w:w="1275"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29</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27</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47</w:t>
            </w:r>
          </w:p>
        </w:tc>
        <w:tc>
          <w:tcPr>
            <w:tcW w:w="1276"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2</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2</w:t>
            </w:r>
          </w:p>
        </w:tc>
      </w:tr>
      <w:tr w:rsidRPr="00D92A2B" w:rsidR="000D6E6A" w:rsidTr="00D92A2B">
        <w:tblPrEx>
          <w:tblCellMar>
            <w:top w:w="0" w:type="dxa"/>
            <w:left w:w="0" w:type="dxa"/>
            <w:bottom w:w="0" w:type="dxa"/>
            <w:right w:w="0" w:type="dxa"/>
          </w:tblCellMar>
        </w:tblPrEx>
        <w:trPr>
          <w:trHeight w:val="60"/>
        </w:trPr>
        <w:tc>
          <w:tcPr>
            <w:tcW w:w="306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45–54</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29</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26</w:t>
            </w:r>
          </w:p>
        </w:tc>
        <w:tc>
          <w:tcPr>
            <w:tcW w:w="1275"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19</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9</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25</w:t>
            </w:r>
          </w:p>
        </w:tc>
        <w:tc>
          <w:tcPr>
            <w:tcW w:w="1276"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w:t>
            </w:r>
          </w:p>
        </w:tc>
      </w:tr>
      <w:tr w:rsidRPr="00D92A2B" w:rsidR="000D6E6A" w:rsidTr="00D92A2B">
        <w:tblPrEx>
          <w:tblCellMar>
            <w:top w:w="0" w:type="dxa"/>
            <w:left w:w="0" w:type="dxa"/>
            <w:bottom w:w="0" w:type="dxa"/>
            <w:right w:w="0" w:type="dxa"/>
          </w:tblCellMar>
        </w:tblPrEx>
        <w:trPr>
          <w:trHeight w:val="60"/>
        </w:trPr>
        <w:tc>
          <w:tcPr>
            <w:tcW w:w="306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55–64</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16</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15</w:t>
            </w:r>
          </w:p>
        </w:tc>
        <w:tc>
          <w:tcPr>
            <w:tcW w:w="1275"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14</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2</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15</w:t>
            </w:r>
          </w:p>
        </w:tc>
        <w:tc>
          <w:tcPr>
            <w:tcW w:w="1276"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062" w:type="dxa"/>
            <w:tcBorders>
              <w:top w:val="dotted" w:color="542E8E" w:sz="4" w:space="0"/>
              <w:left w:val="nil"/>
              <w:bottom w:val="single"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Over 64</w:t>
            </w:r>
          </w:p>
        </w:tc>
        <w:tc>
          <w:tcPr>
            <w:tcW w:w="1134" w:type="dxa"/>
            <w:tcBorders>
              <w:top w:val="dotted" w:color="542E8E" w:sz="4" w:space="0"/>
              <w:left w:val="nil"/>
              <w:bottom w:val="single"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2</w:t>
            </w:r>
          </w:p>
        </w:tc>
        <w:tc>
          <w:tcPr>
            <w:tcW w:w="709" w:type="dxa"/>
            <w:tcBorders>
              <w:top w:val="dotted" w:color="542E8E" w:sz="4" w:space="0"/>
              <w:left w:val="nil"/>
              <w:bottom w:val="single"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1</w:t>
            </w:r>
          </w:p>
        </w:tc>
        <w:tc>
          <w:tcPr>
            <w:tcW w:w="1275" w:type="dxa"/>
            <w:tcBorders>
              <w:top w:val="dotted" w:color="542E8E" w:sz="4" w:space="0"/>
              <w:left w:val="single" w:color="542E8E" w:sz="4" w:space="0"/>
              <w:bottom w:val="single"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c>
          <w:tcPr>
            <w:tcW w:w="1276" w:type="dxa"/>
            <w:tcBorders>
              <w:top w:val="dotted" w:color="542E8E" w:sz="4" w:space="0"/>
              <w:left w:val="nil"/>
              <w:bottom w:val="single"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2</w:t>
            </w:r>
          </w:p>
        </w:tc>
        <w:tc>
          <w:tcPr>
            <w:tcW w:w="709" w:type="dxa"/>
            <w:tcBorders>
              <w:top w:val="dotted" w:color="542E8E" w:sz="4" w:space="0"/>
              <w:left w:val="nil"/>
              <w:bottom w:val="single"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1</w:t>
            </w:r>
          </w:p>
        </w:tc>
        <w:tc>
          <w:tcPr>
            <w:tcW w:w="1276" w:type="dxa"/>
            <w:tcBorders>
              <w:top w:val="dotted" w:color="542E8E" w:sz="4" w:space="0"/>
              <w:left w:val="single" w:color="542E8E" w:sz="4" w:space="0"/>
              <w:bottom w:val="single"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c>
          <w:tcPr>
            <w:tcW w:w="708" w:type="dxa"/>
            <w:tcBorders>
              <w:top w:val="dotted" w:color="542E8E" w:sz="4" w:space="0"/>
              <w:left w:val="nil"/>
              <w:bottom w:val="single"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10149" w:type="dxa"/>
            <w:gridSpan w:val="8"/>
            <w:tcBorders>
              <w:top w:val="single" w:color="542E8E" w:sz="4" w:space="0"/>
              <w:left w:val="nil"/>
              <w:bottom w:val="single"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rPr>
                <w:rStyle w:val="Purple"/>
              </w:rPr>
              <w:t>Classification</w:t>
            </w:r>
          </w:p>
        </w:tc>
      </w:tr>
      <w:tr w:rsidRPr="00D92A2B" w:rsidR="000D6E6A" w:rsidTr="00D92A2B">
        <w:tblPrEx>
          <w:tblCellMar>
            <w:top w:w="0" w:type="dxa"/>
            <w:left w:w="0" w:type="dxa"/>
            <w:bottom w:w="0" w:type="dxa"/>
            <w:right w:w="0" w:type="dxa"/>
          </w:tblCellMar>
        </w:tblPrEx>
        <w:trPr>
          <w:trHeight w:val="60"/>
        </w:trPr>
        <w:tc>
          <w:tcPr>
            <w:tcW w:w="3062" w:type="dxa"/>
            <w:tcBorders>
              <w:top w:val="single"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rPr>
                <w:rStyle w:val="bold"/>
              </w:rPr>
              <w:t>VPS 1-6</w:t>
            </w:r>
          </w:p>
        </w:tc>
        <w:tc>
          <w:tcPr>
            <w:tcW w:w="1134" w:type="dxa"/>
            <w:tcBorders>
              <w:top w:val="single"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106</w:t>
            </w:r>
          </w:p>
        </w:tc>
        <w:tc>
          <w:tcPr>
            <w:tcW w:w="709" w:type="dxa"/>
            <w:tcBorders>
              <w:top w:val="single"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99</w:t>
            </w:r>
          </w:p>
        </w:tc>
        <w:tc>
          <w:tcPr>
            <w:tcW w:w="1275" w:type="dxa"/>
            <w:tcBorders>
              <w:top w:val="single"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69</w:t>
            </w:r>
          </w:p>
        </w:tc>
        <w:tc>
          <w:tcPr>
            <w:tcW w:w="1276" w:type="dxa"/>
            <w:tcBorders>
              <w:top w:val="single"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23</w:t>
            </w:r>
          </w:p>
        </w:tc>
        <w:tc>
          <w:tcPr>
            <w:tcW w:w="709" w:type="dxa"/>
            <w:tcBorders>
              <w:top w:val="single"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85</w:t>
            </w:r>
          </w:p>
        </w:tc>
        <w:tc>
          <w:tcPr>
            <w:tcW w:w="1276" w:type="dxa"/>
            <w:tcBorders>
              <w:top w:val="single"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14</w:t>
            </w:r>
          </w:p>
        </w:tc>
        <w:tc>
          <w:tcPr>
            <w:tcW w:w="708" w:type="dxa"/>
            <w:tcBorders>
              <w:top w:val="single"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14</w:t>
            </w:r>
          </w:p>
        </w:tc>
      </w:tr>
      <w:tr w:rsidRPr="00D92A2B" w:rsidR="000D6E6A" w:rsidTr="00D92A2B">
        <w:tblPrEx>
          <w:tblCellMar>
            <w:top w:w="0" w:type="dxa"/>
            <w:left w:w="0" w:type="dxa"/>
            <w:bottom w:w="0" w:type="dxa"/>
            <w:right w:w="0" w:type="dxa"/>
          </w:tblCellMar>
        </w:tblPrEx>
        <w:trPr>
          <w:trHeight w:val="60"/>
        </w:trPr>
        <w:tc>
          <w:tcPr>
            <w:tcW w:w="306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VPS 1</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0</w:t>
            </w:r>
          </w:p>
        </w:tc>
        <w:tc>
          <w:tcPr>
            <w:tcW w:w="1275"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0</w:t>
            </w:r>
          </w:p>
        </w:tc>
        <w:tc>
          <w:tcPr>
            <w:tcW w:w="1276"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06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VPS 2</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22</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21</w:t>
            </w:r>
          </w:p>
        </w:tc>
        <w:tc>
          <w:tcPr>
            <w:tcW w:w="1275"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14</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6</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19</w:t>
            </w:r>
          </w:p>
        </w:tc>
        <w:tc>
          <w:tcPr>
            <w:tcW w:w="1276"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2</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2</w:t>
            </w:r>
          </w:p>
        </w:tc>
      </w:tr>
      <w:tr w:rsidRPr="00D92A2B" w:rsidR="000D6E6A" w:rsidTr="00D92A2B">
        <w:tblPrEx>
          <w:tblCellMar>
            <w:top w:w="0" w:type="dxa"/>
            <w:left w:w="0" w:type="dxa"/>
            <w:bottom w:w="0" w:type="dxa"/>
            <w:right w:w="0" w:type="dxa"/>
          </w:tblCellMar>
        </w:tblPrEx>
        <w:trPr>
          <w:trHeight w:val="60"/>
        </w:trPr>
        <w:tc>
          <w:tcPr>
            <w:tcW w:w="306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VPS 3</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44</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41</w:t>
            </w:r>
          </w:p>
        </w:tc>
        <w:tc>
          <w:tcPr>
            <w:tcW w:w="1275"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27</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8</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32</w:t>
            </w:r>
          </w:p>
        </w:tc>
        <w:tc>
          <w:tcPr>
            <w:tcW w:w="1276"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9</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9</w:t>
            </w:r>
          </w:p>
        </w:tc>
      </w:tr>
      <w:tr w:rsidRPr="00D92A2B" w:rsidR="000D6E6A" w:rsidTr="00D92A2B">
        <w:tblPrEx>
          <w:tblCellMar>
            <w:top w:w="0" w:type="dxa"/>
            <w:left w:w="0" w:type="dxa"/>
            <w:bottom w:w="0" w:type="dxa"/>
            <w:right w:w="0" w:type="dxa"/>
          </w:tblCellMar>
        </w:tblPrEx>
        <w:trPr>
          <w:trHeight w:val="60"/>
        </w:trPr>
        <w:tc>
          <w:tcPr>
            <w:tcW w:w="306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VPS 4</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28</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26</w:t>
            </w:r>
          </w:p>
        </w:tc>
        <w:tc>
          <w:tcPr>
            <w:tcW w:w="1275"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19</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6</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23</w:t>
            </w:r>
          </w:p>
        </w:tc>
        <w:tc>
          <w:tcPr>
            <w:tcW w:w="1276"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3</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3</w:t>
            </w:r>
          </w:p>
        </w:tc>
      </w:tr>
      <w:tr w:rsidRPr="00D92A2B" w:rsidR="000D6E6A" w:rsidTr="00D92A2B">
        <w:tblPrEx>
          <w:tblCellMar>
            <w:top w:w="0" w:type="dxa"/>
            <w:left w:w="0" w:type="dxa"/>
            <w:bottom w:w="0" w:type="dxa"/>
            <w:right w:w="0" w:type="dxa"/>
          </w:tblCellMar>
        </w:tblPrEx>
        <w:trPr>
          <w:trHeight w:val="60"/>
        </w:trPr>
        <w:tc>
          <w:tcPr>
            <w:tcW w:w="306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VPS 5</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6</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5</w:t>
            </w:r>
          </w:p>
        </w:tc>
        <w:tc>
          <w:tcPr>
            <w:tcW w:w="1275"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4</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2</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5</w:t>
            </w:r>
          </w:p>
        </w:tc>
        <w:tc>
          <w:tcPr>
            <w:tcW w:w="1276"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06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VPS 6</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6</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6</w:t>
            </w:r>
          </w:p>
        </w:tc>
        <w:tc>
          <w:tcPr>
            <w:tcW w:w="1275"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5</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6</w:t>
            </w:r>
          </w:p>
        </w:tc>
        <w:tc>
          <w:tcPr>
            <w:tcW w:w="1276"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06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rPr>
                <w:rStyle w:val="bold"/>
              </w:rPr>
              <w:t>Senior Employees</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7</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7</w:t>
            </w:r>
          </w:p>
        </w:tc>
        <w:tc>
          <w:tcPr>
            <w:tcW w:w="1275"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7</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0</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7</w:t>
            </w:r>
          </w:p>
        </w:tc>
        <w:tc>
          <w:tcPr>
            <w:tcW w:w="1276"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0</w:t>
            </w:r>
          </w:p>
        </w:tc>
      </w:tr>
      <w:tr w:rsidRPr="00D92A2B" w:rsidR="000D6E6A" w:rsidTr="00D92A2B">
        <w:tblPrEx>
          <w:tblCellMar>
            <w:top w:w="0" w:type="dxa"/>
            <w:left w:w="0" w:type="dxa"/>
            <w:bottom w:w="0" w:type="dxa"/>
            <w:right w:w="0" w:type="dxa"/>
          </w:tblCellMar>
        </w:tblPrEx>
        <w:trPr>
          <w:trHeight w:val="60"/>
        </w:trPr>
        <w:tc>
          <w:tcPr>
            <w:tcW w:w="306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STS</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1</w:t>
            </w:r>
          </w:p>
        </w:tc>
        <w:tc>
          <w:tcPr>
            <w:tcW w:w="1275"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1</w:t>
            </w:r>
          </w:p>
        </w:tc>
        <w:tc>
          <w:tcPr>
            <w:tcW w:w="1276"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06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Executives</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6</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6</w:t>
            </w:r>
          </w:p>
        </w:tc>
        <w:tc>
          <w:tcPr>
            <w:tcW w:w="1275"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6</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6</w:t>
            </w:r>
          </w:p>
        </w:tc>
        <w:tc>
          <w:tcPr>
            <w:tcW w:w="1276"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06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rPr>
                <w:rStyle w:val="bold"/>
              </w:rPr>
              <w:t xml:space="preserve">Legal Officers </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85</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73</w:t>
            </w:r>
          </w:p>
        </w:tc>
        <w:tc>
          <w:tcPr>
            <w:tcW w:w="1275"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51</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34</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73</w:t>
            </w:r>
          </w:p>
        </w:tc>
        <w:tc>
          <w:tcPr>
            <w:tcW w:w="1276"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rPr>
                <w:rStyle w:val="bold"/>
              </w:rPr>
              <w:t>0</w:t>
            </w:r>
          </w:p>
        </w:tc>
      </w:tr>
      <w:tr w:rsidRPr="00D92A2B" w:rsidR="000D6E6A" w:rsidTr="00D92A2B">
        <w:tblPrEx>
          <w:tblCellMar>
            <w:top w:w="0" w:type="dxa"/>
            <w:left w:w="0" w:type="dxa"/>
            <w:bottom w:w="0" w:type="dxa"/>
            <w:right w:w="0" w:type="dxa"/>
          </w:tblCellMar>
        </w:tblPrEx>
        <w:trPr>
          <w:trHeight w:val="60"/>
        </w:trPr>
        <w:tc>
          <w:tcPr>
            <w:tcW w:w="306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Solicitor 2</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5</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5</w:t>
            </w:r>
          </w:p>
        </w:tc>
        <w:tc>
          <w:tcPr>
            <w:tcW w:w="1275"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5</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5</w:t>
            </w:r>
          </w:p>
        </w:tc>
        <w:tc>
          <w:tcPr>
            <w:tcW w:w="1276"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06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Solicitor 3</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7</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7</w:t>
            </w:r>
          </w:p>
        </w:tc>
        <w:tc>
          <w:tcPr>
            <w:tcW w:w="1275"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6</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7</w:t>
            </w:r>
          </w:p>
        </w:tc>
        <w:tc>
          <w:tcPr>
            <w:tcW w:w="1276"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062"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Senior Solicitor</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24</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21</w:t>
            </w:r>
          </w:p>
        </w:tc>
        <w:tc>
          <w:tcPr>
            <w:tcW w:w="1275"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17</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7</w:t>
            </w:r>
          </w:p>
        </w:tc>
        <w:tc>
          <w:tcPr>
            <w:tcW w:w="709"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21</w:t>
            </w:r>
          </w:p>
        </w:tc>
        <w:tc>
          <w:tcPr>
            <w:tcW w:w="1276"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c>
          <w:tcPr>
            <w:tcW w:w="708" w:type="dxa"/>
            <w:tcBorders>
              <w:top w:val="dotted" w:color="542E8E" w:sz="4" w:space="0"/>
              <w:left w:val="nil"/>
              <w:bottom w:val="dotted"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r>
      <w:tr w:rsidRPr="00D92A2B" w:rsidR="000D6E6A" w:rsidTr="00D92A2B">
        <w:tblPrEx>
          <w:tblCellMar>
            <w:top w:w="0" w:type="dxa"/>
            <w:left w:w="0" w:type="dxa"/>
            <w:bottom w:w="0" w:type="dxa"/>
            <w:right w:w="0" w:type="dxa"/>
          </w:tblCellMar>
        </w:tblPrEx>
        <w:trPr>
          <w:trHeight w:val="60"/>
        </w:trPr>
        <w:tc>
          <w:tcPr>
            <w:tcW w:w="3062" w:type="dxa"/>
            <w:tcBorders>
              <w:top w:val="dotted" w:color="542E8E" w:sz="4" w:space="0"/>
              <w:left w:val="nil"/>
              <w:bottom w:val="single" w:color="542E8E" w:sz="4" w:space="0"/>
              <w:right w:val="nil"/>
            </w:tcBorders>
            <w:tcMar>
              <w:top w:w="57" w:type="dxa"/>
              <w:left w:w="57" w:type="dxa"/>
              <w:bottom w:w="57" w:type="dxa"/>
              <w:right w:w="57" w:type="dxa"/>
            </w:tcMar>
          </w:tcPr>
          <w:p w:rsidRPr="00D92A2B" w:rsidR="000D6E6A" w:rsidP="00D92A2B" w:rsidRDefault="000D6E6A">
            <w:pPr>
              <w:pStyle w:val="bodycopytabletable"/>
            </w:pPr>
            <w:r w:rsidRPr="00D92A2B">
              <w:t>Principal Solicitor</w:t>
            </w:r>
          </w:p>
        </w:tc>
        <w:tc>
          <w:tcPr>
            <w:tcW w:w="1134" w:type="dxa"/>
            <w:tcBorders>
              <w:top w:val="dotted" w:color="542E8E" w:sz="4" w:space="0"/>
              <w:left w:val="nil"/>
              <w:bottom w:val="single"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49</w:t>
            </w:r>
          </w:p>
        </w:tc>
        <w:tc>
          <w:tcPr>
            <w:tcW w:w="709" w:type="dxa"/>
            <w:tcBorders>
              <w:top w:val="dotted" w:color="542E8E" w:sz="4" w:space="0"/>
              <w:left w:val="nil"/>
              <w:bottom w:val="single"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40</w:t>
            </w:r>
          </w:p>
        </w:tc>
        <w:tc>
          <w:tcPr>
            <w:tcW w:w="1275" w:type="dxa"/>
            <w:tcBorders>
              <w:top w:val="dotted" w:color="542E8E" w:sz="4" w:space="0"/>
              <w:left w:val="single" w:color="542E8E" w:sz="4" w:space="0"/>
              <w:bottom w:val="single"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23</w:t>
            </w:r>
          </w:p>
        </w:tc>
        <w:tc>
          <w:tcPr>
            <w:tcW w:w="1276" w:type="dxa"/>
            <w:tcBorders>
              <w:top w:val="dotted" w:color="542E8E" w:sz="4" w:space="0"/>
              <w:left w:val="nil"/>
              <w:bottom w:val="single"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26</w:t>
            </w:r>
          </w:p>
        </w:tc>
        <w:tc>
          <w:tcPr>
            <w:tcW w:w="709" w:type="dxa"/>
            <w:tcBorders>
              <w:top w:val="dotted" w:color="542E8E" w:sz="4" w:space="0"/>
              <w:left w:val="nil"/>
              <w:bottom w:val="single" w:color="542E8E" w:sz="4" w:space="0"/>
              <w:right w:val="single" w:color="542E8E" w:sz="4" w:space="0"/>
            </w:tcBorders>
            <w:tcMar>
              <w:top w:w="57" w:type="dxa"/>
              <w:left w:w="57" w:type="dxa"/>
              <w:bottom w:w="57" w:type="dxa"/>
              <w:right w:w="57" w:type="dxa"/>
            </w:tcMar>
          </w:tcPr>
          <w:p w:rsidRPr="00D92A2B" w:rsidR="000D6E6A" w:rsidP="00D92A2B" w:rsidRDefault="000D6E6A">
            <w:pPr>
              <w:pStyle w:val="bodycopytabletable"/>
              <w:jc w:val="right"/>
            </w:pPr>
            <w:r w:rsidRPr="00D92A2B">
              <w:t>40</w:t>
            </w:r>
          </w:p>
        </w:tc>
        <w:tc>
          <w:tcPr>
            <w:tcW w:w="1276" w:type="dxa"/>
            <w:tcBorders>
              <w:top w:val="dotted" w:color="542E8E" w:sz="4" w:space="0"/>
              <w:left w:val="single" w:color="542E8E" w:sz="4" w:space="0"/>
              <w:bottom w:val="single"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c>
          <w:tcPr>
            <w:tcW w:w="708" w:type="dxa"/>
            <w:tcBorders>
              <w:top w:val="dotted" w:color="542E8E" w:sz="4" w:space="0"/>
              <w:left w:val="nil"/>
              <w:bottom w:val="single" w:color="542E8E" w:sz="4" w:space="0"/>
              <w:right w:val="nil"/>
            </w:tcBorders>
            <w:tcMar>
              <w:top w:w="57" w:type="dxa"/>
              <w:left w:w="57" w:type="dxa"/>
              <w:bottom w:w="57" w:type="dxa"/>
              <w:right w:w="57" w:type="dxa"/>
            </w:tcMar>
          </w:tcPr>
          <w:p w:rsidRPr="00D92A2B" w:rsidR="000D6E6A" w:rsidP="00D92A2B" w:rsidRDefault="000D6E6A">
            <w:pPr>
              <w:pStyle w:val="bodycopytabletable"/>
              <w:jc w:val="right"/>
            </w:pPr>
            <w:r w:rsidRPr="00D92A2B">
              <w:t>0</w:t>
            </w:r>
          </w:p>
        </w:tc>
      </w:tr>
    </w:tbl>
    <w:p w:rsidR="000D6E6A" w:rsidP="00096403" w:rsidRDefault="000D6E6A">
      <w:pPr>
        <w:pStyle w:val="notestable"/>
        <w:spacing w:before="60"/>
      </w:pPr>
      <w:r>
        <w:t>Notes:</w:t>
      </w:r>
    </w:p>
    <w:p w:rsidR="000D6E6A" w:rsidP="00096403" w:rsidRDefault="000D6E6A">
      <w:pPr>
        <w:pStyle w:val="notestable"/>
        <w:tabs>
          <w:tab w:val="clear" w:pos="283"/>
        </w:tabs>
        <w:ind w:left="284" w:hanging="284"/>
        <w:rPr>
          <w:rStyle w:val="italic"/>
        </w:rPr>
      </w:pPr>
      <w:r>
        <w:t>a</w:t>
      </w:r>
      <w:r>
        <w:tab/>
        <w:t>‘Ongoing employee’ means an employee engaged on an open-ended contract of employment and executives engaged on a standard executive contract who were active in the last pay period of June.</w:t>
      </w:r>
    </w:p>
    <w:p w:rsidR="000D6E6A" w:rsidRDefault="000D6E6A">
      <w:pPr>
        <w:pStyle w:val="Bodycopyspan"/>
      </w:pPr>
    </w:p>
    <w:p w:rsidR="000D6E6A" w:rsidRDefault="000D6E6A">
      <w:pPr>
        <w:pStyle w:val="H2"/>
      </w:pPr>
      <w:r>
        <w:t xml:space="preserve">Reconciliation of executive numbers at 30 June 2018 </w:t>
      </w:r>
    </w:p>
    <w:p w:rsidR="000D6E6A" w:rsidRDefault="000D6E6A">
      <w:pPr>
        <w:pStyle w:val="H3"/>
      </w:pPr>
      <w:r>
        <w:t xml:space="preserve">Executive </w:t>
      </w:r>
      <w:proofErr w:type="gramStart"/>
      <w:r>
        <w:t>officers</w:t>
      </w:r>
      <w:proofErr w:type="gramEnd"/>
      <w:r>
        <w:t xml:space="preserve"> definition</w:t>
      </w:r>
    </w:p>
    <w:p w:rsidR="000D6E6A" w:rsidRDefault="000D6E6A">
      <w:pPr>
        <w:pStyle w:val="Bodycopy"/>
      </w:pPr>
      <w:r>
        <w:t xml:space="preserve">For a department, an executive officer (EO) is defined as a person employed as an executive under Part 3 of the </w:t>
      </w:r>
      <w:r>
        <w:rPr>
          <w:rStyle w:val="italic"/>
        </w:rPr>
        <w:t>Public Administration Act 2004</w:t>
      </w:r>
      <w:r>
        <w:t>. For a public body, an EO is defined as an executive under Part 3 of the Public Administration Act or a person to whom the Victorian Government’s policy on Executive Remuneration in public entities applies. All figures reflect employment levels at the last full pay period in June of the current and corresponding previous reporting year.</w:t>
      </w:r>
    </w:p>
    <w:p w:rsidR="000D6E6A" w:rsidRDefault="000D6E6A">
      <w:pPr>
        <w:pStyle w:val="Bodycopy"/>
      </w:pPr>
      <w:r>
        <w:t>The definition of an EO does not include a statutory office holder or an accountable officer.</w:t>
      </w:r>
    </w:p>
    <w:p w:rsidR="000D6E6A" w:rsidRDefault="000D6E6A">
      <w:pPr>
        <w:pStyle w:val="Bodycopy"/>
      </w:pPr>
      <w:r>
        <w:t>The following tables show the EOs of the department and its portfolio agencies as at 30 June 2018:</w:t>
      </w:r>
    </w:p>
    <w:p w:rsidR="000D6E6A" w:rsidRDefault="000D6E6A">
      <w:pPr>
        <w:pStyle w:val="BodycopyBulletspaceunder"/>
      </w:pPr>
      <w:r>
        <w:t>The first table shows the total number of EOs for the department by gender.</w:t>
      </w:r>
    </w:p>
    <w:p w:rsidR="000D6E6A" w:rsidRDefault="000D6E6A">
      <w:pPr>
        <w:pStyle w:val="BodycopyBulletspaceunder"/>
      </w:pPr>
      <w:r>
        <w:t>The second table shows the total number of EOs for the Victorian Government Solicitor’s Office by gender.</w:t>
      </w:r>
    </w:p>
    <w:p w:rsidR="000D6E6A" w:rsidRDefault="000D6E6A">
      <w:pPr>
        <w:pStyle w:val="BodycopyBulletspaceunder"/>
      </w:pPr>
      <w:r>
        <w:t>The third table (over the page) provides a reconciliation of executive numbers presented between the Report of Operations and Note 9.8 ‘Remuneration of executives’ in the Financial Statement.</w:t>
      </w:r>
    </w:p>
    <w:p w:rsidR="000D6E6A" w:rsidRDefault="000D6E6A">
      <w:pPr>
        <w:pStyle w:val="BodycopyBulletspaceunder"/>
      </w:pPr>
      <w:r>
        <w:t>The fourth table (over the page) provides the total executive numbers for all of the department’s portfolio agencies.</w:t>
      </w:r>
    </w:p>
    <w:p w:rsidR="000D6E6A" w:rsidRDefault="000D6E6A">
      <w:pPr>
        <w:pStyle w:val="BodycopyBulletspaceunder"/>
        <w:spacing w:after="227"/>
      </w:pPr>
      <w:r>
        <w:t>Variations between the current and previous reporting periods are denoted by ‘</w:t>
      </w:r>
      <w:proofErr w:type="spellStart"/>
      <w:r>
        <w:t>var</w:t>
      </w:r>
      <w:proofErr w:type="spellEnd"/>
      <w:r>
        <w:t xml:space="preserve">’.  </w:t>
      </w:r>
    </w:p>
    <w:p w:rsidR="00096403" w:rsidRDefault="00096403">
      <w:pPr>
        <w:rPr>
          <w:rStyle w:val="RegularItalic"/>
          <w:rFonts w:ascii="Arial" w:hAnsi="Arial" w:cs="Arial"/>
          <w:sz w:val="18"/>
          <w:szCs w:val="18"/>
          <w:lang w:val="en-GB"/>
        </w:rPr>
      </w:pPr>
      <w:r>
        <w:rPr>
          <w:rStyle w:val="RegularItalic"/>
        </w:rPr>
        <w:br w:type="page"/>
      </w:r>
    </w:p>
    <w:p w:rsidR="000D6E6A" w:rsidRDefault="000D6E6A">
      <w:pPr>
        <w:pStyle w:val="Bodycopy"/>
        <w:rPr>
          <w:rStyle w:val="RegularItalic"/>
        </w:rPr>
      </w:pPr>
      <w:r>
        <w:rPr>
          <w:rStyle w:val="RegularItalic"/>
        </w:rPr>
        <w:lastRenderedPageBreak/>
        <w:t>Total number of EOs for the department broken down by gender</w:t>
      </w:r>
    </w:p>
    <w:tbl>
      <w:tblPr>
        <w:tblW w:w="0" w:type="auto"/>
        <w:tblInd w:w="57" w:type="dxa"/>
        <w:tblLayout w:type="fixed"/>
        <w:tblCellMar>
          <w:left w:w="0" w:type="dxa"/>
          <w:right w:w="0" w:type="dxa"/>
        </w:tblCellMar>
        <w:tblLook w:firstRow="0" w:lastRow="0" w:firstColumn="0" w:lastColumn="0" w:noHBand="0" w:noVBand="0" w:val="0000"/>
      </w:tblPr>
      <w:tblGrid>
        <w:gridCol w:w="1417"/>
        <w:gridCol w:w="957"/>
        <w:gridCol w:w="957"/>
        <w:gridCol w:w="956"/>
        <w:gridCol w:w="957"/>
        <w:gridCol w:w="957"/>
        <w:gridCol w:w="956"/>
        <w:gridCol w:w="957"/>
        <w:gridCol w:w="957"/>
      </w:tblGrid>
      <w:tr w:rsidRPr="00096403" w:rsidR="000D6E6A" w:rsidTr="00096403">
        <w:tblPrEx>
          <w:tblCellMar>
            <w:top w:w="0" w:type="dxa"/>
            <w:left w:w="0" w:type="dxa"/>
            <w:bottom w:w="0" w:type="dxa"/>
            <w:right w:w="0" w:type="dxa"/>
          </w:tblCellMar>
        </w:tblPrEx>
        <w:trPr>
          <w:trHeight w:val="113"/>
          <w:tblHeader/>
        </w:trPr>
        <w:tc>
          <w:tcPr>
            <w:tcW w:w="1417"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c>
          <w:tcPr>
            <w:tcW w:w="1914" w:type="dxa"/>
            <w:gridSpan w:val="2"/>
            <w:tcBorders>
              <w:top w:val="dotted" w:color="000000" w:sz="6" w:space="0"/>
              <w:left w:val="nil"/>
              <w:bottom w:val="single" w:color="542E8E" w:sz="6" w:space="0"/>
              <w:right w:val="single" w:color="542E8E" w:sz="4" w:space="0"/>
            </w:tcBorders>
            <w:shd w:val="solid" w:color="FFFFFF" w:fill="auto"/>
            <w:tcMar>
              <w:top w:w="57" w:type="dxa"/>
              <w:left w:w="57" w:type="dxa"/>
              <w:bottom w:w="57" w:type="dxa"/>
              <w:right w:w="57" w:type="dxa"/>
            </w:tcMar>
          </w:tcPr>
          <w:p w:rsidRPr="00096403" w:rsidR="000D6E6A" w:rsidRDefault="000D6E6A">
            <w:pPr>
              <w:pStyle w:val="bodycopytabletable"/>
              <w:jc w:val="center"/>
            </w:pPr>
            <w:r w:rsidRPr="00096403">
              <w:rPr>
                <w:rStyle w:val="mediumpurple"/>
                <w:b/>
                <w:bCs/>
              </w:rPr>
              <w:t>All</w:t>
            </w:r>
          </w:p>
        </w:tc>
        <w:tc>
          <w:tcPr>
            <w:tcW w:w="1913" w:type="dxa"/>
            <w:gridSpan w:val="2"/>
            <w:tcBorders>
              <w:top w:val="dotted" w:color="000000" w:sz="6" w:space="0"/>
              <w:left w:val="single" w:color="542E8E" w:sz="4" w:space="0"/>
              <w:bottom w:val="single" w:color="542E8E" w:sz="6" w:space="0"/>
              <w:right w:val="single" w:color="542E8E" w:sz="4" w:space="0"/>
            </w:tcBorders>
            <w:shd w:val="solid" w:color="FFFFFF" w:fill="auto"/>
            <w:tcMar>
              <w:top w:w="57" w:type="dxa"/>
              <w:left w:w="57" w:type="dxa"/>
              <w:bottom w:w="57" w:type="dxa"/>
              <w:right w:w="57" w:type="dxa"/>
            </w:tcMar>
          </w:tcPr>
          <w:p w:rsidRPr="00096403" w:rsidR="000D6E6A" w:rsidRDefault="000D6E6A">
            <w:pPr>
              <w:pStyle w:val="bodycopytabletable"/>
              <w:jc w:val="center"/>
            </w:pPr>
            <w:r w:rsidRPr="00096403">
              <w:rPr>
                <w:rStyle w:val="mediumpurple"/>
                <w:b/>
                <w:bCs/>
              </w:rPr>
              <w:t>Man</w:t>
            </w:r>
          </w:p>
        </w:tc>
        <w:tc>
          <w:tcPr>
            <w:tcW w:w="1913" w:type="dxa"/>
            <w:gridSpan w:val="2"/>
            <w:tcBorders>
              <w:top w:val="dotted" w:color="000000" w:sz="6" w:space="0"/>
              <w:left w:val="single" w:color="542E8E" w:sz="4" w:space="0"/>
              <w:bottom w:val="single" w:color="542E8E" w:sz="6" w:space="0"/>
              <w:right w:val="single" w:color="542E8E" w:sz="4" w:space="0"/>
            </w:tcBorders>
            <w:shd w:val="solid" w:color="FFFFFF" w:fill="auto"/>
            <w:tcMar>
              <w:top w:w="57" w:type="dxa"/>
              <w:left w:w="57" w:type="dxa"/>
              <w:bottom w:w="57" w:type="dxa"/>
              <w:right w:w="57" w:type="dxa"/>
            </w:tcMar>
          </w:tcPr>
          <w:p w:rsidRPr="00096403" w:rsidR="000D6E6A" w:rsidRDefault="000D6E6A">
            <w:pPr>
              <w:pStyle w:val="bodycopytabletable"/>
              <w:jc w:val="center"/>
            </w:pPr>
            <w:r w:rsidRPr="00096403">
              <w:rPr>
                <w:rStyle w:val="mediumpurple"/>
                <w:b/>
                <w:bCs/>
              </w:rPr>
              <w:t>Woman</w:t>
            </w:r>
          </w:p>
        </w:tc>
        <w:tc>
          <w:tcPr>
            <w:tcW w:w="1914" w:type="dxa"/>
            <w:gridSpan w:val="2"/>
            <w:tcBorders>
              <w:top w:val="dotted" w:color="000000" w:sz="6" w:space="0"/>
              <w:left w:val="single" w:color="542E8E" w:sz="4" w:space="0"/>
              <w:bottom w:val="single" w:color="542E8E" w:sz="6" w:space="0"/>
              <w:right w:val="single" w:color="542E8E" w:sz="4" w:space="0"/>
            </w:tcBorders>
            <w:shd w:val="solid" w:color="FFFFFF" w:fill="auto"/>
            <w:tcMar>
              <w:top w:w="57" w:type="dxa"/>
              <w:left w:w="57" w:type="dxa"/>
              <w:bottom w:w="57" w:type="dxa"/>
              <w:right w:w="57" w:type="dxa"/>
            </w:tcMar>
          </w:tcPr>
          <w:p w:rsidRPr="00096403" w:rsidR="000D6E6A" w:rsidRDefault="000D6E6A">
            <w:pPr>
              <w:pStyle w:val="bodycopytabletable"/>
              <w:jc w:val="center"/>
            </w:pPr>
            <w:r w:rsidRPr="00096403">
              <w:rPr>
                <w:rStyle w:val="mediumpurple"/>
                <w:b/>
                <w:bCs/>
              </w:rPr>
              <w:t>Self-described</w:t>
            </w:r>
            <w:r w:rsidRPr="00096403">
              <w:rPr>
                <w:rStyle w:val="Superscript"/>
                <w:color w:val="542E8E"/>
              </w:rPr>
              <w:t>1</w:t>
            </w:r>
          </w:p>
        </w:tc>
      </w:tr>
      <w:tr w:rsidRPr="00096403" w:rsidR="000D6E6A" w:rsidTr="00096403">
        <w:tblPrEx>
          <w:tblCellMar>
            <w:top w:w="0" w:type="dxa"/>
            <w:left w:w="0" w:type="dxa"/>
            <w:bottom w:w="0" w:type="dxa"/>
            <w:right w:w="0" w:type="dxa"/>
          </w:tblCellMar>
        </w:tblPrEx>
        <w:trPr>
          <w:trHeight w:val="113"/>
        </w:trPr>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Classification</w:t>
            </w:r>
          </w:p>
        </w:tc>
        <w:tc>
          <w:tcPr>
            <w:tcW w:w="957"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No.</w:t>
            </w:r>
          </w:p>
        </w:tc>
        <w:tc>
          <w:tcPr>
            <w:tcW w:w="957"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Var.</w:t>
            </w:r>
          </w:p>
        </w:tc>
        <w:tc>
          <w:tcPr>
            <w:tcW w:w="956"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No.</w:t>
            </w:r>
          </w:p>
        </w:tc>
        <w:tc>
          <w:tcPr>
            <w:tcW w:w="957"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Var.</w:t>
            </w:r>
          </w:p>
        </w:tc>
        <w:tc>
          <w:tcPr>
            <w:tcW w:w="957"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No.</w:t>
            </w:r>
          </w:p>
        </w:tc>
        <w:tc>
          <w:tcPr>
            <w:tcW w:w="956"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Var.</w:t>
            </w:r>
          </w:p>
        </w:tc>
        <w:tc>
          <w:tcPr>
            <w:tcW w:w="957"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No.</w:t>
            </w:r>
          </w:p>
        </w:tc>
        <w:tc>
          <w:tcPr>
            <w:tcW w:w="957"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Var.</w:t>
            </w:r>
          </w:p>
        </w:tc>
      </w:tr>
      <w:tr w:rsidRPr="00096403" w:rsidR="000D6E6A" w:rsidTr="00096403">
        <w:tblPrEx>
          <w:tblCellMar>
            <w:top w:w="0" w:type="dxa"/>
            <w:left w:w="0" w:type="dxa"/>
            <w:bottom w:w="0" w:type="dxa"/>
            <w:right w:w="0" w:type="dxa"/>
          </w:tblCellMar>
        </w:tblPrEx>
        <w:trPr>
          <w:trHeight w:val="113"/>
        </w:trPr>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Secretary</w:t>
            </w:r>
          </w:p>
        </w:tc>
        <w:tc>
          <w:tcPr>
            <w:tcW w:w="957"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1</w:t>
            </w:r>
          </w:p>
        </w:tc>
        <w:tc>
          <w:tcPr>
            <w:tcW w:w="957"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0</w:t>
            </w:r>
          </w:p>
        </w:tc>
        <w:tc>
          <w:tcPr>
            <w:tcW w:w="956"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1</w:t>
            </w:r>
          </w:p>
        </w:tc>
        <w:tc>
          <w:tcPr>
            <w:tcW w:w="957"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0</w:t>
            </w:r>
          </w:p>
        </w:tc>
        <w:tc>
          <w:tcPr>
            <w:tcW w:w="957"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c>
          <w:tcPr>
            <w:tcW w:w="956"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0</w:t>
            </w:r>
          </w:p>
        </w:tc>
        <w:tc>
          <w:tcPr>
            <w:tcW w:w="957"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c>
          <w:tcPr>
            <w:tcW w:w="957"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r>
      <w:tr w:rsidRPr="00096403" w:rsidR="000D6E6A" w:rsidTr="00096403">
        <w:tblPrEx>
          <w:tblCellMar>
            <w:top w:w="0" w:type="dxa"/>
            <w:left w:w="0" w:type="dxa"/>
            <w:bottom w:w="0" w:type="dxa"/>
            <w:right w:w="0" w:type="dxa"/>
          </w:tblCellMar>
        </w:tblPrEx>
        <w:trPr>
          <w:trHeight w:val="113"/>
        </w:trPr>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EO1</w:t>
            </w:r>
          </w:p>
        </w:tc>
        <w:tc>
          <w:tcPr>
            <w:tcW w:w="957"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3</w:t>
            </w:r>
          </w:p>
        </w:tc>
        <w:tc>
          <w:tcPr>
            <w:tcW w:w="957"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2</w:t>
            </w:r>
          </w:p>
        </w:tc>
        <w:tc>
          <w:tcPr>
            <w:tcW w:w="956"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1</w:t>
            </w:r>
          </w:p>
        </w:tc>
        <w:tc>
          <w:tcPr>
            <w:tcW w:w="957"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0</w:t>
            </w:r>
          </w:p>
        </w:tc>
        <w:tc>
          <w:tcPr>
            <w:tcW w:w="957"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2</w:t>
            </w:r>
          </w:p>
        </w:tc>
        <w:tc>
          <w:tcPr>
            <w:tcW w:w="956"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2</w:t>
            </w:r>
          </w:p>
        </w:tc>
        <w:tc>
          <w:tcPr>
            <w:tcW w:w="957"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c>
          <w:tcPr>
            <w:tcW w:w="957"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r>
      <w:tr w:rsidRPr="00096403" w:rsidR="000D6E6A" w:rsidTr="00096403">
        <w:tblPrEx>
          <w:tblCellMar>
            <w:top w:w="0" w:type="dxa"/>
            <w:left w:w="0" w:type="dxa"/>
            <w:bottom w:w="0" w:type="dxa"/>
            <w:right w:w="0" w:type="dxa"/>
          </w:tblCellMar>
        </w:tblPrEx>
        <w:trPr>
          <w:trHeight w:val="113"/>
        </w:trPr>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EO2</w:t>
            </w:r>
          </w:p>
        </w:tc>
        <w:tc>
          <w:tcPr>
            <w:tcW w:w="957"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35</w:t>
            </w:r>
          </w:p>
        </w:tc>
        <w:tc>
          <w:tcPr>
            <w:tcW w:w="957"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1</w:t>
            </w:r>
          </w:p>
        </w:tc>
        <w:tc>
          <w:tcPr>
            <w:tcW w:w="956"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19</w:t>
            </w:r>
          </w:p>
        </w:tc>
        <w:tc>
          <w:tcPr>
            <w:tcW w:w="957"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2</w:t>
            </w:r>
          </w:p>
        </w:tc>
        <w:tc>
          <w:tcPr>
            <w:tcW w:w="957"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16</w:t>
            </w:r>
          </w:p>
        </w:tc>
        <w:tc>
          <w:tcPr>
            <w:tcW w:w="956"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-1</w:t>
            </w:r>
          </w:p>
        </w:tc>
        <w:tc>
          <w:tcPr>
            <w:tcW w:w="957"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c>
          <w:tcPr>
            <w:tcW w:w="957"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r>
      <w:tr w:rsidRPr="00096403" w:rsidR="000D6E6A" w:rsidTr="00096403">
        <w:tblPrEx>
          <w:tblCellMar>
            <w:top w:w="0" w:type="dxa"/>
            <w:left w:w="0" w:type="dxa"/>
            <w:bottom w:w="0" w:type="dxa"/>
            <w:right w:w="0" w:type="dxa"/>
          </w:tblCellMar>
        </w:tblPrEx>
        <w:trPr>
          <w:trHeight w:val="113"/>
        </w:trPr>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EO3</w:t>
            </w:r>
          </w:p>
        </w:tc>
        <w:tc>
          <w:tcPr>
            <w:tcW w:w="957"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34</w:t>
            </w:r>
          </w:p>
        </w:tc>
        <w:tc>
          <w:tcPr>
            <w:tcW w:w="957"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10</w:t>
            </w:r>
          </w:p>
        </w:tc>
        <w:tc>
          <w:tcPr>
            <w:tcW w:w="956"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15</w:t>
            </w:r>
          </w:p>
        </w:tc>
        <w:tc>
          <w:tcPr>
            <w:tcW w:w="957"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7</w:t>
            </w:r>
          </w:p>
        </w:tc>
        <w:tc>
          <w:tcPr>
            <w:tcW w:w="957"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19</w:t>
            </w:r>
          </w:p>
        </w:tc>
        <w:tc>
          <w:tcPr>
            <w:tcW w:w="956"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3</w:t>
            </w:r>
          </w:p>
        </w:tc>
        <w:tc>
          <w:tcPr>
            <w:tcW w:w="957"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c>
          <w:tcPr>
            <w:tcW w:w="957"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r>
      <w:tr w:rsidRPr="00096403" w:rsidR="000D6E6A" w:rsidTr="00096403">
        <w:tblPrEx>
          <w:tblCellMar>
            <w:top w:w="0" w:type="dxa"/>
            <w:left w:w="0" w:type="dxa"/>
            <w:bottom w:w="0" w:type="dxa"/>
            <w:right w:w="0" w:type="dxa"/>
          </w:tblCellMar>
        </w:tblPrEx>
        <w:trPr>
          <w:trHeight w:val="113"/>
        </w:trPr>
        <w:tc>
          <w:tcPr>
            <w:tcW w:w="1417" w:type="dxa"/>
            <w:tcBorders>
              <w:top w:val="dotted" w:color="542E8E" w:sz="4" w:space="0"/>
              <w:left w:val="nil"/>
              <w:bottom w:val="single" w:color="542E8E" w:sz="4" w:space="0"/>
              <w:right w:val="nil"/>
            </w:tcBorders>
            <w:tcMar>
              <w:top w:w="57" w:type="dxa"/>
              <w:left w:w="57" w:type="dxa"/>
              <w:bottom w:w="57" w:type="dxa"/>
              <w:right w:w="57" w:type="dxa"/>
            </w:tcMar>
          </w:tcPr>
          <w:p w:rsidRPr="00096403" w:rsidR="000D6E6A" w:rsidRDefault="000D6E6A">
            <w:pPr>
              <w:pStyle w:val="bodycopytabletable"/>
            </w:pPr>
            <w:r w:rsidRPr="00096403">
              <w:rPr>
                <w:rStyle w:val="medium"/>
                <w:b/>
                <w:bCs/>
              </w:rPr>
              <w:t>Total</w:t>
            </w:r>
          </w:p>
        </w:tc>
        <w:tc>
          <w:tcPr>
            <w:tcW w:w="957" w:type="dxa"/>
            <w:tcBorders>
              <w:top w:val="dotted" w:color="542E8E" w:sz="4" w:space="0"/>
              <w:left w:val="nil"/>
              <w:bottom w:val="single"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rPr>
                <w:rStyle w:val="medium"/>
                <w:b/>
                <w:bCs/>
              </w:rPr>
              <w:t>73</w:t>
            </w:r>
          </w:p>
        </w:tc>
        <w:tc>
          <w:tcPr>
            <w:tcW w:w="957" w:type="dxa"/>
            <w:tcBorders>
              <w:top w:val="dotted" w:color="542E8E" w:sz="4" w:space="0"/>
              <w:left w:val="nil"/>
              <w:bottom w:val="single"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rPr>
                <w:rStyle w:val="medium"/>
                <w:b/>
                <w:bCs/>
              </w:rPr>
              <w:t>13</w:t>
            </w:r>
          </w:p>
        </w:tc>
        <w:tc>
          <w:tcPr>
            <w:tcW w:w="956" w:type="dxa"/>
            <w:tcBorders>
              <w:top w:val="dotted" w:color="542E8E" w:sz="4" w:space="0"/>
              <w:left w:val="single" w:color="542E8E" w:sz="4" w:space="0"/>
              <w:bottom w:val="single"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rPr>
                <w:rStyle w:val="medium"/>
                <w:b/>
                <w:bCs/>
              </w:rPr>
              <w:t>36</w:t>
            </w:r>
          </w:p>
        </w:tc>
        <w:tc>
          <w:tcPr>
            <w:tcW w:w="957" w:type="dxa"/>
            <w:tcBorders>
              <w:top w:val="dotted" w:color="542E8E" w:sz="4" w:space="0"/>
              <w:left w:val="nil"/>
              <w:bottom w:val="single"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rPr>
                <w:rStyle w:val="medium"/>
                <w:b/>
                <w:bCs/>
              </w:rPr>
              <w:t>9</w:t>
            </w:r>
          </w:p>
        </w:tc>
        <w:tc>
          <w:tcPr>
            <w:tcW w:w="957" w:type="dxa"/>
            <w:tcBorders>
              <w:top w:val="dotted" w:color="542E8E" w:sz="4" w:space="0"/>
              <w:left w:val="single" w:color="542E8E" w:sz="4" w:space="0"/>
              <w:bottom w:val="single"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rPr>
                <w:rStyle w:val="medium"/>
                <w:b/>
                <w:bCs/>
              </w:rPr>
              <w:t>37</w:t>
            </w:r>
          </w:p>
        </w:tc>
        <w:tc>
          <w:tcPr>
            <w:tcW w:w="956" w:type="dxa"/>
            <w:tcBorders>
              <w:top w:val="dotted" w:color="542E8E" w:sz="4" w:space="0"/>
              <w:left w:val="nil"/>
              <w:bottom w:val="single"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rPr>
                <w:rStyle w:val="medium"/>
                <w:b/>
                <w:bCs/>
              </w:rPr>
              <w:t>4</w:t>
            </w:r>
          </w:p>
        </w:tc>
        <w:tc>
          <w:tcPr>
            <w:tcW w:w="957" w:type="dxa"/>
            <w:tcBorders>
              <w:top w:val="dotted" w:color="542E8E" w:sz="4" w:space="0"/>
              <w:left w:val="single" w:color="542E8E" w:sz="4" w:space="0"/>
              <w:bottom w:val="single"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rPr>
                <w:rStyle w:val="medium"/>
                <w:b/>
                <w:bCs/>
              </w:rPr>
              <w:t>0</w:t>
            </w:r>
          </w:p>
        </w:tc>
        <w:tc>
          <w:tcPr>
            <w:tcW w:w="957" w:type="dxa"/>
            <w:tcBorders>
              <w:top w:val="dotted" w:color="542E8E" w:sz="4" w:space="0"/>
              <w:left w:val="nil"/>
              <w:bottom w:val="single"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rPr>
                <w:rStyle w:val="medium"/>
                <w:b/>
                <w:bCs/>
              </w:rPr>
              <w:t>0</w:t>
            </w:r>
          </w:p>
        </w:tc>
      </w:tr>
    </w:tbl>
    <w:p w:rsidR="000D6E6A" w:rsidP="00096403" w:rsidRDefault="000D6E6A">
      <w:pPr>
        <w:pStyle w:val="notesspantable"/>
        <w:spacing w:before="60"/>
      </w:pPr>
      <w:r>
        <w:t>The number of executives in the Report of Operations is based on the number of executive positions that are occupied at the end of the financial year. Note 9.8 ‘Remuneration of executives’ in the Financial Statement lists the actual number of executive officers and the total remuneration paid to executive officers over the course of the reporting period. The Financial Statement note does not include the Accountable Officer (Secretary</w:t>
      </w:r>
      <w:proofErr w:type="gramStart"/>
      <w:r>
        <w:t>), and</w:t>
      </w:r>
      <w:proofErr w:type="gramEnd"/>
      <w:r>
        <w:t xml:space="preserve"> does not distinguish between executive levels or disclosure separations. Separations are executive officers who have left the department during the relevant reporting period. To assist readers these two disclosures are reconciled below.</w:t>
      </w:r>
    </w:p>
    <w:p w:rsidR="000D6E6A" w:rsidP="00096403" w:rsidRDefault="000D6E6A">
      <w:pPr>
        <w:pStyle w:val="notesspanlastrowtable"/>
        <w:tabs>
          <w:tab w:val="clear" w:pos="283"/>
        </w:tabs>
        <w:ind w:left="284" w:hanging="284"/>
      </w:pPr>
      <w:r>
        <w:rPr>
          <w:spacing w:val="-1"/>
        </w:rPr>
        <w:t xml:space="preserve">1. </w:t>
      </w:r>
      <w:r>
        <w:rPr>
          <w:spacing w:val="-1"/>
        </w:rPr>
        <w:tab/>
        <w:t xml:space="preserve">From 2017–18, Financial Reporting Direction 29C requires that disclosure of gender include three categories: man, woman and self-described. ‘Man’ and ‘woman’ are gender identity terms. Some employees use terms such as ‘gender diverse’, ‘non-binary’ or a number of other terms to describe their gender identity. Employees may wish to use ‘self-described’ to report their gender identity. </w:t>
      </w:r>
    </w:p>
    <w:p w:rsidR="000D6E6A" w:rsidRDefault="000D6E6A">
      <w:pPr>
        <w:pStyle w:val="Bodycopy"/>
        <w:rPr>
          <w:rStyle w:val="RegularItalic"/>
        </w:rPr>
      </w:pPr>
      <w:r>
        <w:rPr>
          <w:rStyle w:val="RegularItalic"/>
        </w:rPr>
        <w:t>Total number of EOs for the Victorian Government Solicitor’s Office broken down by gender</w:t>
      </w:r>
    </w:p>
    <w:tbl>
      <w:tblPr>
        <w:tblW w:w="0" w:type="auto"/>
        <w:tblInd w:w="57" w:type="dxa"/>
        <w:tblLayout w:type="fixed"/>
        <w:tblCellMar>
          <w:left w:w="0" w:type="dxa"/>
          <w:right w:w="0" w:type="dxa"/>
        </w:tblCellMar>
        <w:tblLook w:firstRow="0" w:lastRow="0" w:firstColumn="0" w:lastColumn="0" w:noHBand="0" w:noVBand="0" w:val="0000"/>
      </w:tblPr>
      <w:tblGrid>
        <w:gridCol w:w="1417"/>
        <w:gridCol w:w="957"/>
        <w:gridCol w:w="957"/>
        <w:gridCol w:w="956"/>
        <w:gridCol w:w="957"/>
        <w:gridCol w:w="957"/>
        <w:gridCol w:w="956"/>
        <w:gridCol w:w="957"/>
        <w:gridCol w:w="957"/>
      </w:tblGrid>
      <w:tr w:rsidRPr="00096403" w:rsidR="000D6E6A" w:rsidTr="00096403">
        <w:tblPrEx>
          <w:tblCellMar>
            <w:top w:w="0" w:type="dxa"/>
            <w:left w:w="0" w:type="dxa"/>
            <w:bottom w:w="0" w:type="dxa"/>
            <w:right w:w="0" w:type="dxa"/>
          </w:tblCellMar>
        </w:tblPrEx>
        <w:trPr>
          <w:trHeight w:val="113"/>
          <w:tblHeader/>
        </w:trPr>
        <w:tc>
          <w:tcPr>
            <w:tcW w:w="1417"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c>
          <w:tcPr>
            <w:tcW w:w="1914" w:type="dxa"/>
            <w:gridSpan w:val="2"/>
            <w:tcBorders>
              <w:top w:val="dotted" w:color="000000" w:sz="6" w:space="0"/>
              <w:left w:val="nil"/>
              <w:bottom w:val="single" w:color="542E8E" w:sz="6" w:space="0"/>
              <w:right w:val="single" w:color="542E8E" w:sz="4" w:space="0"/>
            </w:tcBorders>
            <w:shd w:val="solid" w:color="FFFFFF" w:fill="auto"/>
            <w:tcMar>
              <w:top w:w="57" w:type="dxa"/>
              <w:left w:w="57" w:type="dxa"/>
              <w:bottom w:w="57" w:type="dxa"/>
              <w:right w:w="57" w:type="dxa"/>
            </w:tcMar>
          </w:tcPr>
          <w:p w:rsidRPr="00096403" w:rsidR="000D6E6A" w:rsidRDefault="000D6E6A">
            <w:pPr>
              <w:pStyle w:val="bodycopytabletable"/>
              <w:jc w:val="center"/>
            </w:pPr>
            <w:r w:rsidRPr="00096403">
              <w:rPr>
                <w:rStyle w:val="mediumpurple"/>
                <w:b/>
                <w:bCs/>
              </w:rPr>
              <w:t>All</w:t>
            </w:r>
          </w:p>
        </w:tc>
        <w:tc>
          <w:tcPr>
            <w:tcW w:w="1913" w:type="dxa"/>
            <w:gridSpan w:val="2"/>
            <w:tcBorders>
              <w:top w:val="dotted" w:color="000000" w:sz="6" w:space="0"/>
              <w:left w:val="single" w:color="542E8E" w:sz="4" w:space="0"/>
              <w:bottom w:val="single" w:color="542E8E" w:sz="6" w:space="0"/>
              <w:right w:val="single" w:color="542E8E" w:sz="4" w:space="0"/>
            </w:tcBorders>
            <w:shd w:val="solid" w:color="FFFFFF" w:fill="auto"/>
            <w:tcMar>
              <w:top w:w="57" w:type="dxa"/>
              <w:left w:w="57" w:type="dxa"/>
              <w:bottom w:w="57" w:type="dxa"/>
              <w:right w:w="57" w:type="dxa"/>
            </w:tcMar>
          </w:tcPr>
          <w:p w:rsidRPr="00096403" w:rsidR="000D6E6A" w:rsidRDefault="000D6E6A">
            <w:pPr>
              <w:pStyle w:val="bodycopytabletable"/>
              <w:jc w:val="center"/>
            </w:pPr>
            <w:r w:rsidRPr="00096403">
              <w:rPr>
                <w:rStyle w:val="mediumpurple"/>
                <w:b/>
                <w:bCs/>
              </w:rPr>
              <w:t>Man</w:t>
            </w:r>
          </w:p>
        </w:tc>
        <w:tc>
          <w:tcPr>
            <w:tcW w:w="1913" w:type="dxa"/>
            <w:gridSpan w:val="2"/>
            <w:tcBorders>
              <w:top w:val="dotted" w:color="000000" w:sz="6" w:space="0"/>
              <w:left w:val="single" w:color="542E8E" w:sz="4" w:space="0"/>
              <w:bottom w:val="single" w:color="542E8E" w:sz="6" w:space="0"/>
              <w:right w:val="single" w:color="542E8E" w:sz="4" w:space="0"/>
            </w:tcBorders>
            <w:shd w:val="solid" w:color="FFFFFF" w:fill="auto"/>
            <w:tcMar>
              <w:top w:w="57" w:type="dxa"/>
              <w:left w:w="57" w:type="dxa"/>
              <w:bottom w:w="57" w:type="dxa"/>
              <w:right w:w="57" w:type="dxa"/>
            </w:tcMar>
          </w:tcPr>
          <w:p w:rsidRPr="00096403" w:rsidR="000D6E6A" w:rsidRDefault="000D6E6A">
            <w:pPr>
              <w:pStyle w:val="bodycopytabletable"/>
              <w:jc w:val="center"/>
            </w:pPr>
            <w:r w:rsidRPr="00096403">
              <w:rPr>
                <w:rStyle w:val="mediumpurple"/>
                <w:b/>
                <w:bCs/>
              </w:rPr>
              <w:t>Woman</w:t>
            </w:r>
          </w:p>
        </w:tc>
        <w:tc>
          <w:tcPr>
            <w:tcW w:w="1914" w:type="dxa"/>
            <w:gridSpan w:val="2"/>
            <w:tcBorders>
              <w:top w:val="dotted" w:color="000000" w:sz="6" w:space="0"/>
              <w:left w:val="single" w:color="542E8E" w:sz="4" w:space="0"/>
              <w:bottom w:val="single" w:color="542E8E" w:sz="6" w:space="0"/>
              <w:right w:val="single" w:color="542E8E" w:sz="4" w:space="0"/>
            </w:tcBorders>
            <w:shd w:val="solid" w:color="FFFFFF" w:fill="auto"/>
            <w:tcMar>
              <w:top w:w="57" w:type="dxa"/>
              <w:left w:w="57" w:type="dxa"/>
              <w:bottom w:w="57" w:type="dxa"/>
              <w:right w:w="57" w:type="dxa"/>
            </w:tcMar>
          </w:tcPr>
          <w:p w:rsidRPr="00096403" w:rsidR="000D6E6A" w:rsidRDefault="000D6E6A">
            <w:pPr>
              <w:pStyle w:val="bodycopytabletable"/>
              <w:jc w:val="center"/>
            </w:pPr>
            <w:r w:rsidRPr="00096403">
              <w:rPr>
                <w:rStyle w:val="mediumpurple"/>
                <w:b/>
                <w:bCs/>
              </w:rPr>
              <w:t>Self-described</w:t>
            </w:r>
            <w:r w:rsidRPr="00096403">
              <w:rPr>
                <w:rStyle w:val="Superscript"/>
                <w:color w:val="542E8E"/>
              </w:rPr>
              <w:t>1</w:t>
            </w:r>
          </w:p>
        </w:tc>
      </w:tr>
      <w:tr w:rsidRPr="00096403" w:rsidR="000D6E6A" w:rsidTr="00096403">
        <w:tblPrEx>
          <w:tblCellMar>
            <w:top w:w="0" w:type="dxa"/>
            <w:left w:w="0" w:type="dxa"/>
            <w:bottom w:w="0" w:type="dxa"/>
            <w:right w:w="0" w:type="dxa"/>
          </w:tblCellMar>
        </w:tblPrEx>
        <w:trPr>
          <w:trHeight w:val="113"/>
        </w:trPr>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Classification</w:t>
            </w:r>
          </w:p>
        </w:tc>
        <w:tc>
          <w:tcPr>
            <w:tcW w:w="957"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No.</w:t>
            </w:r>
          </w:p>
        </w:tc>
        <w:tc>
          <w:tcPr>
            <w:tcW w:w="957"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Var.</w:t>
            </w:r>
          </w:p>
        </w:tc>
        <w:tc>
          <w:tcPr>
            <w:tcW w:w="956"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No.</w:t>
            </w:r>
          </w:p>
        </w:tc>
        <w:tc>
          <w:tcPr>
            <w:tcW w:w="957"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Var.</w:t>
            </w:r>
          </w:p>
        </w:tc>
        <w:tc>
          <w:tcPr>
            <w:tcW w:w="957"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No.</w:t>
            </w:r>
          </w:p>
        </w:tc>
        <w:tc>
          <w:tcPr>
            <w:tcW w:w="956"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Var.</w:t>
            </w:r>
          </w:p>
        </w:tc>
        <w:tc>
          <w:tcPr>
            <w:tcW w:w="957"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No.</w:t>
            </w:r>
          </w:p>
        </w:tc>
        <w:tc>
          <w:tcPr>
            <w:tcW w:w="957"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Var.</w:t>
            </w:r>
          </w:p>
        </w:tc>
      </w:tr>
      <w:tr w:rsidRPr="00096403" w:rsidR="000D6E6A" w:rsidTr="00096403">
        <w:tblPrEx>
          <w:tblCellMar>
            <w:top w:w="0" w:type="dxa"/>
            <w:left w:w="0" w:type="dxa"/>
            <w:bottom w:w="0" w:type="dxa"/>
            <w:right w:w="0" w:type="dxa"/>
          </w:tblCellMar>
        </w:tblPrEx>
        <w:trPr>
          <w:trHeight w:val="113"/>
        </w:trPr>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EO1</w:t>
            </w:r>
          </w:p>
        </w:tc>
        <w:tc>
          <w:tcPr>
            <w:tcW w:w="957"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1</w:t>
            </w:r>
          </w:p>
        </w:tc>
        <w:tc>
          <w:tcPr>
            <w:tcW w:w="957"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0</w:t>
            </w:r>
          </w:p>
        </w:tc>
        <w:tc>
          <w:tcPr>
            <w:tcW w:w="956"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c>
          <w:tcPr>
            <w:tcW w:w="957"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0</w:t>
            </w:r>
          </w:p>
        </w:tc>
        <w:tc>
          <w:tcPr>
            <w:tcW w:w="957"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1</w:t>
            </w:r>
          </w:p>
        </w:tc>
        <w:tc>
          <w:tcPr>
            <w:tcW w:w="956"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0</w:t>
            </w:r>
          </w:p>
        </w:tc>
        <w:tc>
          <w:tcPr>
            <w:tcW w:w="957"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c>
          <w:tcPr>
            <w:tcW w:w="957"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r>
      <w:tr w:rsidRPr="00096403" w:rsidR="000D6E6A" w:rsidTr="00096403">
        <w:tblPrEx>
          <w:tblCellMar>
            <w:top w:w="0" w:type="dxa"/>
            <w:left w:w="0" w:type="dxa"/>
            <w:bottom w:w="0" w:type="dxa"/>
            <w:right w:w="0" w:type="dxa"/>
          </w:tblCellMar>
        </w:tblPrEx>
        <w:trPr>
          <w:trHeight w:val="113"/>
        </w:trPr>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EO2</w:t>
            </w:r>
          </w:p>
        </w:tc>
        <w:tc>
          <w:tcPr>
            <w:tcW w:w="957"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5</w:t>
            </w:r>
          </w:p>
        </w:tc>
        <w:tc>
          <w:tcPr>
            <w:tcW w:w="957"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1</w:t>
            </w:r>
          </w:p>
        </w:tc>
        <w:tc>
          <w:tcPr>
            <w:tcW w:w="956"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2</w:t>
            </w:r>
          </w:p>
        </w:tc>
        <w:tc>
          <w:tcPr>
            <w:tcW w:w="957"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1</w:t>
            </w:r>
          </w:p>
        </w:tc>
        <w:tc>
          <w:tcPr>
            <w:tcW w:w="957"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3</w:t>
            </w:r>
          </w:p>
        </w:tc>
        <w:tc>
          <w:tcPr>
            <w:tcW w:w="956"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0</w:t>
            </w:r>
          </w:p>
        </w:tc>
        <w:tc>
          <w:tcPr>
            <w:tcW w:w="957"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c>
          <w:tcPr>
            <w:tcW w:w="957"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r>
      <w:tr w:rsidRPr="00096403" w:rsidR="000D6E6A" w:rsidTr="00096403">
        <w:tblPrEx>
          <w:tblCellMar>
            <w:top w:w="0" w:type="dxa"/>
            <w:left w:w="0" w:type="dxa"/>
            <w:bottom w:w="0" w:type="dxa"/>
            <w:right w:w="0" w:type="dxa"/>
          </w:tblCellMar>
        </w:tblPrEx>
        <w:trPr>
          <w:trHeight w:val="113"/>
        </w:trPr>
        <w:tc>
          <w:tcPr>
            <w:tcW w:w="1417"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EO3</w:t>
            </w:r>
          </w:p>
        </w:tc>
        <w:tc>
          <w:tcPr>
            <w:tcW w:w="957"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c>
          <w:tcPr>
            <w:tcW w:w="957"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-1</w:t>
            </w:r>
          </w:p>
        </w:tc>
        <w:tc>
          <w:tcPr>
            <w:tcW w:w="956"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c>
          <w:tcPr>
            <w:tcW w:w="957"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-1</w:t>
            </w:r>
          </w:p>
        </w:tc>
        <w:tc>
          <w:tcPr>
            <w:tcW w:w="957"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c>
          <w:tcPr>
            <w:tcW w:w="956"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0</w:t>
            </w:r>
          </w:p>
        </w:tc>
        <w:tc>
          <w:tcPr>
            <w:tcW w:w="957"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c>
          <w:tcPr>
            <w:tcW w:w="957"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r>
      <w:tr w:rsidRPr="00096403" w:rsidR="000D6E6A" w:rsidTr="00096403">
        <w:tblPrEx>
          <w:tblCellMar>
            <w:top w:w="0" w:type="dxa"/>
            <w:left w:w="0" w:type="dxa"/>
            <w:bottom w:w="0" w:type="dxa"/>
            <w:right w:w="0" w:type="dxa"/>
          </w:tblCellMar>
        </w:tblPrEx>
        <w:trPr>
          <w:trHeight w:val="113"/>
        </w:trPr>
        <w:tc>
          <w:tcPr>
            <w:tcW w:w="1417"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096403" w:rsidR="000D6E6A" w:rsidRDefault="000D6E6A">
            <w:pPr>
              <w:pStyle w:val="bodycopytabletable"/>
            </w:pPr>
            <w:r w:rsidRPr="00096403">
              <w:rPr>
                <w:rStyle w:val="medium"/>
                <w:b/>
                <w:bCs/>
              </w:rPr>
              <w:t>Total</w:t>
            </w:r>
          </w:p>
        </w:tc>
        <w:tc>
          <w:tcPr>
            <w:tcW w:w="957"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096403" w:rsidR="000D6E6A" w:rsidRDefault="000D6E6A">
            <w:pPr>
              <w:pStyle w:val="bodycopytabletable"/>
              <w:jc w:val="right"/>
            </w:pPr>
            <w:r w:rsidRPr="00096403">
              <w:rPr>
                <w:rStyle w:val="medium"/>
                <w:b/>
                <w:bCs/>
              </w:rPr>
              <w:t>6</w:t>
            </w:r>
          </w:p>
        </w:tc>
        <w:tc>
          <w:tcPr>
            <w:tcW w:w="957" w:type="dxa"/>
            <w:tcBorders>
              <w:top w:val="dotted" w:color="542E8E" w:sz="4" w:space="0"/>
              <w:left w:val="nil"/>
              <w:bottom w:val="single" w:color="542E8E" w:sz="4" w:space="0"/>
              <w:right w:val="single" w:color="542E8E" w:sz="4" w:space="0"/>
            </w:tcBorders>
            <w:shd w:val="solid" w:color="FFFFFF" w:fill="auto"/>
            <w:tcMar>
              <w:top w:w="57" w:type="dxa"/>
              <w:left w:w="57" w:type="dxa"/>
              <w:bottom w:w="57" w:type="dxa"/>
              <w:right w:w="57" w:type="dxa"/>
            </w:tcMar>
          </w:tcPr>
          <w:p w:rsidRPr="00096403" w:rsidR="000D6E6A" w:rsidRDefault="000D6E6A">
            <w:pPr>
              <w:pStyle w:val="bodycopytabletable"/>
              <w:jc w:val="right"/>
            </w:pPr>
            <w:r w:rsidRPr="00096403">
              <w:rPr>
                <w:rStyle w:val="medium"/>
                <w:b/>
                <w:bCs/>
              </w:rPr>
              <w:t>0</w:t>
            </w:r>
          </w:p>
        </w:tc>
        <w:tc>
          <w:tcPr>
            <w:tcW w:w="956" w:type="dxa"/>
            <w:tcBorders>
              <w:top w:val="dotted" w:color="542E8E" w:sz="4" w:space="0"/>
              <w:left w:val="single" w:color="542E8E" w:sz="4" w:space="0"/>
              <w:bottom w:val="single" w:color="542E8E" w:sz="4" w:space="0"/>
              <w:right w:val="nil"/>
            </w:tcBorders>
            <w:shd w:val="solid" w:color="FFFFFF" w:fill="auto"/>
            <w:tcMar>
              <w:top w:w="57" w:type="dxa"/>
              <w:left w:w="57" w:type="dxa"/>
              <w:bottom w:w="57" w:type="dxa"/>
              <w:right w:w="57" w:type="dxa"/>
            </w:tcMar>
          </w:tcPr>
          <w:p w:rsidRPr="00096403" w:rsidR="000D6E6A" w:rsidRDefault="000D6E6A">
            <w:pPr>
              <w:pStyle w:val="bodycopytabletable"/>
              <w:jc w:val="right"/>
            </w:pPr>
            <w:r w:rsidRPr="00096403">
              <w:rPr>
                <w:rStyle w:val="medium"/>
                <w:b/>
                <w:bCs/>
              </w:rPr>
              <w:t>2</w:t>
            </w:r>
          </w:p>
        </w:tc>
        <w:tc>
          <w:tcPr>
            <w:tcW w:w="957" w:type="dxa"/>
            <w:tcBorders>
              <w:top w:val="dotted" w:color="542E8E" w:sz="4" w:space="0"/>
              <w:left w:val="nil"/>
              <w:bottom w:val="single" w:color="542E8E" w:sz="4" w:space="0"/>
              <w:right w:val="single" w:color="542E8E" w:sz="4" w:space="0"/>
            </w:tcBorders>
            <w:shd w:val="solid" w:color="FFFFFF" w:fill="auto"/>
            <w:tcMar>
              <w:top w:w="57" w:type="dxa"/>
              <w:left w:w="57" w:type="dxa"/>
              <w:bottom w:w="57" w:type="dxa"/>
              <w:right w:w="57" w:type="dxa"/>
            </w:tcMar>
          </w:tcPr>
          <w:p w:rsidRPr="00096403" w:rsidR="000D6E6A" w:rsidRDefault="000D6E6A">
            <w:pPr>
              <w:pStyle w:val="bodycopytabletable"/>
              <w:jc w:val="right"/>
            </w:pPr>
            <w:r w:rsidRPr="00096403">
              <w:rPr>
                <w:rStyle w:val="medium"/>
                <w:b/>
                <w:bCs/>
              </w:rPr>
              <w:t>0</w:t>
            </w:r>
          </w:p>
        </w:tc>
        <w:tc>
          <w:tcPr>
            <w:tcW w:w="957" w:type="dxa"/>
            <w:tcBorders>
              <w:top w:val="dotted" w:color="542E8E" w:sz="4" w:space="0"/>
              <w:left w:val="single" w:color="542E8E" w:sz="4" w:space="0"/>
              <w:bottom w:val="single" w:color="542E8E" w:sz="4" w:space="0"/>
              <w:right w:val="nil"/>
            </w:tcBorders>
            <w:shd w:val="solid" w:color="FFFFFF" w:fill="auto"/>
            <w:tcMar>
              <w:top w:w="57" w:type="dxa"/>
              <w:left w:w="57" w:type="dxa"/>
              <w:bottom w:w="57" w:type="dxa"/>
              <w:right w:w="57" w:type="dxa"/>
            </w:tcMar>
          </w:tcPr>
          <w:p w:rsidRPr="00096403" w:rsidR="000D6E6A" w:rsidRDefault="000D6E6A">
            <w:pPr>
              <w:pStyle w:val="bodycopytabletable"/>
              <w:jc w:val="right"/>
            </w:pPr>
            <w:r w:rsidRPr="00096403">
              <w:rPr>
                <w:rStyle w:val="medium"/>
                <w:b/>
                <w:bCs/>
              </w:rPr>
              <w:t>4</w:t>
            </w:r>
          </w:p>
        </w:tc>
        <w:tc>
          <w:tcPr>
            <w:tcW w:w="956" w:type="dxa"/>
            <w:tcBorders>
              <w:top w:val="dotted" w:color="542E8E" w:sz="4" w:space="0"/>
              <w:left w:val="nil"/>
              <w:bottom w:val="single" w:color="542E8E" w:sz="4" w:space="0"/>
              <w:right w:val="single" w:color="542E8E" w:sz="4" w:space="0"/>
            </w:tcBorders>
            <w:shd w:val="solid" w:color="FFFFFF" w:fill="auto"/>
            <w:tcMar>
              <w:top w:w="57" w:type="dxa"/>
              <w:left w:w="57" w:type="dxa"/>
              <w:bottom w:w="57" w:type="dxa"/>
              <w:right w:w="57" w:type="dxa"/>
            </w:tcMar>
          </w:tcPr>
          <w:p w:rsidRPr="00096403" w:rsidR="000D6E6A" w:rsidRDefault="000D6E6A">
            <w:pPr>
              <w:pStyle w:val="bodycopytabletable"/>
              <w:jc w:val="right"/>
            </w:pPr>
            <w:r w:rsidRPr="00096403">
              <w:rPr>
                <w:rStyle w:val="medium"/>
                <w:b/>
                <w:bCs/>
              </w:rPr>
              <w:t>0</w:t>
            </w:r>
          </w:p>
        </w:tc>
        <w:tc>
          <w:tcPr>
            <w:tcW w:w="957" w:type="dxa"/>
            <w:tcBorders>
              <w:top w:val="dotted" w:color="542E8E" w:sz="4" w:space="0"/>
              <w:left w:val="single" w:color="542E8E" w:sz="4" w:space="0"/>
              <w:bottom w:val="single" w:color="542E8E" w:sz="4" w:space="0"/>
              <w:right w:val="nil"/>
            </w:tcBorders>
            <w:shd w:val="solid" w:color="FFFFFF" w:fill="auto"/>
            <w:tcMar>
              <w:top w:w="57" w:type="dxa"/>
              <w:left w:w="57" w:type="dxa"/>
              <w:bottom w:w="57" w:type="dxa"/>
              <w:right w:w="57" w:type="dxa"/>
            </w:tcMar>
          </w:tcPr>
          <w:p w:rsidRPr="00096403" w:rsidR="000D6E6A" w:rsidRDefault="000D6E6A">
            <w:pPr>
              <w:pStyle w:val="bodycopytabletable"/>
              <w:jc w:val="right"/>
            </w:pPr>
            <w:r w:rsidRPr="00096403">
              <w:rPr>
                <w:rStyle w:val="medium"/>
                <w:b/>
                <w:bCs/>
              </w:rPr>
              <w:t>0</w:t>
            </w:r>
          </w:p>
        </w:tc>
        <w:tc>
          <w:tcPr>
            <w:tcW w:w="957"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096403" w:rsidR="000D6E6A" w:rsidRDefault="000D6E6A">
            <w:pPr>
              <w:pStyle w:val="bodycopytabletable"/>
              <w:jc w:val="right"/>
            </w:pPr>
            <w:r w:rsidRPr="00096403">
              <w:rPr>
                <w:rStyle w:val="medium"/>
                <w:b/>
                <w:bCs/>
              </w:rPr>
              <w:t>0</w:t>
            </w:r>
          </w:p>
        </w:tc>
      </w:tr>
    </w:tbl>
    <w:p w:rsidR="000D6E6A" w:rsidP="00096403" w:rsidRDefault="000D6E6A">
      <w:pPr>
        <w:pStyle w:val="notesspantable"/>
        <w:spacing w:before="60"/>
        <w:rPr>
          <w:spacing w:val="-1"/>
        </w:rPr>
      </w:pPr>
      <w:r>
        <w:rPr>
          <w:spacing w:val="-1"/>
        </w:rPr>
        <w:t>Note</w:t>
      </w:r>
    </w:p>
    <w:p w:rsidR="000D6E6A" w:rsidP="00096403" w:rsidRDefault="000D6E6A">
      <w:pPr>
        <w:pStyle w:val="notesspantable"/>
        <w:tabs>
          <w:tab w:val="clear" w:pos="283"/>
        </w:tabs>
        <w:ind w:left="284" w:hanging="284"/>
        <w:rPr>
          <w:spacing w:val="-1"/>
        </w:rPr>
      </w:pPr>
      <w:r>
        <w:rPr>
          <w:spacing w:val="-1"/>
        </w:rPr>
        <w:t xml:space="preserve">1. </w:t>
      </w:r>
      <w:r>
        <w:rPr>
          <w:spacing w:val="-1"/>
        </w:rPr>
        <w:tab/>
        <w:t xml:space="preserve">From 2017–18, Financial Reporting Direction 29C requires that disclosure of gender include three categories: man, woman and self-described. ‘Man’ and ‘woman’ are gender identity terms. Some employees use terms such as ‘gender diverse’, ‘non-binary’ or a number of other terms to describe their gender identity. Employees may wish to use ‘self-described’ to report their gender identity. </w:t>
      </w:r>
    </w:p>
    <w:p w:rsidR="000D6E6A" w:rsidRDefault="000D6E6A">
      <w:pPr>
        <w:pStyle w:val="Bodycopy"/>
        <w:spacing w:after="0"/>
        <w:rPr>
          <w:rStyle w:val="RegularItalic"/>
        </w:rPr>
      </w:pPr>
    </w:p>
    <w:p w:rsidR="000D6E6A" w:rsidRDefault="000D6E6A">
      <w:pPr>
        <w:pStyle w:val="Bodycopy"/>
        <w:spacing w:after="0"/>
        <w:rPr>
          <w:rStyle w:val="RegularItalic"/>
        </w:rPr>
      </w:pPr>
      <w:r>
        <w:rPr>
          <w:rStyle w:val="RegularItalic"/>
        </w:rPr>
        <w:t xml:space="preserve">Reconciliation of executive numbers </w:t>
      </w:r>
    </w:p>
    <w:tbl>
      <w:tblPr>
        <w:tblW w:w="0" w:type="auto"/>
        <w:tblInd w:w="57" w:type="dxa"/>
        <w:tblLayout w:type="fixed"/>
        <w:tblCellMar>
          <w:left w:w="0" w:type="dxa"/>
          <w:right w:w="0" w:type="dxa"/>
        </w:tblCellMar>
        <w:tblLook w:firstRow="0" w:lastRow="0" w:firstColumn="0" w:lastColumn="0" w:noHBand="0" w:noVBand="0" w:val="0000"/>
      </w:tblPr>
      <w:tblGrid>
        <w:gridCol w:w="6803"/>
        <w:gridCol w:w="1134"/>
        <w:gridCol w:w="1134"/>
      </w:tblGrid>
      <w:tr w:rsidRPr="00096403" w:rsidR="000D6E6A" w:rsidTr="00096403">
        <w:tblPrEx>
          <w:tblCellMar>
            <w:top w:w="0" w:type="dxa"/>
            <w:left w:w="0" w:type="dxa"/>
            <w:bottom w:w="0" w:type="dxa"/>
            <w:right w:w="0" w:type="dxa"/>
          </w:tblCellMar>
        </w:tblPrEx>
        <w:trPr>
          <w:trHeight w:val="113"/>
          <w:tblHeader/>
        </w:trPr>
        <w:tc>
          <w:tcPr>
            <w:tcW w:w="6803"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c>
          <w:tcPr>
            <w:tcW w:w="1134"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096403" w:rsidR="000D6E6A" w:rsidRDefault="000D6E6A">
            <w:pPr>
              <w:pStyle w:val="bodycopytabletable"/>
              <w:jc w:val="right"/>
            </w:pPr>
            <w:r w:rsidRPr="00096403">
              <w:rPr>
                <w:rStyle w:val="mediumpurple"/>
                <w:b/>
                <w:bCs/>
              </w:rPr>
              <w:t>2018</w:t>
            </w:r>
          </w:p>
        </w:tc>
        <w:tc>
          <w:tcPr>
            <w:tcW w:w="1134"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096403" w:rsidR="000D6E6A" w:rsidRDefault="000D6E6A">
            <w:pPr>
              <w:pStyle w:val="bodycopytabletable"/>
              <w:jc w:val="right"/>
            </w:pPr>
            <w:r w:rsidRPr="00096403">
              <w:rPr>
                <w:rStyle w:val="mediumpurple"/>
                <w:b/>
                <w:bCs/>
              </w:rPr>
              <w:t>2017</w:t>
            </w:r>
          </w:p>
        </w:tc>
      </w:tr>
      <w:tr w:rsidRPr="00096403" w:rsidR="000D6E6A" w:rsidTr="00096403">
        <w:tblPrEx>
          <w:tblCellMar>
            <w:top w:w="0" w:type="dxa"/>
            <w:left w:w="0" w:type="dxa"/>
            <w:bottom w:w="0" w:type="dxa"/>
            <w:right w:w="0" w:type="dxa"/>
          </w:tblCellMar>
        </w:tblPrEx>
        <w:trPr>
          <w:trHeight w:val="113"/>
        </w:trPr>
        <w:tc>
          <w:tcPr>
            <w:tcW w:w="6803"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Executives (Financial Statement note 9.8)</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87</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69</w:t>
            </w:r>
          </w:p>
        </w:tc>
      </w:tr>
      <w:tr w:rsidRPr="00096403" w:rsidR="000D6E6A" w:rsidTr="00096403">
        <w:tblPrEx>
          <w:tblCellMar>
            <w:top w:w="0" w:type="dxa"/>
            <w:left w:w="0" w:type="dxa"/>
            <w:bottom w:w="0" w:type="dxa"/>
            <w:right w:w="0" w:type="dxa"/>
          </w:tblCellMar>
        </w:tblPrEx>
        <w:trPr>
          <w:trHeight w:val="113"/>
        </w:trPr>
        <w:tc>
          <w:tcPr>
            <w:tcW w:w="6803"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 xml:space="preserve">Add:   </w:t>
            </w:r>
          </w:p>
          <w:p w:rsidRPr="00096403" w:rsidR="000D6E6A" w:rsidRDefault="000D6E6A">
            <w:pPr>
              <w:pStyle w:val="bodycopytabletable"/>
              <w:ind w:left="170"/>
            </w:pPr>
            <w:r w:rsidRPr="00096403">
              <w:t>Accountable Officer (Secretary)</w:t>
            </w:r>
          </w:p>
          <w:p w:rsidRPr="00096403" w:rsidR="000D6E6A" w:rsidRDefault="000D6E6A">
            <w:pPr>
              <w:pStyle w:val="bodycopytabletable"/>
              <w:ind w:left="170"/>
            </w:pPr>
            <w:r w:rsidRPr="00096403">
              <w:t>Chief Executive Officer, Sentencing Advisory Council</w:t>
            </w:r>
          </w:p>
          <w:p w:rsidRPr="00096403" w:rsidR="000D6E6A" w:rsidRDefault="000D6E6A">
            <w:pPr>
              <w:pStyle w:val="bodycopytabletable"/>
              <w:ind w:left="170"/>
            </w:pPr>
            <w:r w:rsidRPr="00096403">
              <w:t>Chief Executive Officer, Victorian Law Reform Commission</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p>
          <w:p w:rsidRPr="00096403" w:rsidR="000D6E6A" w:rsidRDefault="000D6E6A">
            <w:pPr>
              <w:pStyle w:val="bodycopytabletable"/>
              <w:jc w:val="right"/>
            </w:pPr>
            <w:r w:rsidRPr="00096403">
              <w:t>1</w:t>
            </w:r>
          </w:p>
          <w:p w:rsidRPr="00096403" w:rsidR="000D6E6A" w:rsidRDefault="000D6E6A">
            <w:pPr>
              <w:pStyle w:val="bodycopytabletable"/>
              <w:jc w:val="right"/>
            </w:pPr>
            <w:r w:rsidRPr="00096403">
              <w:t>1</w:t>
            </w:r>
          </w:p>
          <w:p w:rsidRPr="00096403" w:rsidR="000D6E6A" w:rsidRDefault="000D6E6A">
            <w:pPr>
              <w:pStyle w:val="bodycopytabletable"/>
              <w:jc w:val="right"/>
            </w:pPr>
            <w:r w:rsidRPr="00096403">
              <w:t>1</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p>
          <w:p w:rsidRPr="00096403" w:rsidR="000D6E6A" w:rsidRDefault="000D6E6A">
            <w:pPr>
              <w:pStyle w:val="bodycopytabletable"/>
              <w:jc w:val="right"/>
            </w:pPr>
            <w:r w:rsidRPr="00096403">
              <w:t>1</w:t>
            </w:r>
          </w:p>
          <w:p w:rsidRPr="00096403" w:rsidR="000D6E6A" w:rsidRDefault="000D6E6A">
            <w:pPr>
              <w:pStyle w:val="bodycopytabletable"/>
              <w:jc w:val="right"/>
            </w:pPr>
            <w:r w:rsidRPr="00096403">
              <w:t>1</w:t>
            </w:r>
          </w:p>
          <w:p w:rsidRPr="00096403" w:rsidR="000D6E6A" w:rsidRDefault="000D6E6A">
            <w:pPr>
              <w:pStyle w:val="bodycopytabletable"/>
              <w:jc w:val="right"/>
            </w:pPr>
            <w:r w:rsidRPr="00096403">
              <w:t>1</w:t>
            </w:r>
          </w:p>
        </w:tc>
      </w:tr>
      <w:tr w:rsidRPr="00096403" w:rsidR="000D6E6A" w:rsidTr="00096403">
        <w:tblPrEx>
          <w:tblCellMar>
            <w:top w:w="0" w:type="dxa"/>
            <w:left w:w="0" w:type="dxa"/>
            <w:bottom w:w="0" w:type="dxa"/>
            <w:right w:w="0" w:type="dxa"/>
          </w:tblCellMar>
        </w:tblPrEx>
        <w:trPr>
          <w:trHeight w:val="113"/>
        </w:trPr>
        <w:tc>
          <w:tcPr>
            <w:tcW w:w="6803"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 xml:space="preserve">Less: </w:t>
            </w:r>
          </w:p>
          <w:p w:rsidRPr="00096403" w:rsidR="000D6E6A" w:rsidRDefault="000D6E6A">
            <w:pPr>
              <w:pStyle w:val="bodycopytabletable"/>
              <w:ind w:left="170"/>
            </w:pPr>
            <w:r w:rsidRPr="00096403">
              <w:t>Separations</w:t>
            </w:r>
          </w:p>
          <w:p w:rsidRPr="00096403" w:rsidR="000D6E6A" w:rsidRDefault="000D6E6A">
            <w:pPr>
              <w:pStyle w:val="bodycopytabletable"/>
              <w:ind w:left="170"/>
            </w:pPr>
            <w:r w:rsidRPr="00096403">
              <w:t xml:space="preserve">Inactive executive </w:t>
            </w:r>
            <w:proofErr w:type="spellStart"/>
            <w:r w:rsidRPr="00096403">
              <w:t>officers</w:t>
            </w:r>
            <w:r w:rsidRPr="00096403">
              <w:rPr>
                <w:rStyle w:val="Superscript"/>
              </w:rPr>
              <w:t>a</w:t>
            </w:r>
            <w:proofErr w:type="spellEnd"/>
          </w:p>
          <w:p w:rsidRPr="00096403" w:rsidR="000D6E6A" w:rsidRDefault="000D6E6A">
            <w:pPr>
              <w:pStyle w:val="bodycopytabletable"/>
              <w:ind w:left="170"/>
            </w:pPr>
            <w:r w:rsidRPr="00096403">
              <w:t xml:space="preserve">Active executives of the Victorian Government Solicitor’s </w:t>
            </w:r>
            <w:proofErr w:type="spellStart"/>
            <w:r w:rsidRPr="00096403">
              <w:t>Office</w:t>
            </w:r>
            <w:r w:rsidRPr="00096403">
              <w:rPr>
                <w:rStyle w:val="Superscript"/>
              </w:rPr>
              <w:t>b</w:t>
            </w:r>
            <w:proofErr w:type="spellEnd"/>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p>
          <w:p w:rsidRPr="00096403" w:rsidR="000D6E6A" w:rsidRDefault="000D6E6A">
            <w:pPr>
              <w:pStyle w:val="bodycopytabletable"/>
              <w:jc w:val="right"/>
            </w:pPr>
            <w:r w:rsidRPr="00096403">
              <w:t>-9</w:t>
            </w:r>
          </w:p>
          <w:p w:rsidRPr="00096403" w:rsidR="000D6E6A" w:rsidRDefault="000D6E6A">
            <w:pPr>
              <w:pStyle w:val="bodycopytabletable"/>
              <w:jc w:val="right"/>
            </w:pPr>
            <w:r w:rsidRPr="00096403">
              <w:t>-2</w:t>
            </w:r>
          </w:p>
          <w:p w:rsidRPr="00096403" w:rsidR="000D6E6A" w:rsidRDefault="000D6E6A">
            <w:pPr>
              <w:pStyle w:val="bodycopytabletable"/>
              <w:jc w:val="right"/>
            </w:pPr>
            <w:r w:rsidRPr="00096403">
              <w:t>-6</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p>
          <w:p w:rsidRPr="00096403" w:rsidR="000D6E6A" w:rsidRDefault="000D6E6A">
            <w:pPr>
              <w:pStyle w:val="bodycopytabletable"/>
              <w:jc w:val="right"/>
            </w:pPr>
            <w:r w:rsidRPr="00096403">
              <w:t>-5</w:t>
            </w:r>
          </w:p>
          <w:p w:rsidRPr="00096403" w:rsidR="000D6E6A" w:rsidRDefault="000D6E6A">
            <w:pPr>
              <w:pStyle w:val="bodycopytabletable"/>
              <w:jc w:val="right"/>
            </w:pPr>
            <w:r w:rsidRPr="00096403">
              <w:t>-1</w:t>
            </w:r>
          </w:p>
          <w:p w:rsidRPr="00096403" w:rsidR="000D6E6A" w:rsidRDefault="000D6E6A">
            <w:pPr>
              <w:pStyle w:val="bodycopytabletable"/>
              <w:jc w:val="right"/>
            </w:pPr>
            <w:r w:rsidRPr="00096403">
              <w:t>-6</w:t>
            </w:r>
          </w:p>
        </w:tc>
      </w:tr>
      <w:tr w:rsidRPr="00096403" w:rsidR="000D6E6A" w:rsidTr="00096403">
        <w:tblPrEx>
          <w:tblCellMar>
            <w:top w:w="0" w:type="dxa"/>
            <w:left w:w="0" w:type="dxa"/>
            <w:bottom w:w="0" w:type="dxa"/>
            <w:right w:w="0" w:type="dxa"/>
          </w:tblCellMar>
        </w:tblPrEx>
        <w:trPr>
          <w:trHeight w:val="113"/>
        </w:trPr>
        <w:tc>
          <w:tcPr>
            <w:tcW w:w="6803"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096403" w:rsidR="000D6E6A" w:rsidRDefault="000D6E6A">
            <w:pPr>
              <w:pStyle w:val="bodycopytabletable"/>
            </w:pPr>
            <w:r w:rsidRPr="00096403">
              <w:t>Total executive numbers at 30 June</w:t>
            </w:r>
          </w:p>
        </w:tc>
        <w:tc>
          <w:tcPr>
            <w:tcW w:w="1134"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096403" w:rsidR="000D6E6A" w:rsidRDefault="000D6E6A">
            <w:pPr>
              <w:pStyle w:val="bodycopytabletable"/>
              <w:jc w:val="right"/>
            </w:pPr>
            <w:r w:rsidRPr="00096403">
              <w:t>73</w:t>
            </w:r>
          </w:p>
        </w:tc>
        <w:tc>
          <w:tcPr>
            <w:tcW w:w="1134"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096403" w:rsidR="000D6E6A" w:rsidRDefault="000D6E6A">
            <w:pPr>
              <w:pStyle w:val="bodycopytabletable"/>
              <w:jc w:val="right"/>
            </w:pPr>
            <w:r w:rsidRPr="00096403">
              <w:t>60</w:t>
            </w:r>
          </w:p>
        </w:tc>
      </w:tr>
    </w:tbl>
    <w:p w:rsidR="000D6E6A" w:rsidRDefault="000D6E6A">
      <w:pPr>
        <w:pStyle w:val="notesspantable"/>
      </w:pPr>
      <w:r>
        <w:t>Notes:</w:t>
      </w:r>
    </w:p>
    <w:p w:rsidR="000D6E6A" w:rsidRDefault="000D6E6A">
      <w:pPr>
        <w:pStyle w:val="notesspantable"/>
        <w:ind w:left="283" w:hanging="283"/>
      </w:pPr>
      <w:proofErr w:type="spellStart"/>
      <w:proofErr w:type="gramStart"/>
      <w:r>
        <w:t>a</w:t>
      </w:r>
      <w:proofErr w:type="spellEnd"/>
      <w:proofErr w:type="gramEnd"/>
      <w:r>
        <w:t xml:space="preserve"> </w:t>
      </w:r>
      <w:r>
        <w:tab/>
        <w:t>Includes executives on secondment or paid after the last pay period of the financial year but part of the financial year statement.</w:t>
      </w:r>
    </w:p>
    <w:p w:rsidR="000D6E6A" w:rsidRDefault="000D6E6A">
      <w:pPr>
        <w:pStyle w:val="notesspantable"/>
        <w:spacing w:after="227"/>
        <w:ind w:left="283" w:hanging="283"/>
      </w:pPr>
      <w:r>
        <w:t xml:space="preserve">b </w:t>
      </w:r>
      <w:r>
        <w:tab/>
        <w:t>Executives of the Victorian Government Solicitor’s Office are not included in the department’s executive numbers but are included in the department’s financial statement. Note 987 ‘Remuneration of executives’.</w:t>
      </w:r>
    </w:p>
    <w:p w:rsidR="000D6E6A" w:rsidRDefault="000D6E6A">
      <w:pPr>
        <w:pStyle w:val="Bodycopy"/>
        <w:spacing w:after="0"/>
      </w:pPr>
      <w:r>
        <w:rPr>
          <w:rStyle w:val="RegularItalic"/>
        </w:rPr>
        <w:t xml:space="preserve">Number of EOs for the department’s portfolio agencies </w:t>
      </w:r>
    </w:p>
    <w:tbl>
      <w:tblPr>
        <w:tblW w:w="0" w:type="auto"/>
        <w:tblInd w:w="57" w:type="dxa"/>
        <w:tblLayout w:type="fixed"/>
        <w:tblCellMar>
          <w:left w:w="0" w:type="dxa"/>
          <w:right w:w="0" w:type="dxa"/>
        </w:tblCellMar>
        <w:tblLook w:firstRow="0" w:lastRow="0" w:firstColumn="0" w:lastColumn="0" w:noHBand="0" w:noVBand="0" w:val="0000"/>
      </w:tblPr>
      <w:tblGrid>
        <w:gridCol w:w="4479"/>
        <w:gridCol w:w="691"/>
        <w:gridCol w:w="691"/>
        <w:gridCol w:w="691"/>
        <w:gridCol w:w="691"/>
        <w:gridCol w:w="691"/>
        <w:gridCol w:w="691"/>
        <w:gridCol w:w="691"/>
        <w:gridCol w:w="692"/>
      </w:tblGrid>
      <w:tr w:rsidRPr="00096403" w:rsidR="000D6E6A" w:rsidTr="00096403">
        <w:tblPrEx>
          <w:tblCellMar>
            <w:top w:w="0" w:type="dxa"/>
            <w:left w:w="0" w:type="dxa"/>
            <w:bottom w:w="0" w:type="dxa"/>
            <w:right w:w="0" w:type="dxa"/>
          </w:tblCellMar>
        </w:tblPrEx>
        <w:trPr>
          <w:trHeight w:val="113"/>
          <w:tblHeader/>
        </w:trPr>
        <w:tc>
          <w:tcPr>
            <w:tcW w:w="4479"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c>
          <w:tcPr>
            <w:tcW w:w="1382" w:type="dxa"/>
            <w:gridSpan w:val="2"/>
            <w:tcBorders>
              <w:top w:val="dotted" w:color="000000" w:sz="6" w:space="0"/>
              <w:left w:val="nil"/>
              <w:bottom w:val="single" w:color="542E8E" w:sz="6" w:space="0"/>
              <w:right w:val="single" w:color="542E8E" w:sz="4" w:space="0"/>
            </w:tcBorders>
            <w:shd w:val="solid" w:color="FFFFFF" w:fill="auto"/>
            <w:tcMar>
              <w:top w:w="57" w:type="dxa"/>
              <w:left w:w="57" w:type="dxa"/>
              <w:bottom w:w="57" w:type="dxa"/>
              <w:right w:w="57" w:type="dxa"/>
            </w:tcMar>
          </w:tcPr>
          <w:p w:rsidRPr="00096403" w:rsidR="000D6E6A" w:rsidRDefault="000D6E6A">
            <w:pPr>
              <w:pStyle w:val="bodycopytabletable"/>
              <w:jc w:val="center"/>
            </w:pPr>
            <w:r w:rsidRPr="00096403">
              <w:rPr>
                <w:rStyle w:val="mediumpurple"/>
                <w:b/>
                <w:bCs/>
              </w:rPr>
              <w:t>Total</w:t>
            </w:r>
          </w:p>
        </w:tc>
        <w:tc>
          <w:tcPr>
            <w:tcW w:w="1382" w:type="dxa"/>
            <w:gridSpan w:val="2"/>
            <w:tcBorders>
              <w:top w:val="dotted" w:color="000000" w:sz="6" w:space="0"/>
              <w:left w:val="single" w:color="542E8E" w:sz="4" w:space="0"/>
              <w:bottom w:val="single" w:color="542E8E" w:sz="6" w:space="0"/>
              <w:right w:val="single" w:color="542E8E" w:sz="4" w:space="0"/>
            </w:tcBorders>
            <w:shd w:val="solid" w:color="FFFFFF" w:fill="auto"/>
            <w:tcMar>
              <w:top w:w="57" w:type="dxa"/>
              <w:left w:w="57" w:type="dxa"/>
              <w:bottom w:w="57" w:type="dxa"/>
              <w:right w:w="57" w:type="dxa"/>
            </w:tcMar>
          </w:tcPr>
          <w:p w:rsidRPr="00096403" w:rsidR="000D6E6A" w:rsidRDefault="000D6E6A">
            <w:pPr>
              <w:pStyle w:val="bodycopytabletable"/>
              <w:jc w:val="center"/>
            </w:pPr>
            <w:r w:rsidRPr="00096403">
              <w:rPr>
                <w:rStyle w:val="mediumpurple"/>
                <w:b/>
                <w:bCs/>
              </w:rPr>
              <w:t>Man</w:t>
            </w:r>
          </w:p>
        </w:tc>
        <w:tc>
          <w:tcPr>
            <w:tcW w:w="1382" w:type="dxa"/>
            <w:gridSpan w:val="2"/>
            <w:tcBorders>
              <w:top w:val="dotted" w:color="000000" w:sz="6" w:space="0"/>
              <w:left w:val="single" w:color="542E8E" w:sz="4" w:space="0"/>
              <w:bottom w:val="single" w:color="542E8E" w:sz="6" w:space="0"/>
              <w:right w:val="single" w:color="542E8E" w:sz="4" w:space="0"/>
            </w:tcBorders>
            <w:shd w:val="solid" w:color="FFFFFF" w:fill="auto"/>
            <w:tcMar>
              <w:top w:w="57" w:type="dxa"/>
              <w:left w:w="57" w:type="dxa"/>
              <w:bottom w:w="57" w:type="dxa"/>
              <w:right w:w="57" w:type="dxa"/>
            </w:tcMar>
          </w:tcPr>
          <w:p w:rsidRPr="00096403" w:rsidR="000D6E6A" w:rsidRDefault="000D6E6A">
            <w:pPr>
              <w:pStyle w:val="bodycopytabletable"/>
              <w:jc w:val="center"/>
            </w:pPr>
            <w:r w:rsidRPr="00096403">
              <w:rPr>
                <w:rStyle w:val="mediumpurple"/>
                <w:b/>
                <w:bCs/>
              </w:rPr>
              <w:t>Woman</w:t>
            </w:r>
          </w:p>
        </w:tc>
        <w:tc>
          <w:tcPr>
            <w:tcW w:w="1383" w:type="dxa"/>
            <w:gridSpan w:val="2"/>
            <w:tcBorders>
              <w:top w:val="dotted" w:color="000000" w:sz="6" w:space="0"/>
              <w:left w:val="single" w:color="542E8E" w:sz="4" w:space="0"/>
              <w:bottom w:val="single" w:color="542E8E" w:sz="6" w:space="0"/>
              <w:right w:val="single" w:color="542E8E" w:sz="4" w:space="0"/>
            </w:tcBorders>
            <w:shd w:val="solid" w:color="FFFFFF" w:fill="auto"/>
            <w:tcMar>
              <w:top w:w="57" w:type="dxa"/>
              <w:left w:w="57" w:type="dxa"/>
              <w:bottom w:w="57" w:type="dxa"/>
              <w:right w:w="57" w:type="dxa"/>
            </w:tcMar>
          </w:tcPr>
          <w:p w:rsidRPr="00096403" w:rsidR="000D6E6A" w:rsidRDefault="000D6E6A">
            <w:pPr>
              <w:pStyle w:val="bodycopytabletable"/>
              <w:jc w:val="center"/>
            </w:pPr>
            <w:r w:rsidRPr="00096403">
              <w:rPr>
                <w:rStyle w:val="mediumpurple"/>
                <w:b/>
                <w:bCs/>
              </w:rPr>
              <w:t>Self-</w:t>
            </w:r>
            <w:proofErr w:type="spellStart"/>
            <w:r w:rsidRPr="00096403">
              <w:rPr>
                <w:rStyle w:val="mediumpurple"/>
                <w:b/>
                <w:bCs/>
              </w:rPr>
              <w:t>described</w:t>
            </w:r>
            <w:r w:rsidRPr="00096403">
              <w:rPr>
                <w:rStyle w:val="Superscript"/>
                <w:color w:val="542E8E"/>
              </w:rPr>
              <w:t>a</w:t>
            </w:r>
            <w:proofErr w:type="spellEnd"/>
          </w:p>
        </w:tc>
      </w:tr>
      <w:tr w:rsidRPr="00096403" w:rsidR="000D6E6A" w:rsidTr="00096403">
        <w:tblPrEx>
          <w:tblCellMar>
            <w:top w:w="0" w:type="dxa"/>
            <w:left w:w="0" w:type="dxa"/>
            <w:bottom w:w="0" w:type="dxa"/>
            <w:right w:w="0" w:type="dxa"/>
          </w:tblCellMar>
        </w:tblPrEx>
        <w:trPr>
          <w:trHeight w:val="113"/>
        </w:trPr>
        <w:tc>
          <w:tcPr>
            <w:tcW w:w="4479"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Portfolio agencies </w:t>
            </w:r>
          </w:p>
        </w:tc>
        <w:tc>
          <w:tcPr>
            <w:tcW w:w="69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No.</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Var.</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No.</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Var.</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No.</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Var.</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 xml:space="preserve">No. </w:t>
            </w:r>
          </w:p>
        </w:tc>
        <w:tc>
          <w:tcPr>
            <w:tcW w:w="692"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 xml:space="preserve">Var. </w:t>
            </w:r>
          </w:p>
        </w:tc>
      </w:tr>
      <w:tr w:rsidRPr="00096403" w:rsidR="000D6E6A" w:rsidTr="00096403">
        <w:tblPrEx>
          <w:tblCellMar>
            <w:top w:w="0" w:type="dxa"/>
            <w:left w:w="0" w:type="dxa"/>
            <w:bottom w:w="0" w:type="dxa"/>
            <w:right w:w="0" w:type="dxa"/>
          </w:tblCellMar>
        </w:tblPrEx>
        <w:trPr>
          <w:trHeight w:val="113"/>
        </w:trPr>
        <w:tc>
          <w:tcPr>
            <w:tcW w:w="4479"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 xml:space="preserve">Consumer Policy </w:t>
            </w:r>
            <w:proofErr w:type="spellStart"/>
            <w:r w:rsidRPr="00096403">
              <w:t>Reseach</w:t>
            </w:r>
            <w:proofErr w:type="spellEnd"/>
            <w:r w:rsidRPr="00096403">
              <w:t xml:space="preserve"> Centre</w:t>
            </w:r>
          </w:p>
        </w:tc>
        <w:tc>
          <w:tcPr>
            <w:tcW w:w="69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1</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1</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2"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r>
      <w:tr w:rsidRPr="00096403" w:rsidR="000D6E6A" w:rsidTr="00096403">
        <w:tblPrEx>
          <w:tblCellMar>
            <w:top w:w="0" w:type="dxa"/>
            <w:left w:w="0" w:type="dxa"/>
            <w:bottom w:w="0" w:type="dxa"/>
            <w:right w:w="0" w:type="dxa"/>
          </w:tblCellMar>
        </w:tblPrEx>
        <w:trPr>
          <w:trHeight w:val="113"/>
        </w:trPr>
        <w:tc>
          <w:tcPr>
            <w:tcW w:w="4479"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Country Fire Authority</w:t>
            </w:r>
          </w:p>
        </w:tc>
        <w:tc>
          <w:tcPr>
            <w:tcW w:w="69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31</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7</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22</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7</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9</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2"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r>
      <w:tr w:rsidRPr="00096403" w:rsidR="000D6E6A" w:rsidTr="00096403">
        <w:tblPrEx>
          <w:tblCellMar>
            <w:top w:w="0" w:type="dxa"/>
            <w:left w:w="0" w:type="dxa"/>
            <w:bottom w:w="0" w:type="dxa"/>
            <w:right w:w="0" w:type="dxa"/>
          </w:tblCellMar>
        </w:tblPrEx>
        <w:trPr>
          <w:trHeight w:val="113"/>
        </w:trPr>
        <w:tc>
          <w:tcPr>
            <w:tcW w:w="4479"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rPr>
                <w:spacing w:val="-2"/>
              </w:rPr>
              <w:t>Emergency Services Telecommunications Authority</w:t>
            </w:r>
          </w:p>
        </w:tc>
        <w:tc>
          <w:tcPr>
            <w:tcW w:w="69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12</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-1</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7</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1</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5</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-2</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2"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r>
      <w:tr w:rsidRPr="00096403" w:rsidR="000D6E6A" w:rsidTr="00096403">
        <w:tblPrEx>
          <w:tblCellMar>
            <w:top w:w="0" w:type="dxa"/>
            <w:left w:w="0" w:type="dxa"/>
            <w:bottom w:w="0" w:type="dxa"/>
            <w:right w:w="0" w:type="dxa"/>
          </w:tblCellMar>
        </w:tblPrEx>
        <w:trPr>
          <w:trHeight w:val="113"/>
        </w:trPr>
        <w:tc>
          <w:tcPr>
            <w:tcW w:w="4479"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Greyhound Racing Victoria</w:t>
            </w:r>
          </w:p>
        </w:tc>
        <w:tc>
          <w:tcPr>
            <w:tcW w:w="69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9</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6</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3</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2"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r>
      <w:tr w:rsidRPr="00096403" w:rsidR="000D6E6A" w:rsidTr="00096403">
        <w:tblPrEx>
          <w:tblCellMar>
            <w:top w:w="0" w:type="dxa"/>
            <w:left w:w="0" w:type="dxa"/>
            <w:bottom w:w="0" w:type="dxa"/>
            <w:right w:w="0" w:type="dxa"/>
          </w:tblCellMar>
        </w:tblPrEx>
        <w:trPr>
          <w:trHeight w:val="113"/>
        </w:trPr>
        <w:tc>
          <w:tcPr>
            <w:tcW w:w="4479"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Harness Racing Victoria</w:t>
            </w:r>
          </w:p>
        </w:tc>
        <w:tc>
          <w:tcPr>
            <w:tcW w:w="69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7</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2</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6</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1</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1</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1</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2"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r>
      <w:tr w:rsidRPr="00096403" w:rsidR="000D6E6A" w:rsidTr="00096403">
        <w:tblPrEx>
          <w:tblCellMar>
            <w:top w:w="0" w:type="dxa"/>
            <w:left w:w="0" w:type="dxa"/>
            <w:bottom w:w="0" w:type="dxa"/>
            <w:right w:w="0" w:type="dxa"/>
          </w:tblCellMar>
        </w:tblPrEx>
        <w:trPr>
          <w:trHeight w:val="113"/>
        </w:trPr>
        <w:tc>
          <w:tcPr>
            <w:tcW w:w="4479"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Metropolitan Fire and Emergency Services Board</w:t>
            </w:r>
          </w:p>
        </w:tc>
        <w:tc>
          <w:tcPr>
            <w:tcW w:w="69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14</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-1</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10</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-2</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4</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1</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2"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r>
      <w:tr w:rsidRPr="00096403" w:rsidR="000D6E6A" w:rsidTr="00096403">
        <w:tblPrEx>
          <w:tblCellMar>
            <w:top w:w="0" w:type="dxa"/>
            <w:left w:w="0" w:type="dxa"/>
            <w:bottom w:w="0" w:type="dxa"/>
            <w:right w:w="0" w:type="dxa"/>
          </w:tblCellMar>
        </w:tblPrEx>
        <w:trPr>
          <w:trHeight w:val="113"/>
        </w:trPr>
        <w:tc>
          <w:tcPr>
            <w:tcW w:w="4479"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Office of Public Prosecutions </w:t>
            </w:r>
          </w:p>
        </w:tc>
        <w:tc>
          <w:tcPr>
            <w:tcW w:w="69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4</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1</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3</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1</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1</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2"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r>
      <w:tr w:rsidRPr="00096403" w:rsidR="000D6E6A" w:rsidTr="00096403">
        <w:tblPrEx>
          <w:tblCellMar>
            <w:top w:w="0" w:type="dxa"/>
            <w:left w:w="0" w:type="dxa"/>
            <w:bottom w:w="0" w:type="dxa"/>
            <w:right w:w="0" w:type="dxa"/>
          </w:tblCellMar>
        </w:tblPrEx>
        <w:trPr>
          <w:trHeight w:val="113"/>
        </w:trPr>
        <w:tc>
          <w:tcPr>
            <w:tcW w:w="4479"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Victoria Law Foundation</w:t>
            </w:r>
          </w:p>
        </w:tc>
        <w:tc>
          <w:tcPr>
            <w:tcW w:w="69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1</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1</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2"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r>
      <w:tr w:rsidRPr="00096403" w:rsidR="000D6E6A" w:rsidTr="00096403">
        <w:tblPrEx>
          <w:tblCellMar>
            <w:top w:w="0" w:type="dxa"/>
            <w:left w:w="0" w:type="dxa"/>
            <w:bottom w:w="0" w:type="dxa"/>
            <w:right w:w="0" w:type="dxa"/>
          </w:tblCellMar>
        </w:tblPrEx>
        <w:trPr>
          <w:trHeight w:val="113"/>
        </w:trPr>
        <w:tc>
          <w:tcPr>
            <w:tcW w:w="4479"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Victoria Legal Aid</w:t>
            </w:r>
          </w:p>
        </w:tc>
        <w:tc>
          <w:tcPr>
            <w:tcW w:w="69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8</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3</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5</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2"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r>
      <w:tr w:rsidRPr="00096403" w:rsidR="000D6E6A" w:rsidTr="00096403">
        <w:tblPrEx>
          <w:tblCellMar>
            <w:top w:w="0" w:type="dxa"/>
            <w:left w:w="0" w:type="dxa"/>
            <w:bottom w:w="0" w:type="dxa"/>
            <w:right w:w="0" w:type="dxa"/>
          </w:tblCellMar>
        </w:tblPrEx>
        <w:trPr>
          <w:trHeight w:val="113"/>
        </w:trPr>
        <w:tc>
          <w:tcPr>
            <w:tcW w:w="4479"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Victoria Police (Public Service)</w:t>
            </w:r>
          </w:p>
        </w:tc>
        <w:tc>
          <w:tcPr>
            <w:tcW w:w="69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27</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6</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12</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15</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6</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2"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r>
      <w:tr w:rsidRPr="00096403" w:rsidR="000D6E6A" w:rsidTr="00096403">
        <w:tblPrEx>
          <w:tblCellMar>
            <w:top w:w="0" w:type="dxa"/>
            <w:left w:w="0" w:type="dxa"/>
            <w:bottom w:w="0" w:type="dxa"/>
            <w:right w:w="0" w:type="dxa"/>
          </w:tblCellMar>
        </w:tblPrEx>
        <w:trPr>
          <w:trHeight w:val="113"/>
        </w:trPr>
        <w:tc>
          <w:tcPr>
            <w:tcW w:w="4479"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lastRenderedPageBreak/>
              <w:t>Victoria State Emergency Service</w:t>
            </w:r>
          </w:p>
        </w:tc>
        <w:tc>
          <w:tcPr>
            <w:tcW w:w="69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6</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1</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4</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1</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2</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2"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r>
      <w:tr w:rsidRPr="00096403" w:rsidR="000D6E6A" w:rsidTr="00096403">
        <w:tblPrEx>
          <w:tblCellMar>
            <w:top w:w="0" w:type="dxa"/>
            <w:left w:w="0" w:type="dxa"/>
            <w:bottom w:w="0" w:type="dxa"/>
            <w:right w:w="0" w:type="dxa"/>
          </w:tblCellMar>
        </w:tblPrEx>
        <w:trPr>
          <w:trHeight w:val="113"/>
        </w:trPr>
        <w:tc>
          <w:tcPr>
            <w:tcW w:w="4479"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Victorian Commission for Gambling and Liquor Regulation</w:t>
            </w:r>
          </w:p>
        </w:tc>
        <w:tc>
          <w:tcPr>
            <w:tcW w:w="69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6</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3</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3</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2"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r>
      <w:tr w:rsidRPr="00096403" w:rsidR="000D6E6A" w:rsidTr="00096403">
        <w:tblPrEx>
          <w:tblCellMar>
            <w:top w:w="0" w:type="dxa"/>
            <w:left w:w="0" w:type="dxa"/>
            <w:bottom w:w="0" w:type="dxa"/>
            <w:right w:w="0" w:type="dxa"/>
          </w:tblCellMar>
        </w:tblPrEx>
        <w:trPr>
          <w:trHeight w:val="113"/>
        </w:trPr>
        <w:tc>
          <w:tcPr>
            <w:tcW w:w="4479"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Victorian Equal Opportunity and Human Rights Commission</w:t>
            </w:r>
          </w:p>
        </w:tc>
        <w:tc>
          <w:tcPr>
            <w:tcW w:w="69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2</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2</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2"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r>
      <w:tr w:rsidRPr="00096403" w:rsidR="000D6E6A" w:rsidTr="00096403">
        <w:tblPrEx>
          <w:tblCellMar>
            <w:top w:w="0" w:type="dxa"/>
            <w:left w:w="0" w:type="dxa"/>
            <w:bottom w:w="0" w:type="dxa"/>
            <w:right w:w="0" w:type="dxa"/>
          </w:tblCellMar>
        </w:tblPrEx>
        <w:trPr>
          <w:trHeight w:val="113"/>
        </w:trPr>
        <w:tc>
          <w:tcPr>
            <w:tcW w:w="4479"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 xml:space="preserve">Victorian Government Solicitor’s </w:t>
            </w:r>
            <w:proofErr w:type="spellStart"/>
            <w:r w:rsidRPr="00096403">
              <w:t>Office</w:t>
            </w:r>
            <w:r w:rsidRPr="00096403">
              <w:rPr>
                <w:rStyle w:val="Superscript"/>
              </w:rPr>
              <w:t>b</w:t>
            </w:r>
            <w:proofErr w:type="spellEnd"/>
          </w:p>
        </w:tc>
        <w:tc>
          <w:tcPr>
            <w:tcW w:w="69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6</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2</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4</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2"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r>
      <w:tr w:rsidRPr="00096403" w:rsidR="000D6E6A" w:rsidTr="00096403">
        <w:tblPrEx>
          <w:tblCellMar>
            <w:top w:w="0" w:type="dxa"/>
            <w:left w:w="0" w:type="dxa"/>
            <w:bottom w:w="0" w:type="dxa"/>
            <w:right w:w="0" w:type="dxa"/>
          </w:tblCellMar>
        </w:tblPrEx>
        <w:trPr>
          <w:trHeight w:val="113"/>
        </w:trPr>
        <w:tc>
          <w:tcPr>
            <w:tcW w:w="4479"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Victorian Institute of Forensic Medicine</w:t>
            </w:r>
          </w:p>
        </w:tc>
        <w:tc>
          <w:tcPr>
            <w:tcW w:w="69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1</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1</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2"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r>
      <w:tr w:rsidRPr="00096403" w:rsidR="000D6E6A" w:rsidTr="00096403">
        <w:tblPrEx>
          <w:tblCellMar>
            <w:top w:w="0" w:type="dxa"/>
            <w:left w:w="0" w:type="dxa"/>
            <w:bottom w:w="0" w:type="dxa"/>
            <w:right w:w="0" w:type="dxa"/>
          </w:tblCellMar>
        </w:tblPrEx>
        <w:trPr>
          <w:trHeight w:val="113"/>
        </w:trPr>
        <w:tc>
          <w:tcPr>
            <w:tcW w:w="4479"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rPr>
                <w:spacing w:val="-2"/>
              </w:rPr>
              <w:t>Victorian Legal Services Board and Commissioner </w:t>
            </w:r>
          </w:p>
        </w:tc>
        <w:tc>
          <w:tcPr>
            <w:tcW w:w="69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3</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1</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2</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1</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1</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2"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r>
      <w:tr w:rsidRPr="00096403" w:rsidR="000D6E6A" w:rsidTr="00096403">
        <w:tblPrEx>
          <w:tblCellMar>
            <w:top w:w="0" w:type="dxa"/>
            <w:left w:w="0" w:type="dxa"/>
            <w:bottom w:w="0" w:type="dxa"/>
            <w:right w:w="0" w:type="dxa"/>
          </w:tblCellMar>
        </w:tblPrEx>
        <w:trPr>
          <w:trHeight w:val="113"/>
        </w:trPr>
        <w:tc>
          <w:tcPr>
            <w:tcW w:w="4479"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Victorian Responsible Gambling Foundation</w:t>
            </w:r>
          </w:p>
        </w:tc>
        <w:tc>
          <w:tcPr>
            <w:tcW w:w="69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1</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1</w:t>
            </w:r>
          </w:p>
        </w:tc>
        <w:tc>
          <w:tcPr>
            <w:tcW w:w="691" w:type="dxa"/>
            <w:tcBorders>
              <w:top w:val="dotted" w:color="542E8E" w:sz="4" w:space="0"/>
              <w:left w:val="nil"/>
              <w:bottom w:val="dotted"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1" w:type="dxa"/>
            <w:tcBorders>
              <w:top w:val="dotted" w:color="542E8E" w:sz="4" w:space="0"/>
              <w:left w:val="single" w:color="542E8E" w:sz="4" w:space="0"/>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c>
          <w:tcPr>
            <w:tcW w:w="692"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0</w:t>
            </w:r>
          </w:p>
        </w:tc>
      </w:tr>
      <w:tr w:rsidRPr="00096403" w:rsidR="000D6E6A" w:rsidTr="00096403">
        <w:tblPrEx>
          <w:tblCellMar>
            <w:top w:w="0" w:type="dxa"/>
            <w:left w:w="0" w:type="dxa"/>
            <w:bottom w:w="0" w:type="dxa"/>
            <w:right w:w="0" w:type="dxa"/>
          </w:tblCellMar>
        </w:tblPrEx>
        <w:trPr>
          <w:trHeight w:val="113"/>
        </w:trPr>
        <w:tc>
          <w:tcPr>
            <w:tcW w:w="4479" w:type="dxa"/>
            <w:tcBorders>
              <w:top w:val="dotted" w:color="542E8E" w:sz="4" w:space="0"/>
              <w:left w:val="nil"/>
              <w:bottom w:val="single" w:color="542E8E" w:sz="4" w:space="0"/>
              <w:right w:val="nil"/>
            </w:tcBorders>
            <w:tcMar>
              <w:top w:w="57" w:type="dxa"/>
              <w:left w:w="57" w:type="dxa"/>
              <w:bottom w:w="57" w:type="dxa"/>
              <w:right w:w="57" w:type="dxa"/>
            </w:tcMar>
          </w:tcPr>
          <w:p w:rsidRPr="00096403" w:rsidR="000D6E6A" w:rsidRDefault="000D6E6A">
            <w:pPr>
              <w:pStyle w:val="bodycopytabletable"/>
            </w:pPr>
            <w:r w:rsidRPr="00096403">
              <w:rPr>
                <w:rStyle w:val="medium"/>
                <w:b/>
                <w:bCs/>
              </w:rPr>
              <w:t>Total</w:t>
            </w:r>
          </w:p>
        </w:tc>
        <w:tc>
          <w:tcPr>
            <w:tcW w:w="691" w:type="dxa"/>
            <w:tcBorders>
              <w:top w:val="dotted" w:color="542E8E" w:sz="4" w:space="0"/>
              <w:left w:val="nil"/>
              <w:bottom w:val="single"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rPr>
                <w:rStyle w:val="medium"/>
                <w:b/>
                <w:bCs/>
              </w:rPr>
              <w:t>139</w:t>
            </w:r>
          </w:p>
        </w:tc>
        <w:tc>
          <w:tcPr>
            <w:tcW w:w="691" w:type="dxa"/>
            <w:tcBorders>
              <w:top w:val="dotted" w:color="542E8E" w:sz="4" w:space="0"/>
              <w:left w:val="nil"/>
              <w:bottom w:val="single"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rPr>
                <w:rStyle w:val="medium"/>
                <w:b/>
                <w:bCs/>
              </w:rPr>
              <w:t>16</w:t>
            </w:r>
          </w:p>
        </w:tc>
        <w:tc>
          <w:tcPr>
            <w:tcW w:w="691" w:type="dxa"/>
            <w:tcBorders>
              <w:top w:val="dotted" w:color="542E8E" w:sz="4" w:space="0"/>
              <w:left w:val="single" w:color="542E8E" w:sz="4" w:space="0"/>
              <w:bottom w:val="single"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rPr>
                <w:rStyle w:val="medium"/>
                <w:b/>
                <w:bCs/>
              </w:rPr>
              <w:t>80</w:t>
            </w:r>
          </w:p>
        </w:tc>
        <w:tc>
          <w:tcPr>
            <w:tcW w:w="691" w:type="dxa"/>
            <w:tcBorders>
              <w:top w:val="dotted" w:color="542E8E" w:sz="4" w:space="0"/>
              <w:left w:val="nil"/>
              <w:bottom w:val="single"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rPr>
                <w:rStyle w:val="medium"/>
                <w:b/>
                <w:bCs/>
              </w:rPr>
              <w:t>9</w:t>
            </w:r>
          </w:p>
        </w:tc>
        <w:tc>
          <w:tcPr>
            <w:tcW w:w="691" w:type="dxa"/>
            <w:tcBorders>
              <w:top w:val="dotted" w:color="542E8E" w:sz="4" w:space="0"/>
              <w:left w:val="single" w:color="542E8E" w:sz="4" w:space="0"/>
              <w:bottom w:val="single"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rPr>
                <w:rStyle w:val="medium"/>
                <w:b/>
                <w:bCs/>
              </w:rPr>
              <w:t>59</w:t>
            </w:r>
          </w:p>
        </w:tc>
        <w:tc>
          <w:tcPr>
            <w:tcW w:w="691" w:type="dxa"/>
            <w:tcBorders>
              <w:top w:val="dotted" w:color="542E8E" w:sz="4" w:space="0"/>
              <w:left w:val="nil"/>
              <w:bottom w:val="single" w:color="542E8E" w:sz="4" w:space="0"/>
              <w:right w:val="single" w:color="542E8E" w:sz="4" w:space="0"/>
            </w:tcBorders>
            <w:tcMar>
              <w:top w:w="57" w:type="dxa"/>
              <w:left w:w="57" w:type="dxa"/>
              <w:bottom w:w="57" w:type="dxa"/>
              <w:right w:w="57" w:type="dxa"/>
            </w:tcMar>
          </w:tcPr>
          <w:p w:rsidRPr="00096403" w:rsidR="000D6E6A" w:rsidRDefault="000D6E6A">
            <w:pPr>
              <w:pStyle w:val="bodycopytabletable"/>
              <w:jc w:val="right"/>
            </w:pPr>
            <w:r w:rsidRPr="00096403">
              <w:rPr>
                <w:rStyle w:val="medium"/>
                <w:b/>
                <w:bCs/>
              </w:rPr>
              <w:t>7</w:t>
            </w:r>
          </w:p>
        </w:tc>
        <w:tc>
          <w:tcPr>
            <w:tcW w:w="691" w:type="dxa"/>
            <w:tcBorders>
              <w:top w:val="dotted" w:color="542E8E" w:sz="4" w:space="0"/>
              <w:left w:val="single" w:color="542E8E" w:sz="4" w:space="0"/>
              <w:bottom w:val="single"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rPr>
                <w:rStyle w:val="medium"/>
                <w:b/>
                <w:bCs/>
              </w:rPr>
              <w:t>0</w:t>
            </w:r>
          </w:p>
        </w:tc>
        <w:tc>
          <w:tcPr>
            <w:tcW w:w="692" w:type="dxa"/>
            <w:tcBorders>
              <w:top w:val="dotted" w:color="542E8E" w:sz="4" w:space="0"/>
              <w:left w:val="nil"/>
              <w:bottom w:val="single"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rPr>
                <w:rStyle w:val="medium"/>
                <w:b/>
                <w:bCs/>
              </w:rPr>
              <w:t>0</w:t>
            </w:r>
          </w:p>
        </w:tc>
      </w:tr>
    </w:tbl>
    <w:p w:rsidR="000D6E6A" w:rsidP="00096403" w:rsidRDefault="000D6E6A">
      <w:pPr>
        <w:pStyle w:val="notesspantable"/>
        <w:tabs>
          <w:tab w:val="clear" w:pos="283"/>
        </w:tabs>
        <w:spacing w:before="60"/>
        <w:ind w:left="284" w:hanging="284"/>
      </w:pPr>
      <w:r>
        <w:t>a.</w:t>
      </w:r>
      <w:r>
        <w:tab/>
        <w:t>From 2017–18, Financial Reporting Direction 29C requires that disclosure of gender include three categories: women, men and self-described. ‘Woman’ and ‘man’ are gender identity terms. Some employees use terms such as ‘gender diverse’, ‘non-binary’ or a number of other terms to describe their gender identity. Employees may wish to use ‘self-described’ to report their gender identity.</w:t>
      </w:r>
    </w:p>
    <w:p w:rsidR="000D6E6A" w:rsidP="00096403" w:rsidRDefault="000D6E6A">
      <w:pPr>
        <w:pStyle w:val="notesspantable"/>
        <w:spacing w:after="240"/>
      </w:pPr>
      <w:r>
        <w:t>b.</w:t>
      </w:r>
      <w:r>
        <w:tab/>
        <w:t xml:space="preserve">The Victorian Government Solicitor’s Office is an administrative office under the </w:t>
      </w:r>
      <w:r>
        <w:rPr>
          <w:rStyle w:val="italic"/>
        </w:rPr>
        <w:t>Public Administration Act 2004</w:t>
      </w:r>
      <w:r>
        <w:t xml:space="preserve">.  </w:t>
      </w:r>
    </w:p>
    <w:p w:rsidR="000D6E6A" w:rsidRDefault="000D6E6A">
      <w:pPr>
        <w:pStyle w:val="H3"/>
      </w:pPr>
      <w:r>
        <w:t>Comparative workforce data</w:t>
      </w:r>
    </w:p>
    <w:p w:rsidR="000D6E6A" w:rsidRDefault="000D6E6A">
      <w:pPr>
        <w:pStyle w:val="Bodycopy"/>
      </w:pPr>
      <w:r>
        <w:t>The following tables disclose the annualised total salary for senior employees of the department and the Victorian Government Solicitor’s Office, categorised by classification, employed in the last full pay period in June of the current reporting period. The salary amount is reported as the full-time annualised salary.</w:t>
      </w:r>
    </w:p>
    <w:p w:rsidR="000D6E6A" w:rsidRDefault="000D6E6A">
      <w:pPr>
        <w:pStyle w:val="Bodycopy"/>
        <w:spacing w:after="57"/>
        <w:rPr>
          <w:rStyle w:val="RegularItalic"/>
        </w:rPr>
      </w:pPr>
      <w:r>
        <w:rPr>
          <w:rStyle w:val="RegularItalic"/>
        </w:rPr>
        <w:t>Annualised total salary, by $20,000 bands, for executives and other senior non-executive staff of the department</w:t>
      </w:r>
    </w:p>
    <w:tbl>
      <w:tblPr>
        <w:tblW w:w="0" w:type="auto"/>
        <w:tblInd w:w="57" w:type="dxa"/>
        <w:tblLayout w:type="fixed"/>
        <w:tblCellMar>
          <w:left w:w="0" w:type="dxa"/>
          <w:right w:w="0" w:type="dxa"/>
        </w:tblCellMar>
        <w:tblLook w:firstRow="0" w:lastRow="0" w:firstColumn="0" w:lastColumn="0" w:noHBand="0" w:noVBand="0" w:val="0000"/>
      </w:tblPr>
      <w:tblGrid>
        <w:gridCol w:w="2778"/>
        <w:gridCol w:w="1814"/>
        <w:gridCol w:w="3006"/>
        <w:gridCol w:w="1473"/>
      </w:tblGrid>
      <w:tr w:rsidRPr="00096403" w:rsidR="000D6E6A" w:rsidTr="00096403">
        <w:tblPrEx>
          <w:tblCellMar>
            <w:top w:w="0" w:type="dxa"/>
            <w:left w:w="0" w:type="dxa"/>
            <w:bottom w:w="0" w:type="dxa"/>
            <w:right w:w="0" w:type="dxa"/>
          </w:tblCellMar>
        </w:tblPrEx>
        <w:trPr>
          <w:trHeight w:val="113"/>
          <w:tblHeader/>
        </w:trPr>
        <w:tc>
          <w:tcPr>
            <w:tcW w:w="2778"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096403" w:rsidR="000D6E6A" w:rsidRDefault="000D6E6A">
            <w:pPr>
              <w:pStyle w:val="bodycopytabletable"/>
            </w:pPr>
            <w:r w:rsidRPr="00096403">
              <w:rPr>
                <w:rStyle w:val="mediumpurple"/>
                <w:b/>
                <w:bCs/>
              </w:rPr>
              <w:t>Income band (salary)</w:t>
            </w:r>
          </w:p>
        </w:tc>
        <w:tc>
          <w:tcPr>
            <w:tcW w:w="1814"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096403" w:rsidR="000D6E6A" w:rsidRDefault="000D6E6A">
            <w:pPr>
              <w:pStyle w:val="bodycopytabletable"/>
              <w:jc w:val="right"/>
            </w:pPr>
            <w:r w:rsidRPr="00096403">
              <w:rPr>
                <w:rStyle w:val="mediumpurple"/>
                <w:b/>
                <w:bCs/>
              </w:rPr>
              <w:t>Executives</w:t>
            </w:r>
          </w:p>
        </w:tc>
        <w:tc>
          <w:tcPr>
            <w:tcW w:w="3006"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096403" w:rsidR="000D6E6A" w:rsidRDefault="000D6E6A">
            <w:pPr>
              <w:pStyle w:val="bodycopytabletable"/>
              <w:jc w:val="right"/>
            </w:pPr>
            <w:r w:rsidRPr="00096403">
              <w:rPr>
                <w:rStyle w:val="mediumpurple"/>
                <w:b/>
                <w:bCs/>
                <w:spacing w:val="-5"/>
              </w:rPr>
              <w:t xml:space="preserve">Senior technical specialist (STS) </w:t>
            </w:r>
          </w:p>
        </w:tc>
        <w:tc>
          <w:tcPr>
            <w:tcW w:w="1473"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096403" w:rsidR="000D6E6A" w:rsidRDefault="000D6E6A">
            <w:pPr>
              <w:pStyle w:val="bodycopytabletable"/>
              <w:jc w:val="right"/>
            </w:pPr>
            <w:r w:rsidRPr="00096403">
              <w:rPr>
                <w:rStyle w:val="mediumpurple"/>
                <w:b/>
                <w:bCs/>
              </w:rPr>
              <w:t>Other</w:t>
            </w:r>
          </w:p>
        </w:tc>
      </w:tr>
      <w:tr w:rsidRPr="00096403" w:rsidR="000D6E6A" w:rsidTr="00096403">
        <w:tblPrEx>
          <w:tblCellMar>
            <w:top w:w="0" w:type="dxa"/>
            <w:left w:w="0" w:type="dxa"/>
            <w:bottom w:w="0" w:type="dxa"/>
            <w:right w:w="0" w:type="dxa"/>
          </w:tblCellMar>
        </w:tblPrEx>
        <w:trPr>
          <w:trHeight w:val="113"/>
        </w:trPr>
        <w:tc>
          <w:tcPr>
            <w:tcW w:w="2778"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 xml:space="preserve">&lt; $160,000 </w:t>
            </w:r>
          </w:p>
        </w:tc>
        <w:tc>
          <w:tcPr>
            <w:tcW w:w="1814"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c>
          <w:tcPr>
            <w:tcW w:w="3006"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5</w:t>
            </w:r>
          </w:p>
        </w:tc>
        <w:tc>
          <w:tcPr>
            <w:tcW w:w="1473"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r>
      <w:tr w:rsidRPr="00096403" w:rsidR="000D6E6A" w:rsidTr="00096403">
        <w:tblPrEx>
          <w:tblCellMar>
            <w:top w:w="0" w:type="dxa"/>
            <w:left w:w="0" w:type="dxa"/>
            <w:bottom w:w="0" w:type="dxa"/>
            <w:right w:w="0" w:type="dxa"/>
          </w:tblCellMar>
        </w:tblPrEx>
        <w:trPr>
          <w:trHeight w:val="113"/>
        </w:trPr>
        <w:tc>
          <w:tcPr>
            <w:tcW w:w="2778"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 xml:space="preserve">$160,000 - 179,999       </w:t>
            </w:r>
          </w:p>
        </w:tc>
        <w:tc>
          <w:tcPr>
            <w:tcW w:w="1814"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16</w:t>
            </w:r>
            <w:r w:rsidRPr="00096403">
              <w:rPr>
                <w:rStyle w:val="Superscript"/>
              </w:rPr>
              <w:t>a</w:t>
            </w:r>
          </w:p>
        </w:tc>
        <w:tc>
          <w:tcPr>
            <w:tcW w:w="3006"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11</w:t>
            </w:r>
          </w:p>
        </w:tc>
        <w:tc>
          <w:tcPr>
            <w:tcW w:w="1473"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5</w:t>
            </w:r>
          </w:p>
        </w:tc>
      </w:tr>
      <w:tr w:rsidRPr="00096403" w:rsidR="000D6E6A" w:rsidTr="00096403">
        <w:tblPrEx>
          <w:tblCellMar>
            <w:top w:w="0" w:type="dxa"/>
            <w:left w:w="0" w:type="dxa"/>
            <w:bottom w:w="0" w:type="dxa"/>
            <w:right w:w="0" w:type="dxa"/>
          </w:tblCellMar>
        </w:tblPrEx>
        <w:trPr>
          <w:trHeight w:val="113"/>
        </w:trPr>
        <w:tc>
          <w:tcPr>
            <w:tcW w:w="2778"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$180,000 - 199,999</w:t>
            </w:r>
          </w:p>
        </w:tc>
        <w:tc>
          <w:tcPr>
            <w:tcW w:w="1814"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14</w:t>
            </w:r>
            <w:r w:rsidRPr="00096403">
              <w:rPr>
                <w:rStyle w:val="Superscript"/>
              </w:rPr>
              <w:t>b</w:t>
            </w:r>
          </w:p>
        </w:tc>
        <w:tc>
          <w:tcPr>
            <w:tcW w:w="3006"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17</w:t>
            </w:r>
          </w:p>
        </w:tc>
        <w:tc>
          <w:tcPr>
            <w:tcW w:w="1473"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r>
      <w:tr w:rsidRPr="00096403" w:rsidR="000D6E6A" w:rsidTr="00096403">
        <w:tblPrEx>
          <w:tblCellMar>
            <w:top w:w="0" w:type="dxa"/>
            <w:left w:w="0" w:type="dxa"/>
            <w:bottom w:w="0" w:type="dxa"/>
            <w:right w:w="0" w:type="dxa"/>
          </w:tblCellMar>
        </w:tblPrEx>
        <w:trPr>
          <w:trHeight w:val="113"/>
        </w:trPr>
        <w:tc>
          <w:tcPr>
            <w:tcW w:w="2778"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$200,000 - 219,999</w:t>
            </w:r>
          </w:p>
        </w:tc>
        <w:tc>
          <w:tcPr>
            <w:tcW w:w="1814"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15</w:t>
            </w:r>
          </w:p>
        </w:tc>
        <w:tc>
          <w:tcPr>
            <w:tcW w:w="3006"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7</w:t>
            </w:r>
          </w:p>
        </w:tc>
        <w:tc>
          <w:tcPr>
            <w:tcW w:w="1473"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r>
      <w:tr w:rsidRPr="00096403" w:rsidR="000D6E6A" w:rsidTr="00096403">
        <w:tblPrEx>
          <w:tblCellMar>
            <w:top w:w="0" w:type="dxa"/>
            <w:left w:w="0" w:type="dxa"/>
            <w:bottom w:w="0" w:type="dxa"/>
            <w:right w:w="0" w:type="dxa"/>
          </w:tblCellMar>
        </w:tblPrEx>
        <w:trPr>
          <w:trHeight w:val="113"/>
        </w:trPr>
        <w:tc>
          <w:tcPr>
            <w:tcW w:w="2778"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 xml:space="preserve">$220,000 - 239,999 </w:t>
            </w:r>
          </w:p>
        </w:tc>
        <w:tc>
          <w:tcPr>
            <w:tcW w:w="1814"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8</w:t>
            </w:r>
          </w:p>
        </w:tc>
        <w:tc>
          <w:tcPr>
            <w:tcW w:w="3006"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c>
          <w:tcPr>
            <w:tcW w:w="1473"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r>
      <w:tr w:rsidRPr="00096403" w:rsidR="000D6E6A" w:rsidTr="00096403">
        <w:tblPrEx>
          <w:tblCellMar>
            <w:top w:w="0" w:type="dxa"/>
            <w:left w:w="0" w:type="dxa"/>
            <w:bottom w:w="0" w:type="dxa"/>
            <w:right w:w="0" w:type="dxa"/>
          </w:tblCellMar>
        </w:tblPrEx>
        <w:trPr>
          <w:trHeight w:val="113"/>
        </w:trPr>
        <w:tc>
          <w:tcPr>
            <w:tcW w:w="2778"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 xml:space="preserve">$240,000 - 259,999 </w:t>
            </w:r>
          </w:p>
        </w:tc>
        <w:tc>
          <w:tcPr>
            <w:tcW w:w="1814"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6</w:t>
            </w:r>
          </w:p>
        </w:tc>
        <w:tc>
          <w:tcPr>
            <w:tcW w:w="3006"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c>
          <w:tcPr>
            <w:tcW w:w="1473"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r>
      <w:tr w:rsidRPr="00096403" w:rsidR="000D6E6A" w:rsidTr="00096403">
        <w:tblPrEx>
          <w:tblCellMar>
            <w:top w:w="0" w:type="dxa"/>
            <w:left w:w="0" w:type="dxa"/>
            <w:bottom w:w="0" w:type="dxa"/>
            <w:right w:w="0" w:type="dxa"/>
          </w:tblCellMar>
        </w:tblPrEx>
        <w:trPr>
          <w:trHeight w:val="113"/>
        </w:trPr>
        <w:tc>
          <w:tcPr>
            <w:tcW w:w="2778"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 xml:space="preserve">$260,000 - 279,999 </w:t>
            </w:r>
          </w:p>
        </w:tc>
        <w:tc>
          <w:tcPr>
            <w:tcW w:w="1814"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5</w:t>
            </w:r>
          </w:p>
        </w:tc>
        <w:tc>
          <w:tcPr>
            <w:tcW w:w="3006"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c>
          <w:tcPr>
            <w:tcW w:w="1473"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r>
      <w:tr w:rsidRPr="00096403" w:rsidR="000D6E6A" w:rsidTr="00096403">
        <w:tblPrEx>
          <w:tblCellMar>
            <w:top w:w="0" w:type="dxa"/>
            <w:left w:w="0" w:type="dxa"/>
            <w:bottom w:w="0" w:type="dxa"/>
            <w:right w:w="0" w:type="dxa"/>
          </w:tblCellMar>
        </w:tblPrEx>
        <w:trPr>
          <w:trHeight w:val="113"/>
        </w:trPr>
        <w:tc>
          <w:tcPr>
            <w:tcW w:w="2778"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 xml:space="preserve">$280,000 - 299,999 </w:t>
            </w:r>
          </w:p>
        </w:tc>
        <w:tc>
          <w:tcPr>
            <w:tcW w:w="1814"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c>
          <w:tcPr>
            <w:tcW w:w="3006"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c>
          <w:tcPr>
            <w:tcW w:w="1473"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1</w:t>
            </w:r>
          </w:p>
        </w:tc>
      </w:tr>
      <w:tr w:rsidRPr="00096403" w:rsidR="000D6E6A" w:rsidTr="00096403">
        <w:tblPrEx>
          <w:tblCellMar>
            <w:top w:w="0" w:type="dxa"/>
            <w:left w:w="0" w:type="dxa"/>
            <w:bottom w:w="0" w:type="dxa"/>
            <w:right w:w="0" w:type="dxa"/>
          </w:tblCellMar>
        </w:tblPrEx>
        <w:trPr>
          <w:trHeight w:val="113"/>
        </w:trPr>
        <w:tc>
          <w:tcPr>
            <w:tcW w:w="2778"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 xml:space="preserve">$300,000 - 319,999 </w:t>
            </w:r>
          </w:p>
        </w:tc>
        <w:tc>
          <w:tcPr>
            <w:tcW w:w="1814"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5</w:t>
            </w:r>
          </w:p>
        </w:tc>
        <w:tc>
          <w:tcPr>
            <w:tcW w:w="3006"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c>
          <w:tcPr>
            <w:tcW w:w="1473"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r>
      <w:tr w:rsidRPr="00096403" w:rsidR="000D6E6A" w:rsidTr="00096403">
        <w:tblPrEx>
          <w:tblCellMar>
            <w:top w:w="0" w:type="dxa"/>
            <w:left w:w="0" w:type="dxa"/>
            <w:bottom w:w="0" w:type="dxa"/>
            <w:right w:w="0" w:type="dxa"/>
          </w:tblCellMar>
        </w:tblPrEx>
        <w:trPr>
          <w:trHeight w:val="113"/>
        </w:trPr>
        <w:tc>
          <w:tcPr>
            <w:tcW w:w="2778"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 xml:space="preserve">$320,000 - 339,999 </w:t>
            </w:r>
          </w:p>
        </w:tc>
        <w:tc>
          <w:tcPr>
            <w:tcW w:w="1814"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2</w:t>
            </w:r>
          </w:p>
        </w:tc>
        <w:tc>
          <w:tcPr>
            <w:tcW w:w="3006"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c>
          <w:tcPr>
            <w:tcW w:w="1473"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r>
      <w:tr w:rsidRPr="00096403" w:rsidR="000D6E6A" w:rsidTr="00096403">
        <w:tblPrEx>
          <w:tblCellMar>
            <w:top w:w="0" w:type="dxa"/>
            <w:left w:w="0" w:type="dxa"/>
            <w:bottom w:w="0" w:type="dxa"/>
            <w:right w:w="0" w:type="dxa"/>
          </w:tblCellMar>
        </w:tblPrEx>
        <w:trPr>
          <w:trHeight w:val="113"/>
        </w:trPr>
        <w:tc>
          <w:tcPr>
            <w:tcW w:w="2778"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 xml:space="preserve">$340,000 - 359,999 </w:t>
            </w:r>
          </w:p>
        </w:tc>
        <w:tc>
          <w:tcPr>
            <w:tcW w:w="1814"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c>
          <w:tcPr>
            <w:tcW w:w="3006"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c>
          <w:tcPr>
            <w:tcW w:w="1473"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r>
      <w:tr w:rsidRPr="00096403" w:rsidR="000D6E6A" w:rsidTr="00096403">
        <w:tblPrEx>
          <w:tblCellMar>
            <w:top w:w="0" w:type="dxa"/>
            <w:left w:w="0" w:type="dxa"/>
            <w:bottom w:w="0" w:type="dxa"/>
            <w:right w:w="0" w:type="dxa"/>
          </w:tblCellMar>
        </w:tblPrEx>
        <w:trPr>
          <w:trHeight w:val="113"/>
        </w:trPr>
        <w:tc>
          <w:tcPr>
            <w:tcW w:w="2778"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$360,000 - 379,999</w:t>
            </w:r>
          </w:p>
        </w:tc>
        <w:tc>
          <w:tcPr>
            <w:tcW w:w="1814"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c>
          <w:tcPr>
            <w:tcW w:w="3006"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c>
          <w:tcPr>
            <w:tcW w:w="1473"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r>
      <w:tr w:rsidRPr="00096403" w:rsidR="000D6E6A" w:rsidTr="00096403">
        <w:tblPrEx>
          <w:tblCellMar>
            <w:top w:w="0" w:type="dxa"/>
            <w:left w:w="0" w:type="dxa"/>
            <w:bottom w:w="0" w:type="dxa"/>
            <w:right w:w="0" w:type="dxa"/>
          </w:tblCellMar>
        </w:tblPrEx>
        <w:trPr>
          <w:trHeight w:val="113"/>
        </w:trPr>
        <w:tc>
          <w:tcPr>
            <w:tcW w:w="2778"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 xml:space="preserve">$380,000 - 399,999 </w:t>
            </w:r>
          </w:p>
        </w:tc>
        <w:tc>
          <w:tcPr>
            <w:tcW w:w="1814"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1</w:t>
            </w:r>
          </w:p>
        </w:tc>
        <w:tc>
          <w:tcPr>
            <w:tcW w:w="3006"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c>
          <w:tcPr>
            <w:tcW w:w="1473"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r>
      <w:tr w:rsidRPr="00096403" w:rsidR="000D6E6A" w:rsidTr="00096403">
        <w:tblPrEx>
          <w:tblCellMar>
            <w:top w:w="0" w:type="dxa"/>
            <w:left w:w="0" w:type="dxa"/>
            <w:bottom w:w="0" w:type="dxa"/>
            <w:right w:w="0" w:type="dxa"/>
          </w:tblCellMar>
        </w:tblPrEx>
        <w:trPr>
          <w:trHeight w:val="113"/>
        </w:trPr>
        <w:tc>
          <w:tcPr>
            <w:tcW w:w="2778"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 xml:space="preserve">$400,000 - 419,999 </w:t>
            </w:r>
          </w:p>
        </w:tc>
        <w:tc>
          <w:tcPr>
            <w:tcW w:w="1814"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c>
          <w:tcPr>
            <w:tcW w:w="3006"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c>
          <w:tcPr>
            <w:tcW w:w="1473"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r>
      <w:tr w:rsidRPr="00096403" w:rsidR="000D6E6A" w:rsidTr="00096403">
        <w:tblPrEx>
          <w:tblCellMar>
            <w:top w:w="0" w:type="dxa"/>
            <w:left w:w="0" w:type="dxa"/>
            <w:bottom w:w="0" w:type="dxa"/>
            <w:right w:w="0" w:type="dxa"/>
          </w:tblCellMar>
        </w:tblPrEx>
        <w:trPr>
          <w:trHeight w:val="113"/>
        </w:trPr>
        <w:tc>
          <w:tcPr>
            <w:tcW w:w="2778"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 xml:space="preserve">$420,000 - 439,999 </w:t>
            </w:r>
          </w:p>
        </w:tc>
        <w:tc>
          <w:tcPr>
            <w:tcW w:w="1814"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c>
          <w:tcPr>
            <w:tcW w:w="3006"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c>
          <w:tcPr>
            <w:tcW w:w="1473"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r>
      <w:tr w:rsidRPr="00096403" w:rsidR="000D6E6A" w:rsidTr="00096403">
        <w:tblPrEx>
          <w:tblCellMar>
            <w:top w:w="0" w:type="dxa"/>
            <w:left w:w="0" w:type="dxa"/>
            <w:bottom w:w="0" w:type="dxa"/>
            <w:right w:w="0" w:type="dxa"/>
          </w:tblCellMar>
        </w:tblPrEx>
        <w:trPr>
          <w:trHeight w:val="113"/>
        </w:trPr>
        <w:tc>
          <w:tcPr>
            <w:tcW w:w="2778"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 xml:space="preserve">$440,000 - 459,999 </w:t>
            </w:r>
          </w:p>
        </w:tc>
        <w:tc>
          <w:tcPr>
            <w:tcW w:w="1814"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c>
          <w:tcPr>
            <w:tcW w:w="3006"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c>
          <w:tcPr>
            <w:tcW w:w="1473"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r>
      <w:tr w:rsidRPr="00096403" w:rsidR="000D6E6A" w:rsidTr="00096403">
        <w:tblPrEx>
          <w:tblCellMar>
            <w:top w:w="0" w:type="dxa"/>
            <w:left w:w="0" w:type="dxa"/>
            <w:bottom w:w="0" w:type="dxa"/>
            <w:right w:w="0" w:type="dxa"/>
          </w:tblCellMar>
        </w:tblPrEx>
        <w:trPr>
          <w:trHeight w:val="113"/>
        </w:trPr>
        <w:tc>
          <w:tcPr>
            <w:tcW w:w="2778"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 xml:space="preserve">$460,000 - 479,999 </w:t>
            </w:r>
          </w:p>
        </w:tc>
        <w:tc>
          <w:tcPr>
            <w:tcW w:w="1814"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c>
          <w:tcPr>
            <w:tcW w:w="3006"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c>
          <w:tcPr>
            <w:tcW w:w="1473"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r>
      <w:tr w:rsidRPr="00096403" w:rsidR="000D6E6A" w:rsidTr="00096403">
        <w:tblPrEx>
          <w:tblCellMar>
            <w:top w:w="0" w:type="dxa"/>
            <w:left w:w="0" w:type="dxa"/>
            <w:bottom w:w="0" w:type="dxa"/>
            <w:right w:w="0" w:type="dxa"/>
          </w:tblCellMar>
        </w:tblPrEx>
        <w:trPr>
          <w:trHeight w:val="113"/>
        </w:trPr>
        <w:tc>
          <w:tcPr>
            <w:tcW w:w="2778"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 xml:space="preserve">$480,000 - 499,999 </w:t>
            </w:r>
          </w:p>
        </w:tc>
        <w:tc>
          <w:tcPr>
            <w:tcW w:w="1814"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c>
          <w:tcPr>
            <w:tcW w:w="3006"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c>
          <w:tcPr>
            <w:tcW w:w="1473"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r>
      <w:tr w:rsidRPr="00096403" w:rsidR="000D6E6A" w:rsidTr="00096403">
        <w:tblPrEx>
          <w:tblCellMar>
            <w:top w:w="0" w:type="dxa"/>
            <w:left w:w="0" w:type="dxa"/>
            <w:bottom w:w="0" w:type="dxa"/>
            <w:right w:w="0" w:type="dxa"/>
          </w:tblCellMar>
        </w:tblPrEx>
        <w:trPr>
          <w:trHeight w:val="113"/>
        </w:trPr>
        <w:tc>
          <w:tcPr>
            <w:tcW w:w="2778"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 xml:space="preserve">$500,000 - 519,999 </w:t>
            </w:r>
          </w:p>
        </w:tc>
        <w:tc>
          <w:tcPr>
            <w:tcW w:w="1814"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t>1</w:t>
            </w:r>
          </w:p>
        </w:tc>
        <w:tc>
          <w:tcPr>
            <w:tcW w:w="3006"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c>
          <w:tcPr>
            <w:tcW w:w="1473"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r>
      <w:tr w:rsidRPr="00096403" w:rsidR="000D6E6A" w:rsidTr="00096403">
        <w:tblPrEx>
          <w:tblCellMar>
            <w:top w:w="0" w:type="dxa"/>
            <w:left w:w="0" w:type="dxa"/>
            <w:bottom w:w="0" w:type="dxa"/>
            <w:right w:w="0" w:type="dxa"/>
          </w:tblCellMar>
        </w:tblPrEx>
        <w:trPr>
          <w:trHeight w:val="113"/>
        </w:trPr>
        <w:tc>
          <w:tcPr>
            <w:tcW w:w="2778" w:type="dxa"/>
            <w:tcBorders>
              <w:top w:val="dotted" w:color="542E8E" w:sz="4" w:space="0"/>
              <w:left w:val="nil"/>
              <w:bottom w:val="single" w:color="542E8E" w:sz="4" w:space="0"/>
              <w:right w:val="nil"/>
            </w:tcBorders>
            <w:tcMar>
              <w:top w:w="57" w:type="dxa"/>
              <w:left w:w="57" w:type="dxa"/>
              <w:bottom w:w="57" w:type="dxa"/>
              <w:right w:w="57" w:type="dxa"/>
            </w:tcMar>
          </w:tcPr>
          <w:p w:rsidRPr="00096403" w:rsidR="000D6E6A" w:rsidRDefault="000D6E6A">
            <w:pPr>
              <w:pStyle w:val="bodycopytabletable"/>
            </w:pPr>
            <w:r w:rsidRPr="00096403">
              <w:rPr>
                <w:rStyle w:val="medium"/>
                <w:b/>
                <w:bCs/>
              </w:rPr>
              <w:t xml:space="preserve">Total </w:t>
            </w:r>
          </w:p>
        </w:tc>
        <w:tc>
          <w:tcPr>
            <w:tcW w:w="1814" w:type="dxa"/>
            <w:tcBorders>
              <w:top w:val="dotted" w:color="542E8E" w:sz="4" w:space="0"/>
              <w:left w:val="nil"/>
              <w:bottom w:val="single"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rPr>
                <w:rStyle w:val="medium"/>
                <w:b/>
                <w:bCs/>
              </w:rPr>
              <w:t>73</w:t>
            </w:r>
          </w:p>
        </w:tc>
        <w:tc>
          <w:tcPr>
            <w:tcW w:w="3006" w:type="dxa"/>
            <w:tcBorders>
              <w:top w:val="dotted" w:color="542E8E" w:sz="4" w:space="0"/>
              <w:left w:val="nil"/>
              <w:bottom w:val="single"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rPr>
                <w:rStyle w:val="medium"/>
                <w:b/>
                <w:bCs/>
              </w:rPr>
              <w:t>40</w:t>
            </w:r>
          </w:p>
        </w:tc>
        <w:tc>
          <w:tcPr>
            <w:tcW w:w="1473" w:type="dxa"/>
            <w:tcBorders>
              <w:top w:val="dotted" w:color="542E8E" w:sz="4" w:space="0"/>
              <w:left w:val="nil"/>
              <w:bottom w:val="single" w:color="542E8E" w:sz="4" w:space="0"/>
              <w:right w:val="nil"/>
            </w:tcBorders>
            <w:tcMar>
              <w:top w:w="57" w:type="dxa"/>
              <w:left w:w="57" w:type="dxa"/>
              <w:bottom w:w="57" w:type="dxa"/>
              <w:right w:w="57" w:type="dxa"/>
            </w:tcMar>
          </w:tcPr>
          <w:p w:rsidRPr="00096403" w:rsidR="000D6E6A" w:rsidRDefault="000D6E6A">
            <w:pPr>
              <w:pStyle w:val="bodycopytabletable"/>
              <w:jc w:val="right"/>
            </w:pPr>
            <w:r w:rsidRPr="00096403">
              <w:rPr>
                <w:rStyle w:val="medium"/>
                <w:b/>
                <w:bCs/>
              </w:rPr>
              <w:t>6</w:t>
            </w:r>
          </w:p>
        </w:tc>
      </w:tr>
    </w:tbl>
    <w:p w:rsidR="000D6E6A" w:rsidP="00096403" w:rsidRDefault="000D6E6A">
      <w:pPr>
        <w:pStyle w:val="notesspantable"/>
        <w:spacing w:before="60" w:after="0"/>
      </w:pPr>
      <w:r>
        <w:t>Notes:</w:t>
      </w:r>
    </w:p>
    <w:p w:rsidR="000D6E6A" w:rsidRDefault="000D6E6A">
      <w:pPr>
        <w:pStyle w:val="notesspantable"/>
        <w:spacing w:after="0"/>
      </w:pPr>
      <w:r>
        <w:t>The salaries reported above are for the full financial year, at a 1-FTE rate, and excludes superannuation and costs associated with vehicle leasing arrangements.</w:t>
      </w:r>
    </w:p>
    <w:p w:rsidR="000D6E6A" w:rsidRDefault="000D6E6A">
      <w:pPr>
        <w:pStyle w:val="notesspantable"/>
        <w:spacing w:after="0"/>
      </w:pPr>
      <w:proofErr w:type="spellStart"/>
      <w:r>
        <w:t>a</w:t>
      </w:r>
      <w:proofErr w:type="spellEnd"/>
      <w:r>
        <w:t xml:space="preserve"> </w:t>
      </w:r>
      <w:r>
        <w:tab/>
        <w:t>There are two executives employed on a part-time basis, one at a 0.8 FTE rate and one at a 0.9 FTE rate.</w:t>
      </w:r>
    </w:p>
    <w:p w:rsidR="000D6E6A" w:rsidRDefault="000D6E6A">
      <w:pPr>
        <w:pStyle w:val="notesspanlastrowtable"/>
        <w:spacing w:after="113"/>
      </w:pPr>
      <w:r>
        <w:t xml:space="preserve">b </w:t>
      </w:r>
      <w:r>
        <w:tab/>
        <w:t xml:space="preserve">There is one executive employed on a part-time basis at a 0.6 FTE rate. </w:t>
      </w:r>
    </w:p>
    <w:p w:rsidR="000D6E6A" w:rsidRDefault="000D6E6A">
      <w:pPr>
        <w:pStyle w:val="Bodycopy"/>
        <w:spacing w:after="57"/>
        <w:rPr>
          <w:rStyle w:val="RegularItalic"/>
        </w:rPr>
      </w:pPr>
      <w:r>
        <w:rPr>
          <w:rStyle w:val="RegularItalic"/>
        </w:rPr>
        <w:t>Annualised total salary, by $20,000 bands, for executives and other senior non-executive staff of the Victorian Government Solicitor’s Office</w:t>
      </w:r>
    </w:p>
    <w:tbl>
      <w:tblPr>
        <w:tblW w:w="0" w:type="auto"/>
        <w:tblInd w:w="57" w:type="dxa"/>
        <w:tblLayout w:type="fixed"/>
        <w:tblCellMar>
          <w:left w:w="0" w:type="dxa"/>
          <w:right w:w="0" w:type="dxa"/>
        </w:tblCellMar>
        <w:tblLook w:firstRow="0" w:lastRow="0" w:firstColumn="0" w:lastColumn="0" w:noHBand="0" w:noVBand="0" w:val="0000"/>
      </w:tblPr>
      <w:tblGrid>
        <w:gridCol w:w="3969"/>
        <w:gridCol w:w="2551"/>
        <w:gridCol w:w="2551"/>
      </w:tblGrid>
      <w:tr w:rsidRPr="00096403" w:rsidR="000D6E6A" w:rsidTr="00096403">
        <w:tblPrEx>
          <w:tblCellMar>
            <w:top w:w="0" w:type="dxa"/>
            <w:left w:w="0" w:type="dxa"/>
            <w:bottom w:w="0" w:type="dxa"/>
            <w:right w:w="0" w:type="dxa"/>
          </w:tblCellMar>
        </w:tblPrEx>
        <w:trPr>
          <w:trHeight w:val="113"/>
          <w:tblHeader/>
        </w:trPr>
        <w:tc>
          <w:tcPr>
            <w:tcW w:w="3969"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096403" w:rsidR="000D6E6A" w:rsidRDefault="000D6E6A">
            <w:pPr>
              <w:pStyle w:val="bodycopytabletable"/>
            </w:pPr>
            <w:r w:rsidRPr="00096403">
              <w:rPr>
                <w:rStyle w:val="mediumpurple"/>
                <w:b/>
                <w:bCs/>
              </w:rPr>
              <w:t>Income band (salary)</w:t>
            </w:r>
          </w:p>
        </w:tc>
        <w:tc>
          <w:tcPr>
            <w:tcW w:w="2551"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096403" w:rsidR="000D6E6A" w:rsidRDefault="000D6E6A">
            <w:pPr>
              <w:pStyle w:val="bodycopytabletable"/>
              <w:jc w:val="center"/>
            </w:pPr>
            <w:r w:rsidRPr="00096403">
              <w:rPr>
                <w:rStyle w:val="mediumpurple"/>
                <w:b/>
                <w:bCs/>
              </w:rPr>
              <w:t>Executives</w:t>
            </w:r>
          </w:p>
        </w:tc>
        <w:tc>
          <w:tcPr>
            <w:tcW w:w="2551"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096403" w:rsidR="000D6E6A" w:rsidRDefault="000D6E6A">
            <w:pPr>
              <w:pStyle w:val="bodycopytabletable"/>
              <w:jc w:val="center"/>
            </w:pPr>
            <w:r w:rsidRPr="00096403">
              <w:rPr>
                <w:rStyle w:val="mediumpurple"/>
                <w:b/>
                <w:bCs/>
                <w:spacing w:val="-5"/>
              </w:rPr>
              <w:t>Senior technical specialist (STS)</w:t>
            </w:r>
          </w:p>
        </w:tc>
      </w:tr>
      <w:tr w:rsidRPr="00096403" w:rsidR="000D6E6A" w:rsidTr="00096403">
        <w:tblPrEx>
          <w:tblCellMar>
            <w:top w:w="0" w:type="dxa"/>
            <w:left w:w="0" w:type="dxa"/>
            <w:bottom w:w="0" w:type="dxa"/>
            <w:right w:w="0" w:type="dxa"/>
          </w:tblCellMar>
        </w:tblPrEx>
        <w:trPr>
          <w:trHeight w:val="113"/>
        </w:trPr>
        <w:tc>
          <w:tcPr>
            <w:tcW w:w="3969"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 xml:space="preserve">&lt; $160,000 </w:t>
            </w:r>
          </w:p>
        </w:tc>
        <w:tc>
          <w:tcPr>
            <w:tcW w:w="255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c>
          <w:tcPr>
            <w:tcW w:w="255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r>
      <w:tr w:rsidRPr="00096403" w:rsidR="000D6E6A" w:rsidTr="00096403">
        <w:tblPrEx>
          <w:tblCellMar>
            <w:top w:w="0" w:type="dxa"/>
            <w:left w:w="0" w:type="dxa"/>
            <w:bottom w:w="0" w:type="dxa"/>
            <w:right w:w="0" w:type="dxa"/>
          </w:tblCellMar>
        </w:tblPrEx>
        <w:trPr>
          <w:trHeight w:val="113"/>
        </w:trPr>
        <w:tc>
          <w:tcPr>
            <w:tcW w:w="3969"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 xml:space="preserve">$160,000 - 179,999 </w:t>
            </w:r>
          </w:p>
        </w:tc>
        <w:tc>
          <w:tcPr>
            <w:tcW w:w="255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c>
          <w:tcPr>
            <w:tcW w:w="255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r>
      <w:tr w:rsidRPr="00096403" w:rsidR="000D6E6A" w:rsidTr="00096403">
        <w:tblPrEx>
          <w:tblCellMar>
            <w:top w:w="0" w:type="dxa"/>
            <w:left w:w="0" w:type="dxa"/>
            <w:bottom w:w="0" w:type="dxa"/>
            <w:right w:w="0" w:type="dxa"/>
          </w:tblCellMar>
        </w:tblPrEx>
        <w:trPr>
          <w:trHeight w:val="113"/>
        </w:trPr>
        <w:tc>
          <w:tcPr>
            <w:tcW w:w="3969"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$180,000 - 199,999</w:t>
            </w:r>
          </w:p>
        </w:tc>
        <w:tc>
          <w:tcPr>
            <w:tcW w:w="255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c>
          <w:tcPr>
            <w:tcW w:w="255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r>
      <w:tr w:rsidRPr="00096403" w:rsidR="000D6E6A" w:rsidTr="00096403">
        <w:tblPrEx>
          <w:tblCellMar>
            <w:top w:w="0" w:type="dxa"/>
            <w:left w:w="0" w:type="dxa"/>
            <w:bottom w:w="0" w:type="dxa"/>
            <w:right w:w="0" w:type="dxa"/>
          </w:tblCellMar>
        </w:tblPrEx>
        <w:trPr>
          <w:trHeight w:val="113"/>
        </w:trPr>
        <w:tc>
          <w:tcPr>
            <w:tcW w:w="3969"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$200,000 - 219,999</w:t>
            </w:r>
          </w:p>
        </w:tc>
        <w:tc>
          <w:tcPr>
            <w:tcW w:w="255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center"/>
            </w:pPr>
            <w:r w:rsidRPr="00096403">
              <w:t>1</w:t>
            </w:r>
          </w:p>
        </w:tc>
        <w:tc>
          <w:tcPr>
            <w:tcW w:w="255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r>
      <w:tr w:rsidRPr="00096403" w:rsidR="000D6E6A" w:rsidTr="00096403">
        <w:tblPrEx>
          <w:tblCellMar>
            <w:top w:w="0" w:type="dxa"/>
            <w:left w:w="0" w:type="dxa"/>
            <w:bottom w:w="0" w:type="dxa"/>
            <w:right w:w="0" w:type="dxa"/>
          </w:tblCellMar>
        </w:tblPrEx>
        <w:trPr>
          <w:trHeight w:val="113"/>
        </w:trPr>
        <w:tc>
          <w:tcPr>
            <w:tcW w:w="3969"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$220,000 - 239,999</w:t>
            </w:r>
            <w:r w:rsidRPr="00096403">
              <w:tab/>
              <w:t xml:space="preserve">  </w:t>
            </w:r>
          </w:p>
        </w:tc>
        <w:tc>
          <w:tcPr>
            <w:tcW w:w="255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c>
          <w:tcPr>
            <w:tcW w:w="255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center"/>
            </w:pPr>
            <w:r w:rsidRPr="00096403">
              <w:t>1</w:t>
            </w:r>
          </w:p>
        </w:tc>
      </w:tr>
      <w:tr w:rsidRPr="00096403" w:rsidR="000D6E6A" w:rsidTr="00096403">
        <w:tblPrEx>
          <w:tblCellMar>
            <w:top w:w="0" w:type="dxa"/>
            <w:left w:w="0" w:type="dxa"/>
            <w:bottom w:w="0" w:type="dxa"/>
            <w:right w:w="0" w:type="dxa"/>
          </w:tblCellMar>
        </w:tblPrEx>
        <w:trPr>
          <w:trHeight w:val="113"/>
        </w:trPr>
        <w:tc>
          <w:tcPr>
            <w:tcW w:w="3969"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 xml:space="preserve">$240,000 - 259,999 </w:t>
            </w:r>
          </w:p>
        </w:tc>
        <w:tc>
          <w:tcPr>
            <w:tcW w:w="255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center"/>
            </w:pPr>
            <w:r w:rsidRPr="00096403">
              <w:t>3</w:t>
            </w:r>
          </w:p>
        </w:tc>
        <w:tc>
          <w:tcPr>
            <w:tcW w:w="255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r>
      <w:tr w:rsidRPr="00096403" w:rsidR="000D6E6A" w:rsidTr="00096403">
        <w:tblPrEx>
          <w:tblCellMar>
            <w:top w:w="0" w:type="dxa"/>
            <w:left w:w="0" w:type="dxa"/>
            <w:bottom w:w="0" w:type="dxa"/>
            <w:right w:w="0" w:type="dxa"/>
          </w:tblCellMar>
        </w:tblPrEx>
        <w:trPr>
          <w:trHeight w:val="113"/>
        </w:trPr>
        <w:tc>
          <w:tcPr>
            <w:tcW w:w="3969"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lastRenderedPageBreak/>
              <w:t xml:space="preserve">$260,000 - 279,999 </w:t>
            </w:r>
          </w:p>
        </w:tc>
        <w:tc>
          <w:tcPr>
            <w:tcW w:w="255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center"/>
            </w:pPr>
            <w:r w:rsidRPr="00096403">
              <w:t>1</w:t>
            </w:r>
          </w:p>
        </w:tc>
        <w:tc>
          <w:tcPr>
            <w:tcW w:w="255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r>
      <w:tr w:rsidRPr="00096403" w:rsidR="000D6E6A" w:rsidTr="00096403">
        <w:tblPrEx>
          <w:tblCellMar>
            <w:top w:w="0" w:type="dxa"/>
            <w:left w:w="0" w:type="dxa"/>
            <w:bottom w:w="0" w:type="dxa"/>
            <w:right w:w="0" w:type="dxa"/>
          </w:tblCellMar>
        </w:tblPrEx>
        <w:trPr>
          <w:trHeight w:val="113"/>
        </w:trPr>
        <w:tc>
          <w:tcPr>
            <w:tcW w:w="3969"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 xml:space="preserve">$280,000 - 299,999 </w:t>
            </w:r>
          </w:p>
        </w:tc>
        <w:tc>
          <w:tcPr>
            <w:tcW w:w="255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c>
          <w:tcPr>
            <w:tcW w:w="255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r>
      <w:tr w:rsidRPr="00096403" w:rsidR="000D6E6A" w:rsidTr="00096403">
        <w:tblPrEx>
          <w:tblCellMar>
            <w:top w:w="0" w:type="dxa"/>
            <w:left w:w="0" w:type="dxa"/>
            <w:bottom w:w="0" w:type="dxa"/>
            <w:right w:w="0" w:type="dxa"/>
          </w:tblCellMar>
        </w:tblPrEx>
        <w:trPr>
          <w:trHeight w:val="113"/>
        </w:trPr>
        <w:tc>
          <w:tcPr>
            <w:tcW w:w="3969"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 xml:space="preserve">$300,000 - 319,999 </w:t>
            </w:r>
          </w:p>
        </w:tc>
        <w:tc>
          <w:tcPr>
            <w:tcW w:w="255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c>
          <w:tcPr>
            <w:tcW w:w="255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r>
      <w:tr w:rsidRPr="00096403" w:rsidR="000D6E6A" w:rsidTr="00096403">
        <w:tblPrEx>
          <w:tblCellMar>
            <w:top w:w="0" w:type="dxa"/>
            <w:left w:w="0" w:type="dxa"/>
            <w:bottom w:w="0" w:type="dxa"/>
            <w:right w:w="0" w:type="dxa"/>
          </w:tblCellMar>
        </w:tblPrEx>
        <w:trPr>
          <w:trHeight w:val="113"/>
        </w:trPr>
        <w:tc>
          <w:tcPr>
            <w:tcW w:w="3969"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 xml:space="preserve">$320,000 - 339,999 </w:t>
            </w:r>
          </w:p>
        </w:tc>
        <w:tc>
          <w:tcPr>
            <w:tcW w:w="255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jc w:val="center"/>
            </w:pPr>
            <w:r w:rsidRPr="00096403">
              <w:t>1</w:t>
            </w:r>
          </w:p>
        </w:tc>
        <w:tc>
          <w:tcPr>
            <w:tcW w:w="255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r>
      <w:tr w:rsidRPr="00096403" w:rsidR="000D6E6A" w:rsidTr="00096403">
        <w:tblPrEx>
          <w:tblCellMar>
            <w:top w:w="0" w:type="dxa"/>
            <w:left w:w="0" w:type="dxa"/>
            <w:bottom w:w="0" w:type="dxa"/>
            <w:right w:w="0" w:type="dxa"/>
          </w:tblCellMar>
        </w:tblPrEx>
        <w:trPr>
          <w:trHeight w:val="113"/>
        </w:trPr>
        <w:tc>
          <w:tcPr>
            <w:tcW w:w="3969"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 xml:space="preserve">$340,000 - 359,999 </w:t>
            </w:r>
          </w:p>
        </w:tc>
        <w:tc>
          <w:tcPr>
            <w:tcW w:w="255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c>
          <w:tcPr>
            <w:tcW w:w="255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r>
      <w:tr w:rsidRPr="00096403" w:rsidR="000D6E6A" w:rsidTr="00096403">
        <w:tblPrEx>
          <w:tblCellMar>
            <w:top w:w="0" w:type="dxa"/>
            <w:left w:w="0" w:type="dxa"/>
            <w:bottom w:w="0" w:type="dxa"/>
            <w:right w:w="0" w:type="dxa"/>
          </w:tblCellMar>
        </w:tblPrEx>
        <w:trPr>
          <w:trHeight w:val="113"/>
        </w:trPr>
        <w:tc>
          <w:tcPr>
            <w:tcW w:w="3969"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$360,000 - 379,999</w:t>
            </w:r>
          </w:p>
        </w:tc>
        <w:tc>
          <w:tcPr>
            <w:tcW w:w="255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c>
          <w:tcPr>
            <w:tcW w:w="255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r>
      <w:tr w:rsidRPr="00096403" w:rsidR="000D6E6A" w:rsidTr="00096403">
        <w:tblPrEx>
          <w:tblCellMar>
            <w:top w:w="0" w:type="dxa"/>
            <w:left w:w="0" w:type="dxa"/>
            <w:bottom w:w="0" w:type="dxa"/>
            <w:right w:w="0" w:type="dxa"/>
          </w:tblCellMar>
        </w:tblPrEx>
        <w:trPr>
          <w:trHeight w:val="113"/>
        </w:trPr>
        <w:tc>
          <w:tcPr>
            <w:tcW w:w="3969"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 xml:space="preserve">$380,000 - 399,999    </w:t>
            </w:r>
          </w:p>
        </w:tc>
        <w:tc>
          <w:tcPr>
            <w:tcW w:w="255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c>
          <w:tcPr>
            <w:tcW w:w="255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r>
      <w:tr w:rsidRPr="00096403" w:rsidR="000D6E6A" w:rsidTr="00096403">
        <w:tblPrEx>
          <w:tblCellMar>
            <w:top w:w="0" w:type="dxa"/>
            <w:left w:w="0" w:type="dxa"/>
            <w:bottom w:w="0" w:type="dxa"/>
            <w:right w:w="0" w:type="dxa"/>
          </w:tblCellMar>
        </w:tblPrEx>
        <w:trPr>
          <w:trHeight w:val="113"/>
        </w:trPr>
        <w:tc>
          <w:tcPr>
            <w:tcW w:w="3969"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 xml:space="preserve">$400,000 - 419,999 </w:t>
            </w:r>
          </w:p>
        </w:tc>
        <w:tc>
          <w:tcPr>
            <w:tcW w:w="255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c>
          <w:tcPr>
            <w:tcW w:w="255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r>
      <w:tr w:rsidRPr="00096403" w:rsidR="000D6E6A" w:rsidTr="00096403">
        <w:tblPrEx>
          <w:tblCellMar>
            <w:top w:w="0" w:type="dxa"/>
            <w:left w:w="0" w:type="dxa"/>
            <w:bottom w:w="0" w:type="dxa"/>
            <w:right w:w="0" w:type="dxa"/>
          </w:tblCellMar>
        </w:tblPrEx>
        <w:trPr>
          <w:trHeight w:val="113"/>
        </w:trPr>
        <w:tc>
          <w:tcPr>
            <w:tcW w:w="3969"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 xml:space="preserve">$420,000 - 439,999 </w:t>
            </w:r>
          </w:p>
        </w:tc>
        <w:tc>
          <w:tcPr>
            <w:tcW w:w="255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c>
          <w:tcPr>
            <w:tcW w:w="255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r>
      <w:tr w:rsidRPr="00096403" w:rsidR="000D6E6A" w:rsidTr="00096403">
        <w:tblPrEx>
          <w:tblCellMar>
            <w:top w:w="0" w:type="dxa"/>
            <w:left w:w="0" w:type="dxa"/>
            <w:bottom w:w="0" w:type="dxa"/>
            <w:right w:w="0" w:type="dxa"/>
          </w:tblCellMar>
        </w:tblPrEx>
        <w:trPr>
          <w:trHeight w:val="113"/>
        </w:trPr>
        <w:tc>
          <w:tcPr>
            <w:tcW w:w="3969"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$440,000 - 459,999</w:t>
            </w:r>
            <w:r w:rsidRPr="00096403">
              <w:tab/>
              <w:t xml:space="preserve">      </w:t>
            </w:r>
          </w:p>
        </w:tc>
        <w:tc>
          <w:tcPr>
            <w:tcW w:w="255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c>
          <w:tcPr>
            <w:tcW w:w="255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r>
      <w:tr w:rsidRPr="00096403" w:rsidR="000D6E6A" w:rsidTr="00096403">
        <w:tblPrEx>
          <w:tblCellMar>
            <w:top w:w="0" w:type="dxa"/>
            <w:left w:w="0" w:type="dxa"/>
            <w:bottom w:w="0" w:type="dxa"/>
            <w:right w:w="0" w:type="dxa"/>
          </w:tblCellMar>
        </w:tblPrEx>
        <w:trPr>
          <w:trHeight w:val="113"/>
        </w:trPr>
        <w:tc>
          <w:tcPr>
            <w:tcW w:w="3969"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 xml:space="preserve">$460,000 - 479,999 </w:t>
            </w:r>
          </w:p>
        </w:tc>
        <w:tc>
          <w:tcPr>
            <w:tcW w:w="255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c>
          <w:tcPr>
            <w:tcW w:w="255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r>
      <w:tr w:rsidRPr="00096403" w:rsidR="000D6E6A" w:rsidTr="00096403">
        <w:tblPrEx>
          <w:tblCellMar>
            <w:top w:w="0" w:type="dxa"/>
            <w:left w:w="0" w:type="dxa"/>
            <w:bottom w:w="0" w:type="dxa"/>
            <w:right w:w="0" w:type="dxa"/>
          </w:tblCellMar>
        </w:tblPrEx>
        <w:trPr>
          <w:trHeight w:val="113"/>
        </w:trPr>
        <w:tc>
          <w:tcPr>
            <w:tcW w:w="3969"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bodycopytabletable"/>
            </w:pPr>
            <w:r w:rsidRPr="00096403">
              <w:t xml:space="preserve">$480,000 - 499,999      </w:t>
            </w:r>
          </w:p>
        </w:tc>
        <w:tc>
          <w:tcPr>
            <w:tcW w:w="255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c>
          <w:tcPr>
            <w:tcW w:w="2551" w:type="dxa"/>
            <w:tcBorders>
              <w:top w:val="dotted" w:color="542E8E" w:sz="4" w:space="0"/>
              <w:left w:val="nil"/>
              <w:bottom w:val="dotted" w:color="542E8E" w:sz="4" w:space="0"/>
              <w:right w:val="nil"/>
            </w:tcBorders>
            <w:tcMar>
              <w:top w:w="57" w:type="dxa"/>
              <w:left w:w="57" w:type="dxa"/>
              <w:bottom w:w="57" w:type="dxa"/>
              <w:right w:w="57" w:type="dxa"/>
            </w:tcMar>
          </w:tcPr>
          <w:p w:rsidRPr="00096403" w:rsidR="000D6E6A" w:rsidRDefault="000D6E6A">
            <w:pPr>
              <w:pStyle w:val="NoParagraphStyle"/>
              <w:spacing w:line="240" w:lineRule="auto"/>
              <w:textAlignment w:val="auto"/>
              <w:rPr>
                <w:color w:val="auto"/>
                <w:sz w:val="16"/>
                <w:szCs w:val="16"/>
              </w:rPr>
            </w:pPr>
          </w:p>
        </w:tc>
      </w:tr>
      <w:tr w:rsidRPr="00096403" w:rsidR="000D6E6A" w:rsidTr="00096403">
        <w:tblPrEx>
          <w:tblCellMar>
            <w:top w:w="0" w:type="dxa"/>
            <w:left w:w="0" w:type="dxa"/>
            <w:bottom w:w="0" w:type="dxa"/>
            <w:right w:w="0" w:type="dxa"/>
          </w:tblCellMar>
        </w:tblPrEx>
        <w:trPr>
          <w:trHeight w:val="113"/>
        </w:trPr>
        <w:tc>
          <w:tcPr>
            <w:tcW w:w="3969" w:type="dxa"/>
            <w:tcBorders>
              <w:top w:val="dotted" w:color="542E8E" w:sz="4" w:space="0"/>
              <w:left w:val="nil"/>
              <w:bottom w:val="single" w:color="542E8E" w:sz="4" w:space="0"/>
              <w:right w:val="nil"/>
            </w:tcBorders>
            <w:tcMar>
              <w:top w:w="57" w:type="dxa"/>
              <w:left w:w="57" w:type="dxa"/>
              <w:bottom w:w="57" w:type="dxa"/>
              <w:right w:w="57" w:type="dxa"/>
            </w:tcMar>
          </w:tcPr>
          <w:p w:rsidRPr="00096403" w:rsidR="000D6E6A" w:rsidRDefault="000D6E6A">
            <w:pPr>
              <w:pStyle w:val="bodycopytabletable"/>
            </w:pPr>
            <w:r w:rsidRPr="00096403">
              <w:rPr>
                <w:rStyle w:val="medium"/>
                <w:b/>
                <w:bCs/>
              </w:rPr>
              <w:t xml:space="preserve">Total </w:t>
            </w:r>
          </w:p>
        </w:tc>
        <w:tc>
          <w:tcPr>
            <w:tcW w:w="2551" w:type="dxa"/>
            <w:tcBorders>
              <w:top w:val="dotted" w:color="542E8E" w:sz="4" w:space="0"/>
              <w:left w:val="nil"/>
              <w:bottom w:val="single" w:color="542E8E" w:sz="4" w:space="0"/>
              <w:right w:val="nil"/>
            </w:tcBorders>
            <w:tcMar>
              <w:top w:w="57" w:type="dxa"/>
              <w:left w:w="57" w:type="dxa"/>
              <w:bottom w:w="57" w:type="dxa"/>
              <w:right w:w="57" w:type="dxa"/>
            </w:tcMar>
          </w:tcPr>
          <w:p w:rsidRPr="00096403" w:rsidR="000D6E6A" w:rsidRDefault="000D6E6A">
            <w:pPr>
              <w:pStyle w:val="bodycopytabletable"/>
              <w:jc w:val="center"/>
            </w:pPr>
            <w:r w:rsidRPr="00096403">
              <w:rPr>
                <w:rStyle w:val="medium"/>
                <w:b/>
                <w:bCs/>
              </w:rPr>
              <w:t>6</w:t>
            </w:r>
          </w:p>
        </w:tc>
        <w:tc>
          <w:tcPr>
            <w:tcW w:w="2551" w:type="dxa"/>
            <w:tcBorders>
              <w:top w:val="dotted" w:color="542E8E" w:sz="4" w:space="0"/>
              <w:left w:val="nil"/>
              <w:bottom w:val="single" w:color="542E8E" w:sz="4" w:space="0"/>
              <w:right w:val="nil"/>
            </w:tcBorders>
            <w:tcMar>
              <w:top w:w="57" w:type="dxa"/>
              <w:left w:w="57" w:type="dxa"/>
              <w:bottom w:w="57" w:type="dxa"/>
              <w:right w:w="57" w:type="dxa"/>
            </w:tcMar>
          </w:tcPr>
          <w:p w:rsidRPr="00096403" w:rsidR="000D6E6A" w:rsidRDefault="000D6E6A">
            <w:pPr>
              <w:pStyle w:val="bodycopytabletable"/>
              <w:jc w:val="center"/>
            </w:pPr>
            <w:r w:rsidRPr="00096403">
              <w:rPr>
                <w:rStyle w:val="medium"/>
                <w:b/>
                <w:bCs/>
              </w:rPr>
              <w:t>1</w:t>
            </w:r>
          </w:p>
        </w:tc>
      </w:tr>
    </w:tbl>
    <w:p w:rsidR="000D6E6A" w:rsidP="00096403" w:rsidRDefault="000D6E6A">
      <w:pPr>
        <w:pStyle w:val="notesspantable"/>
        <w:spacing w:before="60" w:after="0"/>
      </w:pPr>
      <w:r>
        <w:t>Notes:</w:t>
      </w:r>
    </w:p>
    <w:p w:rsidR="000D6E6A" w:rsidRDefault="000D6E6A">
      <w:pPr>
        <w:pStyle w:val="notesspanlastrowtable"/>
      </w:pPr>
      <w:r>
        <w:t>The salaries reported above are for the full financial year, at a 1-FTE rate, and excludes superannuation and costs associated with vehicle leasing arrangements.</w:t>
      </w:r>
    </w:p>
    <w:p w:rsidR="000D6E6A" w:rsidRDefault="000D6E6A">
      <w:pPr>
        <w:pStyle w:val="H2"/>
      </w:pPr>
      <w:r>
        <w:t>Recruitment services</w:t>
      </w:r>
    </w:p>
    <w:p w:rsidR="000D6E6A" w:rsidRDefault="000D6E6A">
      <w:pPr>
        <w:pStyle w:val="H3"/>
      </w:pPr>
      <w:r>
        <w:t>Graduate Recruitment and Development Scheme</w:t>
      </w:r>
    </w:p>
    <w:p w:rsidR="000D6E6A" w:rsidRDefault="000D6E6A">
      <w:pPr>
        <w:pStyle w:val="Bodycopy"/>
      </w:pPr>
      <w:r>
        <w:t>In 2017–18, the department ran four graduate programs, three in-house and one outsourced:</w:t>
      </w:r>
    </w:p>
    <w:p w:rsidR="000D6E6A" w:rsidRDefault="000D6E6A">
      <w:pPr>
        <w:pStyle w:val="BodycopyBullet"/>
      </w:pPr>
      <w:r>
        <w:t>The Victorian Public Service Graduate Recruitment and Development Scheme (GRADS)</w:t>
      </w:r>
    </w:p>
    <w:p w:rsidR="000D6E6A" w:rsidRDefault="000D6E6A">
      <w:pPr>
        <w:pStyle w:val="BodycopyBullet"/>
      </w:pPr>
      <w:r>
        <w:t>Aboriginal and Torres Strait Islander Graduate Scheme</w:t>
      </w:r>
    </w:p>
    <w:p w:rsidR="000D6E6A" w:rsidRDefault="000D6E6A">
      <w:pPr>
        <w:pStyle w:val="BodycopyBullet"/>
      </w:pPr>
      <w:r>
        <w:t>Professional Services Graduate Recruitment and Development Scheme (PSGRADS)</w:t>
      </w:r>
    </w:p>
    <w:p w:rsidR="000D6E6A" w:rsidRDefault="000D6E6A">
      <w:pPr>
        <w:pStyle w:val="BodycopyBulletspaceunder"/>
      </w:pPr>
      <w:r>
        <w:t>Community Correctional Services Graduate Program (CCSGRADS).</w:t>
      </w:r>
    </w:p>
    <w:p w:rsidR="000D6E6A" w:rsidRDefault="000D6E6A">
      <w:pPr>
        <w:pStyle w:val="Bodycopy"/>
      </w:pPr>
      <w:r>
        <w:t>14 graduates commenced a graduate program in the department in February 2018. The table below shows the number of graduates across the programs over the last five years.</w:t>
      </w:r>
    </w:p>
    <w:p w:rsidR="000D6E6A" w:rsidRDefault="000D6E6A">
      <w:pPr>
        <w:pStyle w:val="Bodycopy"/>
        <w:spacing w:before="113" w:after="0"/>
        <w:rPr>
          <w:rStyle w:val="RegularItalic"/>
        </w:rPr>
      </w:pPr>
      <w:r>
        <w:rPr>
          <w:rStyle w:val="RegularItalic"/>
        </w:rPr>
        <w:t>Graduate program intakes per annum</w:t>
      </w:r>
    </w:p>
    <w:tbl>
      <w:tblPr>
        <w:tblW w:w="0" w:type="auto"/>
        <w:tblInd w:w="57" w:type="dxa"/>
        <w:tblLayout w:type="fixed"/>
        <w:tblCellMar>
          <w:left w:w="0" w:type="dxa"/>
          <w:right w:w="0" w:type="dxa"/>
        </w:tblCellMar>
        <w:tblLook w:firstRow="0" w:lastRow="0" w:firstColumn="0" w:lastColumn="0" w:noHBand="0" w:noVBand="0" w:val="0000"/>
      </w:tblPr>
      <w:tblGrid>
        <w:gridCol w:w="1512"/>
        <w:gridCol w:w="1512"/>
        <w:gridCol w:w="1511"/>
        <w:gridCol w:w="1512"/>
        <w:gridCol w:w="1834"/>
        <w:gridCol w:w="1418"/>
      </w:tblGrid>
      <w:tr w:rsidR="000D6E6A" w:rsidTr="00096403">
        <w:tblPrEx>
          <w:tblCellMar>
            <w:top w:w="0" w:type="dxa"/>
            <w:left w:w="0" w:type="dxa"/>
            <w:bottom w:w="0" w:type="dxa"/>
            <w:right w:w="0" w:type="dxa"/>
          </w:tblCellMar>
        </w:tblPrEx>
        <w:trPr>
          <w:trHeight w:val="113"/>
          <w:tblHeader/>
        </w:trPr>
        <w:tc>
          <w:tcPr>
            <w:tcW w:w="1512"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000D6E6A" w:rsidP="00096403" w:rsidRDefault="000D6E6A">
            <w:pPr>
              <w:pStyle w:val="bodycopytabletable"/>
            </w:pPr>
            <w:r>
              <w:rPr>
                <w:rStyle w:val="mediumpurple"/>
                <w:b/>
                <w:bCs/>
              </w:rPr>
              <w:t>Year</w:t>
            </w:r>
          </w:p>
        </w:tc>
        <w:tc>
          <w:tcPr>
            <w:tcW w:w="1512"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000D6E6A" w:rsidP="00096403" w:rsidRDefault="000D6E6A">
            <w:pPr>
              <w:pStyle w:val="bodycopytabletable"/>
              <w:jc w:val="right"/>
            </w:pPr>
            <w:r>
              <w:rPr>
                <w:rStyle w:val="mediumpurple"/>
                <w:b/>
                <w:bCs/>
              </w:rPr>
              <w:t>VPS GRADS</w:t>
            </w:r>
          </w:p>
        </w:tc>
        <w:tc>
          <w:tcPr>
            <w:tcW w:w="1511"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000D6E6A" w:rsidP="00096403" w:rsidRDefault="000D6E6A">
            <w:pPr>
              <w:pStyle w:val="bodycopytabletable"/>
              <w:jc w:val="right"/>
            </w:pPr>
            <w:r>
              <w:rPr>
                <w:rStyle w:val="mediumpurple"/>
                <w:b/>
                <w:bCs/>
              </w:rPr>
              <w:t xml:space="preserve">CCSGRADS </w:t>
            </w:r>
          </w:p>
        </w:tc>
        <w:tc>
          <w:tcPr>
            <w:tcW w:w="1512"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000D6E6A" w:rsidP="00096403" w:rsidRDefault="000D6E6A">
            <w:pPr>
              <w:pStyle w:val="bodycopytabletable"/>
              <w:jc w:val="right"/>
            </w:pPr>
            <w:r>
              <w:rPr>
                <w:rStyle w:val="mediumpurple"/>
                <w:b/>
                <w:bCs/>
              </w:rPr>
              <w:t>PSGRADS</w:t>
            </w:r>
          </w:p>
        </w:tc>
        <w:tc>
          <w:tcPr>
            <w:tcW w:w="1834"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000D6E6A" w:rsidP="00096403" w:rsidRDefault="000D6E6A">
            <w:pPr>
              <w:pStyle w:val="bodycopytabletable"/>
              <w:jc w:val="right"/>
            </w:pPr>
            <w:r>
              <w:rPr>
                <w:rStyle w:val="mediumpurple"/>
                <w:b/>
                <w:bCs/>
              </w:rPr>
              <w:t>Aboriginal graduates</w:t>
            </w:r>
          </w:p>
        </w:tc>
        <w:tc>
          <w:tcPr>
            <w:tcW w:w="1418"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000D6E6A" w:rsidP="00096403" w:rsidRDefault="000D6E6A">
            <w:pPr>
              <w:pStyle w:val="bodycopytabletable"/>
              <w:jc w:val="right"/>
            </w:pPr>
            <w:r>
              <w:rPr>
                <w:rStyle w:val="mediumpurple"/>
                <w:b/>
                <w:bCs/>
              </w:rPr>
              <w:t>Total</w:t>
            </w:r>
          </w:p>
        </w:tc>
      </w:tr>
      <w:tr w:rsidR="000D6E6A" w:rsidTr="00096403">
        <w:tblPrEx>
          <w:tblCellMar>
            <w:top w:w="0" w:type="dxa"/>
            <w:left w:w="0" w:type="dxa"/>
            <w:bottom w:w="0" w:type="dxa"/>
            <w:right w:w="0" w:type="dxa"/>
          </w:tblCellMar>
        </w:tblPrEx>
        <w:trPr>
          <w:trHeight w:val="113"/>
        </w:trPr>
        <w:tc>
          <w:tcPr>
            <w:tcW w:w="1512" w:type="dxa"/>
            <w:tcBorders>
              <w:top w:val="dotted" w:color="542E8E" w:sz="4" w:space="0"/>
              <w:left w:val="nil"/>
              <w:bottom w:val="dotted" w:color="542E8E" w:sz="4" w:space="0"/>
              <w:right w:val="nil"/>
            </w:tcBorders>
            <w:tcMar>
              <w:top w:w="57" w:type="dxa"/>
              <w:left w:w="57" w:type="dxa"/>
              <w:bottom w:w="57" w:type="dxa"/>
              <w:right w:w="57" w:type="dxa"/>
            </w:tcMar>
          </w:tcPr>
          <w:p w:rsidR="000D6E6A" w:rsidP="00096403" w:rsidRDefault="000D6E6A">
            <w:pPr>
              <w:pStyle w:val="bodycopytabletable"/>
            </w:pPr>
            <w:r>
              <w:t>2018</w:t>
            </w:r>
          </w:p>
        </w:tc>
        <w:tc>
          <w:tcPr>
            <w:tcW w:w="1512" w:type="dxa"/>
            <w:tcBorders>
              <w:top w:val="dotted" w:color="542E8E" w:sz="4" w:space="0"/>
              <w:left w:val="nil"/>
              <w:bottom w:val="dotted" w:color="542E8E" w:sz="4" w:space="0"/>
              <w:right w:val="nil"/>
            </w:tcBorders>
            <w:tcMar>
              <w:top w:w="57" w:type="dxa"/>
              <w:left w:w="57" w:type="dxa"/>
              <w:bottom w:w="57" w:type="dxa"/>
              <w:right w:w="57" w:type="dxa"/>
            </w:tcMar>
          </w:tcPr>
          <w:p w:rsidR="000D6E6A" w:rsidP="00096403" w:rsidRDefault="000D6E6A">
            <w:pPr>
              <w:pStyle w:val="bodycopytabletable"/>
              <w:jc w:val="right"/>
            </w:pPr>
            <w:r>
              <w:t>2</w:t>
            </w:r>
            <w:r>
              <w:rPr>
                <w:rStyle w:val="Superscript"/>
              </w:rPr>
              <w:t>a</w:t>
            </w:r>
          </w:p>
        </w:tc>
        <w:tc>
          <w:tcPr>
            <w:tcW w:w="1511" w:type="dxa"/>
            <w:tcBorders>
              <w:top w:val="dotted" w:color="542E8E" w:sz="4" w:space="0"/>
              <w:left w:val="nil"/>
              <w:bottom w:val="dotted" w:color="542E8E" w:sz="4" w:space="0"/>
              <w:right w:val="nil"/>
            </w:tcBorders>
            <w:tcMar>
              <w:top w:w="57" w:type="dxa"/>
              <w:left w:w="57" w:type="dxa"/>
              <w:bottom w:w="57" w:type="dxa"/>
              <w:right w:w="57" w:type="dxa"/>
            </w:tcMar>
          </w:tcPr>
          <w:p w:rsidR="000D6E6A" w:rsidP="00096403" w:rsidRDefault="000D6E6A">
            <w:pPr>
              <w:pStyle w:val="bodycopytabletable"/>
              <w:jc w:val="right"/>
            </w:pPr>
            <w:r>
              <w:t>N/A</w:t>
            </w:r>
            <w:r>
              <w:rPr>
                <w:rStyle w:val="Superscript"/>
              </w:rPr>
              <w:t>b</w:t>
            </w:r>
          </w:p>
        </w:tc>
        <w:tc>
          <w:tcPr>
            <w:tcW w:w="1512" w:type="dxa"/>
            <w:tcBorders>
              <w:top w:val="dotted" w:color="542E8E" w:sz="4" w:space="0"/>
              <w:left w:val="nil"/>
              <w:bottom w:val="dotted" w:color="542E8E" w:sz="4" w:space="0"/>
              <w:right w:val="nil"/>
            </w:tcBorders>
            <w:tcMar>
              <w:top w:w="57" w:type="dxa"/>
              <w:left w:w="57" w:type="dxa"/>
              <w:bottom w:w="57" w:type="dxa"/>
              <w:right w:w="57" w:type="dxa"/>
            </w:tcMar>
          </w:tcPr>
          <w:p w:rsidR="000D6E6A" w:rsidP="00096403" w:rsidRDefault="000D6E6A">
            <w:pPr>
              <w:pStyle w:val="bodycopytabletable"/>
              <w:jc w:val="right"/>
            </w:pPr>
            <w:r>
              <w:t>11</w:t>
            </w:r>
            <w:r>
              <w:rPr>
                <w:rStyle w:val="Superscript"/>
              </w:rPr>
              <w:t>c</w:t>
            </w:r>
          </w:p>
        </w:tc>
        <w:tc>
          <w:tcPr>
            <w:tcW w:w="1834" w:type="dxa"/>
            <w:tcBorders>
              <w:top w:val="dotted" w:color="542E8E" w:sz="4" w:space="0"/>
              <w:left w:val="nil"/>
              <w:bottom w:val="dotted" w:color="542E8E" w:sz="4" w:space="0"/>
              <w:right w:val="nil"/>
            </w:tcBorders>
            <w:tcMar>
              <w:top w:w="57" w:type="dxa"/>
              <w:left w:w="57" w:type="dxa"/>
              <w:bottom w:w="57" w:type="dxa"/>
              <w:right w:w="57" w:type="dxa"/>
            </w:tcMar>
          </w:tcPr>
          <w:p w:rsidR="000D6E6A" w:rsidP="00096403" w:rsidRDefault="000D6E6A">
            <w:pPr>
              <w:pStyle w:val="bodycopytabletable"/>
              <w:jc w:val="right"/>
            </w:pPr>
            <w:r>
              <w:t>1</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000D6E6A" w:rsidP="00096403" w:rsidRDefault="000D6E6A">
            <w:pPr>
              <w:pStyle w:val="bodycopytabletable"/>
              <w:jc w:val="right"/>
            </w:pPr>
            <w:r>
              <w:t>14</w:t>
            </w:r>
          </w:p>
        </w:tc>
      </w:tr>
      <w:tr w:rsidR="000D6E6A" w:rsidTr="00096403">
        <w:tblPrEx>
          <w:tblCellMar>
            <w:top w:w="0" w:type="dxa"/>
            <w:left w:w="0" w:type="dxa"/>
            <w:bottom w:w="0" w:type="dxa"/>
            <w:right w:w="0" w:type="dxa"/>
          </w:tblCellMar>
        </w:tblPrEx>
        <w:trPr>
          <w:trHeight w:val="113"/>
        </w:trPr>
        <w:tc>
          <w:tcPr>
            <w:tcW w:w="1512" w:type="dxa"/>
            <w:tcBorders>
              <w:top w:val="dotted" w:color="542E8E" w:sz="4" w:space="0"/>
              <w:left w:val="nil"/>
              <w:bottom w:val="dotted" w:color="542E8E" w:sz="4" w:space="0"/>
              <w:right w:val="nil"/>
            </w:tcBorders>
            <w:tcMar>
              <w:top w:w="57" w:type="dxa"/>
              <w:left w:w="57" w:type="dxa"/>
              <w:bottom w:w="57" w:type="dxa"/>
              <w:right w:w="57" w:type="dxa"/>
            </w:tcMar>
          </w:tcPr>
          <w:p w:rsidR="000D6E6A" w:rsidP="00096403" w:rsidRDefault="000D6E6A">
            <w:pPr>
              <w:pStyle w:val="bodycopytabletable"/>
            </w:pPr>
            <w:r>
              <w:t>2017</w:t>
            </w:r>
          </w:p>
        </w:tc>
        <w:tc>
          <w:tcPr>
            <w:tcW w:w="1512" w:type="dxa"/>
            <w:tcBorders>
              <w:top w:val="dotted" w:color="542E8E" w:sz="4" w:space="0"/>
              <w:left w:val="nil"/>
              <w:bottom w:val="dotted" w:color="542E8E" w:sz="4" w:space="0"/>
              <w:right w:val="nil"/>
            </w:tcBorders>
            <w:tcMar>
              <w:top w:w="57" w:type="dxa"/>
              <w:left w:w="57" w:type="dxa"/>
              <w:bottom w:w="57" w:type="dxa"/>
              <w:right w:w="57" w:type="dxa"/>
            </w:tcMar>
          </w:tcPr>
          <w:p w:rsidR="000D6E6A" w:rsidP="00096403" w:rsidRDefault="000D6E6A">
            <w:pPr>
              <w:pStyle w:val="bodycopytabletable"/>
              <w:jc w:val="right"/>
            </w:pPr>
            <w:r>
              <w:t>6</w:t>
            </w:r>
          </w:p>
        </w:tc>
        <w:tc>
          <w:tcPr>
            <w:tcW w:w="1511" w:type="dxa"/>
            <w:tcBorders>
              <w:top w:val="dotted" w:color="542E8E" w:sz="4" w:space="0"/>
              <w:left w:val="nil"/>
              <w:bottom w:val="dotted" w:color="542E8E" w:sz="4" w:space="0"/>
              <w:right w:val="nil"/>
            </w:tcBorders>
            <w:tcMar>
              <w:top w:w="57" w:type="dxa"/>
              <w:left w:w="57" w:type="dxa"/>
              <w:bottom w:w="57" w:type="dxa"/>
              <w:right w:w="57" w:type="dxa"/>
            </w:tcMar>
          </w:tcPr>
          <w:p w:rsidR="000D6E6A" w:rsidP="00096403" w:rsidRDefault="000D6E6A">
            <w:pPr>
              <w:pStyle w:val="bodycopytabletable"/>
              <w:jc w:val="right"/>
            </w:pPr>
            <w:r>
              <w:t>9</w:t>
            </w:r>
            <w:r>
              <w:rPr>
                <w:rStyle w:val="Superscript"/>
              </w:rPr>
              <w:t>d</w:t>
            </w:r>
          </w:p>
        </w:tc>
        <w:tc>
          <w:tcPr>
            <w:tcW w:w="1512" w:type="dxa"/>
            <w:tcBorders>
              <w:top w:val="dotted" w:color="542E8E" w:sz="4" w:space="0"/>
              <w:left w:val="nil"/>
              <w:bottom w:val="dotted" w:color="542E8E" w:sz="4" w:space="0"/>
              <w:right w:val="nil"/>
            </w:tcBorders>
            <w:tcMar>
              <w:top w:w="57" w:type="dxa"/>
              <w:left w:w="57" w:type="dxa"/>
              <w:bottom w:w="57" w:type="dxa"/>
              <w:right w:w="57" w:type="dxa"/>
            </w:tcMar>
          </w:tcPr>
          <w:p w:rsidR="000D6E6A" w:rsidP="00096403" w:rsidRDefault="000D6E6A">
            <w:pPr>
              <w:pStyle w:val="bodycopytabletable"/>
              <w:jc w:val="right"/>
            </w:pPr>
            <w:r>
              <w:t>7</w:t>
            </w:r>
            <w:r>
              <w:rPr>
                <w:rStyle w:val="Superscript"/>
              </w:rPr>
              <w:t>d</w:t>
            </w:r>
          </w:p>
        </w:tc>
        <w:tc>
          <w:tcPr>
            <w:tcW w:w="1834" w:type="dxa"/>
            <w:tcBorders>
              <w:top w:val="dotted" w:color="542E8E" w:sz="4" w:space="0"/>
              <w:left w:val="nil"/>
              <w:bottom w:val="dotted" w:color="542E8E" w:sz="4" w:space="0"/>
              <w:right w:val="nil"/>
            </w:tcBorders>
            <w:tcMar>
              <w:top w:w="57" w:type="dxa"/>
              <w:left w:w="57" w:type="dxa"/>
              <w:bottom w:w="57" w:type="dxa"/>
              <w:right w:w="57" w:type="dxa"/>
            </w:tcMar>
          </w:tcPr>
          <w:p w:rsidR="000D6E6A" w:rsidP="00096403" w:rsidRDefault="000D6E6A">
            <w:pPr>
              <w:pStyle w:val="bodycopytabletable"/>
              <w:jc w:val="right"/>
            </w:pPr>
            <w:r>
              <w:t>2</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000D6E6A" w:rsidP="00096403" w:rsidRDefault="000D6E6A">
            <w:pPr>
              <w:pStyle w:val="bodycopytabletable"/>
              <w:jc w:val="right"/>
            </w:pPr>
            <w:r>
              <w:t>24</w:t>
            </w:r>
          </w:p>
        </w:tc>
      </w:tr>
      <w:tr w:rsidR="000D6E6A" w:rsidTr="00096403">
        <w:tblPrEx>
          <w:tblCellMar>
            <w:top w:w="0" w:type="dxa"/>
            <w:left w:w="0" w:type="dxa"/>
            <w:bottom w:w="0" w:type="dxa"/>
            <w:right w:w="0" w:type="dxa"/>
          </w:tblCellMar>
        </w:tblPrEx>
        <w:trPr>
          <w:trHeight w:val="113"/>
        </w:trPr>
        <w:tc>
          <w:tcPr>
            <w:tcW w:w="1512" w:type="dxa"/>
            <w:tcBorders>
              <w:top w:val="dotted" w:color="542E8E" w:sz="4" w:space="0"/>
              <w:left w:val="nil"/>
              <w:bottom w:val="dotted" w:color="542E8E" w:sz="4" w:space="0"/>
              <w:right w:val="nil"/>
            </w:tcBorders>
            <w:tcMar>
              <w:top w:w="57" w:type="dxa"/>
              <w:left w:w="57" w:type="dxa"/>
              <w:bottom w:w="57" w:type="dxa"/>
              <w:right w:w="57" w:type="dxa"/>
            </w:tcMar>
          </w:tcPr>
          <w:p w:rsidR="000D6E6A" w:rsidP="00096403" w:rsidRDefault="000D6E6A">
            <w:pPr>
              <w:pStyle w:val="bodycopytabletable"/>
            </w:pPr>
            <w:r>
              <w:t>2016</w:t>
            </w:r>
          </w:p>
        </w:tc>
        <w:tc>
          <w:tcPr>
            <w:tcW w:w="1512" w:type="dxa"/>
            <w:tcBorders>
              <w:top w:val="dotted" w:color="542E8E" w:sz="4" w:space="0"/>
              <w:left w:val="nil"/>
              <w:bottom w:val="dotted" w:color="542E8E" w:sz="4" w:space="0"/>
              <w:right w:val="nil"/>
            </w:tcBorders>
            <w:tcMar>
              <w:top w:w="57" w:type="dxa"/>
              <w:left w:w="57" w:type="dxa"/>
              <w:bottom w:w="57" w:type="dxa"/>
              <w:right w:w="57" w:type="dxa"/>
            </w:tcMar>
          </w:tcPr>
          <w:p w:rsidR="000D6E6A" w:rsidP="00096403" w:rsidRDefault="000D6E6A">
            <w:pPr>
              <w:pStyle w:val="bodycopytabletable"/>
              <w:jc w:val="right"/>
            </w:pPr>
            <w:r>
              <w:t>9</w:t>
            </w:r>
          </w:p>
        </w:tc>
        <w:tc>
          <w:tcPr>
            <w:tcW w:w="1511" w:type="dxa"/>
            <w:tcBorders>
              <w:top w:val="dotted" w:color="542E8E" w:sz="4" w:space="0"/>
              <w:left w:val="nil"/>
              <w:bottom w:val="dotted" w:color="542E8E" w:sz="4" w:space="0"/>
              <w:right w:val="nil"/>
            </w:tcBorders>
            <w:tcMar>
              <w:top w:w="57" w:type="dxa"/>
              <w:left w:w="57" w:type="dxa"/>
              <w:bottom w:w="57" w:type="dxa"/>
              <w:right w:w="57" w:type="dxa"/>
            </w:tcMar>
          </w:tcPr>
          <w:p w:rsidR="000D6E6A" w:rsidP="00096403" w:rsidRDefault="000D6E6A">
            <w:pPr>
              <w:pStyle w:val="bodycopytabletable"/>
              <w:jc w:val="right"/>
            </w:pPr>
            <w:r>
              <w:t>5</w:t>
            </w:r>
          </w:p>
        </w:tc>
        <w:tc>
          <w:tcPr>
            <w:tcW w:w="1512" w:type="dxa"/>
            <w:tcBorders>
              <w:top w:val="dotted" w:color="542E8E" w:sz="4" w:space="0"/>
              <w:left w:val="nil"/>
              <w:bottom w:val="dotted" w:color="542E8E" w:sz="4" w:space="0"/>
              <w:right w:val="nil"/>
            </w:tcBorders>
            <w:tcMar>
              <w:top w:w="57" w:type="dxa"/>
              <w:left w:w="57" w:type="dxa"/>
              <w:bottom w:w="57" w:type="dxa"/>
              <w:right w:w="57" w:type="dxa"/>
            </w:tcMar>
          </w:tcPr>
          <w:p w:rsidR="000D6E6A" w:rsidP="00096403" w:rsidRDefault="000D6E6A">
            <w:pPr>
              <w:pStyle w:val="bodycopytabletable"/>
              <w:jc w:val="right"/>
            </w:pPr>
            <w:r>
              <w:t>N/A</w:t>
            </w:r>
          </w:p>
        </w:tc>
        <w:tc>
          <w:tcPr>
            <w:tcW w:w="1834" w:type="dxa"/>
            <w:tcBorders>
              <w:top w:val="dotted" w:color="542E8E" w:sz="4" w:space="0"/>
              <w:left w:val="nil"/>
              <w:bottom w:val="dotted" w:color="542E8E" w:sz="4" w:space="0"/>
              <w:right w:val="nil"/>
            </w:tcBorders>
            <w:tcMar>
              <w:top w:w="57" w:type="dxa"/>
              <w:left w:w="57" w:type="dxa"/>
              <w:bottom w:w="57" w:type="dxa"/>
              <w:right w:w="57" w:type="dxa"/>
            </w:tcMar>
          </w:tcPr>
          <w:p w:rsidR="000D6E6A" w:rsidP="00096403" w:rsidRDefault="000D6E6A">
            <w:pPr>
              <w:pStyle w:val="bodycopytabletable"/>
              <w:jc w:val="right"/>
            </w:pPr>
            <w:r>
              <w:t>7</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000D6E6A" w:rsidP="00096403" w:rsidRDefault="000D6E6A">
            <w:pPr>
              <w:pStyle w:val="bodycopytabletable"/>
              <w:jc w:val="right"/>
            </w:pPr>
            <w:r>
              <w:t>21</w:t>
            </w:r>
          </w:p>
        </w:tc>
      </w:tr>
      <w:tr w:rsidR="000D6E6A" w:rsidTr="00096403">
        <w:tblPrEx>
          <w:tblCellMar>
            <w:top w:w="0" w:type="dxa"/>
            <w:left w:w="0" w:type="dxa"/>
            <w:bottom w:w="0" w:type="dxa"/>
            <w:right w:w="0" w:type="dxa"/>
          </w:tblCellMar>
        </w:tblPrEx>
        <w:trPr>
          <w:trHeight w:val="113"/>
        </w:trPr>
        <w:tc>
          <w:tcPr>
            <w:tcW w:w="1512" w:type="dxa"/>
            <w:tcBorders>
              <w:top w:val="dotted" w:color="542E8E" w:sz="4" w:space="0"/>
              <w:left w:val="nil"/>
              <w:bottom w:val="dotted" w:color="542E8E" w:sz="4" w:space="0"/>
              <w:right w:val="nil"/>
            </w:tcBorders>
            <w:tcMar>
              <w:top w:w="57" w:type="dxa"/>
              <w:left w:w="57" w:type="dxa"/>
              <w:bottom w:w="57" w:type="dxa"/>
              <w:right w:w="57" w:type="dxa"/>
            </w:tcMar>
          </w:tcPr>
          <w:p w:rsidR="000D6E6A" w:rsidP="00096403" w:rsidRDefault="000D6E6A">
            <w:pPr>
              <w:pStyle w:val="bodycopytabletable"/>
            </w:pPr>
            <w:r>
              <w:t>2015</w:t>
            </w:r>
          </w:p>
        </w:tc>
        <w:tc>
          <w:tcPr>
            <w:tcW w:w="1512" w:type="dxa"/>
            <w:tcBorders>
              <w:top w:val="dotted" w:color="542E8E" w:sz="4" w:space="0"/>
              <w:left w:val="nil"/>
              <w:bottom w:val="dotted" w:color="542E8E" w:sz="4" w:space="0"/>
              <w:right w:val="nil"/>
            </w:tcBorders>
            <w:tcMar>
              <w:top w:w="57" w:type="dxa"/>
              <w:left w:w="57" w:type="dxa"/>
              <w:bottom w:w="57" w:type="dxa"/>
              <w:right w:w="57" w:type="dxa"/>
            </w:tcMar>
          </w:tcPr>
          <w:p w:rsidR="000D6E6A" w:rsidP="00096403" w:rsidRDefault="000D6E6A">
            <w:pPr>
              <w:pStyle w:val="bodycopytabletable"/>
              <w:jc w:val="right"/>
            </w:pPr>
            <w:r>
              <w:t>8</w:t>
            </w:r>
          </w:p>
        </w:tc>
        <w:tc>
          <w:tcPr>
            <w:tcW w:w="1511" w:type="dxa"/>
            <w:tcBorders>
              <w:top w:val="dotted" w:color="542E8E" w:sz="4" w:space="0"/>
              <w:left w:val="nil"/>
              <w:bottom w:val="dotted" w:color="542E8E" w:sz="4" w:space="0"/>
              <w:right w:val="nil"/>
            </w:tcBorders>
            <w:tcMar>
              <w:top w:w="57" w:type="dxa"/>
              <w:left w:w="57" w:type="dxa"/>
              <w:bottom w:w="57" w:type="dxa"/>
              <w:right w:w="57" w:type="dxa"/>
            </w:tcMar>
          </w:tcPr>
          <w:p w:rsidR="000D6E6A" w:rsidP="00096403" w:rsidRDefault="000D6E6A">
            <w:pPr>
              <w:pStyle w:val="bodycopytabletable"/>
              <w:jc w:val="right"/>
            </w:pPr>
            <w:r>
              <w:t>N/A</w:t>
            </w:r>
          </w:p>
        </w:tc>
        <w:tc>
          <w:tcPr>
            <w:tcW w:w="1512" w:type="dxa"/>
            <w:tcBorders>
              <w:top w:val="dotted" w:color="542E8E" w:sz="4" w:space="0"/>
              <w:left w:val="nil"/>
              <w:bottom w:val="dotted" w:color="542E8E" w:sz="4" w:space="0"/>
              <w:right w:val="nil"/>
            </w:tcBorders>
            <w:tcMar>
              <w:top w:w="57" w:type="dxa"/>
              <w:left w:w="57" w:type="dxa"/>
              <w:bottom w:w="57" w:type="dxa"/>
              <w:right w:w="57" w:type="dxa"/>
            </w:tcMar>
          </w:tcPr>
          <w:p w:rsidR="000D6E6A" w:rsidP="00096403" w:rsidRDefault="000D6E6A">
            <w:pPr>
              <w:pStyle w:val="bodycopytabletable"/>
              <w:jc w:val="right"/>
            </w:pPr>
            <w:r>
              <w:t>N/A</w:t>
            </w:r>
          </w:p>
        </w:tc>
        <w:tc>
          <w:tcPr>
            <w:tcW w:w="1834" w:type="dxa"/>
            <w:tcBorders>
              <w:top w:val="dotted" w:color="542E8E" w:sz="4" w:space="0"/>
              <w:left w:val="nil"/>
              <w:bottom w:val="dotted" w:color="542E8E" w:sz="4" w:space="0"/>
              <w:right w:val="nil"/>
            </w:tcBorders>
            <w:tcMar>
              <w:top w:w="57" w:type="dxa"/>
              <w:left w:w="57" w:type="dxa"/>
              <w:bottom w:w="57" w:type="dxa"/>
              <w:right w:w="57" w:type="dxa"/>
            </w:tcMar>
          </w:tcPr>
          <w:p w:rsidR="000D6E6A" w:rsidP="00096403" w:rsidRDefault="000D6E6A">
            <w:pPr>
              <w:pStyle w:val="bodycopytabletable"/>
              <w:jc w:val="right"/>
            </w:pPr>
            <w:r>
              <w:t>3</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000D6E6A" w:rsidP="00096403" w:rsidRDefault="000D6E6A">
            <w:pPr>
              <w:pStyle w:val="bodycopytabletable"/>
              <w:jc w:val="right"/>
            </w:pPr>
            <w:r>
              <w:t>11</w:t>
            </w:r>
          </w:p>
        </w:tc>
      </w:tr>
      <w:tr w:rsidR="000D6E6A" w:rsidTr="00096403">
        <w:tblPrEx>
          <w:tblCellMar>
            <w:top w:w="0" w:type="dxa"/>
            <w:left w:w="0" w:type="dxa"/>
            <w:bottom w:w="0" w:type="dxa"/>
            <w:right w:w="0" w:type="dxa"/>
          </w:tblCellMar>
        </w:tblPrEx>
        <w:trPr>
          <w:trHeight w:val="113"/>
        </w:trPr>
        <w:tc>
          <w:tcPr>
            <w:tcW w:w="1512" w:type="dxa"/>
            <w:tcBorders>
              <w:top w:val="dotted" w:color="542E8E" w:sz="4" w:space="0"/>
              <w:left w:val="nil"/>
              <w:bottom w:val="dotted" w:color="542E8E" w:sz="4" w:space="0"/>
              <w:right w:val="nil"/>
            </w:tcBorders>
            <w:tcMar>
              <w:top w:w="57" w:type="dxa"/>
              <w:left w:w="57" w:type="dxa"/>
              <w:bottom w:w="57" w:type="dxa"/>
              <w:right w:w="57" w:type="dxa"/>
            </w:tcMar>
          </w:tcPr>
          <w:p w:rsidR="000D6E6A" w:rsidP="00096403" w:rsidRDefault="000D6E6A">
            <w:pPr>
              <w:pStyle w:val="bodycopytabletable"/>
            </w:pPr>
            <w:r>
              <w:t>2014</w:t>
            </w:r>
          </w:p>
        </w:tc>
        <w:tc>
          <w:tcPr>
            <w:tcW w:w="1512" w:type="dxa"/>
            <w:tcBorders>
              <w:top w:val="dotted" w:color="542E8E" w:sz="4" w:space="0"/>
              <w:left w:val="nil"/>
              <w:bottom w:val="dotted" w:color="542E8E" w:sz="4" w:space="0"/>
              <w:right w:val="nil"/>
            </w:tcBorders>
            <w:tcMar>
              <w:top w:w="57" w:type="dxa"/>
              <w:left w:w="57" w:type="dxa"/>
              <w:bottom w:w="57" w:type="dxa"/>
              <w:right w:w="57" w:type="dxa"/>
            </w:tcMar>
          </w:tcPr>
          <w:p w:rsidR="000D6E6A" w:rsidP="00096403" w:rsidRDefault="000D6E6A">
            <w:pPr>
              <w:pStyle w:val="bodycopytabletable"/>
              <w:jc w:val="right"/>
            </w:pPr>
            <w:r>
              <w:t>12</w:t>
            </w:r>
          </w:p>
        </w:tc>
        <w:tc>
          <w:tcPr>
            <w:tcW w:w="1511" w:type="dxa"/>
            <w:tcBorders>
              <w:top w:val="dotted" w:color="542E8E" w:sz="4" w:space="0"/>
              <w:left w:val="nil"/>
              <w:bottom w:val="dotted" w:color="542E8E" w:sz="4" w:space="0"/>
              <w:right w:val="nil"/>
            </w:tcBorders>
            <w:tcMar>
              <w:top w:w="57" w:type="dxa"/>
              <w:left w:w="57" w:type="dxa"/>
              <w:bottom w:w="57" w:type="dxa"/>
              <w:right w:w="57" w:type="dxa"/>
            </w:tcMar>
          </w:tcPr>
          <w:p w:rsidR="000D6E6A" w:rsidP="00096403" w:rsidRDefault="000D6E6A">
            <w:pPr>
              <w:pStyle w:val="bodycopytabletable"/>
              <w:jc w:val="right"/>
            </w:pPr>
            <w:r>
              <w:t>N/A</w:t>
            </w:r>
          </w:p>
        </w:tc>
        <w:tc>
          <w:tcPr>
            <w:tcW w:w="1512" w:type="dxa"/>
            <w:tcBorders>
              <w:top w:val="dotted" w:color="542E8E" w:sz="4" w:space="0"/>
              <w:left w:val="nil"/>
              <w:bottom w:val="dotted" w:color="542E8E" w:sz="4" w:space="0"/>
              <w:right w:val="nil"/>
            </w:tcBorders>
            <w:tcMar>
              <w:top w:w="57" w:type="dxa"/>
              <w:left w:w="57" w:type="dxa"/>
              <w:bottom w:w="57" w:type="dxa"/>
              <w:right w:w="57" w:type="dxa"/>
            </w:tcMar>
          </w:tcPr>
          <w:p w:rsidR="000D6E6A" w:rsidP="00096403" w:rsidRDefault="000D6E6A">
            <w:pPr>
              <w:pStyle w:val="bodycopytabletable"/>
              <w:jc w:val="right"/>
            </w:pPr>
            <w:r>
              <w:t>N/A</w:t>
            </w:r>
          </w:p>
        </w:tc>
        <w:tc>
          <w:tcPr>
            <w:tcW w:w="1834" w:type="dxa"/>
            <w:tcBorders>
              <w:top w:val="dotted" w:color="542E8E" w:sz="4" w:space="0"/>
              <w:left w:val="nil"/>
              <w:bottom w:val="dotted" w:color="542E8E" w:sz="4" w:space="0"/>
              <w:right w:val="nil"/>
            </w:tcBorders>
            <w:tcMar>
              <w:top w:w="57" w:type="dxa"/>
              <w:left w:w="57" w:type="dxa"/>
              <w:bottom w:w="57" w:type="dxa"/>
              <w:right w:w="57" w:type="dxa"/>
            </w:tcMar>
          </w:tcPr>
          <w:p w:rsidR="000D6E6A" w:rsidP="00096403" w:rsidRDefault="000D6E6A">
            <w:pPr>
              <w:pStyle w:val="bodycopytabletable"/>
              <w:jc w:val="right"/>
            </w:pPr>
            <w:r>
              <w:t>1</w:t>
            </w:r>
          </w:p>
        </w:tc>
        <w:tc>
          <w:tcPr>
            <w:tcW w:w="1418" w:type="dxa"/>
            <w:tcBorders>
              <w:top w:val="dotted" w:color="542E8E" w:sz="4" w:space="0"/>
              <w:left w:val="nil"/>
              <w:bottom w:val="dotted" w:color="542E8E" w:sz="4" w:space="0"/>
              <w:right w:val="nil"/>
            </w:tcBorders>
            <w:tcMar>
              <w:top w:w="57" w:type="dxa"/>
              <w:left w:w="57" w:type="dxa"/>
              <w:bottom w:w="57" w:type="dxa"/>
              <w:right w:w="57" w:type="dxa"/>
            </w:tcMar>
          </w:tcPr>
          <w:p w:rsidR="000D6E6A" w:rsidP="00096403" w:rsidRDefault="000D6E6A">
            <w:pPr>
              <w:pStyle w:val="bodycopytabletable"/>
              <w:jc w:val="right"/>
            </w:pPr>
            <w:r>
              <w:t>13</w:t>
            </w:r>
          </w:p>
        </w:tc>
      </w:tr>
      <w:tr w:rsidR="000D6E6A" w:rsidTr="00096403">
        <w:tblPrEx>
          <w:tblCellMar>
            <w:top w:w="0" w:type="dxa"/>
            <w:left w:w="0" w:type="dxa"/>
            <w:bottom w:w="0" w:type="dxa"/>
            <w:right w:w="0" w:type="dxa"/>
          </w:tblCellMar>
        </w:tblPrEx>
        <w:trPr>
          <w:trHeight w:val="113"/>
        </w:trPr>
        <w:tc>
          <w:tcPr>
            <w:tcW w:w="1512"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000D6E6A" w:rsidP="00096403" w:rsidRDefault="000D6E6A">
            <w:pPr>
              <w:pStyle w:val="bodycopytabletable"/>
            </w:pPr>
            <w:r>
              <w:rPr>
                <w:rStyle w:val="medium"/>
                <w:b/>
                <w:bCs/>
              </w:rPr>
              <w:t>Total</w:t>
            </w:r>
          </w:p>
        </w:tc>
        <w:tc>
          <w:tcPr>
            <w:tcW w:w="1512"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000D6E6A" w:rsidP="00096403" w:rsidRDefault="000D6E6A">
            <w:pPr>
              <w:pStyle w:val="bodycopytabletable"/>
              <w:jc w:val="right"/>
            </w:pPr>
            <w:r>
              <w:rPr>
                <w:rStyle w:val="medium"/>
                <w:b/>
                <w:bCs/>
              </w:rPr>
              <w:t>37</w:t>
            </w:r>
          </w:p>
        </w:tc>
        <w:tc>
          <w:tcPr>
            <w:tcW w:w="1511"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000D6E6A" w:rsidP="00096403" w:rsidRDefault="000D6E6A">
            <w:pPr>
              <w:pStyle w:val="bodycopytabletable"/>
              <w:jc w:val="right"/>
            </w:pPr>
            <w:r>
              <w:rPr>
                <w:rStyle w:val="medium"/>
                <w:b/>
                <w:bCs/>
              </w:rPr>
              <w:t>14</w:t>
            </w:r>
          </w:p>
        </w:tc>
        <w:tc>
          <w:tcPr>
            <w:tcW w:w="1512"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000D6E6A" w:rsidP="00096403" w:rsidRDefault="000D6E6A">
            <w:pPr>
              <w:pStyle w:val="bodycopytabletable"/>
              <w:jc w:val="right"/>
            </w:pPr>
            <w:r>
              <w:rPr>
                <w:rStyle w:val="medium"/>
                <w:b/>
                <w:bCs/>
              </w:rPr>
              <w:t>18</w:t>
            </w:r>
          </w:p>
        </w:tc>
        <w:tc>
          <w:tcPr>
            <w:tcW w:w="1834"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000D6E6A" w:rsidP="00096403" w:rsidRDefault="000D6E6A">
            <w:pPr>
              <w:pStyle w:val="bodycopytabletable"/>
              <w:jc w:val="right"/>
            </w:pPr>
            <w:r>
              <w:rPr>
                <w:rStyle w:val="medium"/>
                <w:b/>
                <w:bCs/>
              </w:rPr>
              <w:t>14</w:t>
            </w:r>
          </w:p>
        </w:tc>
        <w:tc>
          <w:tcPr>
            <w:tcW w:w="1418"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000D6E6A" w:rsidP="00096403" w:rsidRDefault="000D6E6A">
            <w:pPr>
              <w:pStyle w:val="bodycopytabletable"/>
              <w:jc w:val="right"/>
            </w:pPr>
            <w:r>
              <w:rPr>
                <w:rStyle w:val="medium"/>
                <w:b/>
                <w:bCs/>
              </w:rPr>
              <w:t>83</w:t>
            </w:r>
          </w:p>
        </w:tc>
      </w:tr>
    </w:tbl>
    <w:p w:rsidR="000D6E6A" w:rsidP="00096403" w:rsidRDefault="000D6E6A">
      <w:pPr>
        <w:pStyle w:val="notesspantable"/>
        <w:spacing w:before="60"/>
      </w:pPr>
      <w:proofErr w:type="spellStart"/>
      <w:proofErr w:type="gramStart"/>
      <w:r>
        <w:t>a</w:t>
      </w:r>
      <w:proofErr w:type="spellEnd"/>
      <w:proofErr w:type="gramEnd"/>
      <w:r>
        <w:tab/>
        <w:t>Includes one position funded by the Victorian Legal Services Board and Commissioner.</w:t>
      </w:r>
    </w:p>
    <w:p w:rsidR="000D6E6A" w:rsidRDefault="000D6E6A">
      <w:pPr>
        <w:pStyle w:val="notesspantable"/>
      </w:pPr>
      <w:r>
        <w:t>b</w:t>
      </w:r>
      <w:r>
        <w:tab/>
        <w:t xml:space="preserve">CCSGRADS program was being redesigned in 2017–18 to align with the Community Correctional Services (CCS) reform program and was put on hold. </w:t>
      </w:r>
    </w:p>
    <w:p w:rsidR="000D6E6A" w:rsidRDefault="000D6E6A">
      <w:pPr>
        <w:pStyle w:val="notesspantable"/>
      </w:pPr>
      <w:r>
        <w:t>c</w:t>
      </w:r>
      <w:r>
        <w:tab/>
        <w:t>Includes one position funded by the Victorian Responsible Gambling Foundation.</w:t>
      </w:r>
    </w:p>
    <w:p w:rsidR="000D6E6A" w:rsidRDefault="000D6E6A">
      <w:pPr>
        <w:pStyle w:val="notesspantable"/>
        <w:spacing w:after="227"/>
      </w:pPr>
      <w:r>
        <w:t>d</w:t>
      </w:r>
      <w:r>
        <w:tab/>
      </w:r>
      <w:proofErr w:type="gramStart"/>
      <w:r>
        <w:t>In</w:t>
      </w:r>
      <w:proofErr w:type="gramEnd"/>
      <w:r>
        <w:t xml:space="preserve"> 2017, two Aboriginal graduates were placed in the CCSGRADS and PSGRADS programs.</w:t>
      </w:r>
    </w:p>
    <w:p w:rsidR="000D6E6A" w:rsidRDefault="000D6E6A">
      <w:pPr>
        <w:pStyle w:val="H3"/>
      </w:pPr>
      <w:r>
        <w:t xml:space="preserve">Youth Employment Scheme </w:t>
      </w:r>
    </w:p>
    <w:p w:rsidR="000D6E6A" w:rsidRDefault="000D6E6A">
      <w:pPr>
        <w:pStyle w:val="Bodycopy"/>
      </w:pPr>
      <w:r>
        <w:t xml:space="preserve">The Youth Employment Scheme (YES) is a Victorian Government initiative designed to increase workforce participation of young people, particularly those facing significant barriers to employment. </w:t>
      </w:r>
    </w:p>
    <w:p w:rsidR="000D6E6A" w:rsidRDefault="000D6E6A">
      <w:pPr>
        <w:pStyle w:val="Bodycopy"/>
      </w:pPr>
      <w:r>
        <w:t xml:space="preserve">Through this program, 12-month traineeships are made available to young people aged between 15 and 24 years of age. </w:t>
      </w:r>
    </w:p>
    <w:p w:rsidR="000D6E6A" w:rsidRDefault="000D6E6A">
      <w:pPr>
        <w:pStyle w:val="Bodycopy"/>
        <w:rPr>
          <w:spacing w:val="2"/>
        </w:rPr>
      </w:pPr>
      <w:r>
        <w:rPr>
          <w:spacing w:val="2"/>
        </w:rPr>
        <w:t>Traineeships comprise a mixture of structured and on-the-job training. In 2017–18, the department recruited and placed 31 YES trainees.</w:t>
      </w:r>
    </w:p>
    <w:p w:rsidR="000D6E6A" w:rsidRDefault="000D6E6A">
      <w:pPr>
        <w:pStyle w:val="H3"/>
      </w:pPr>
      <w:r>
        <w:t>Youth Cadetship Scheme</w:t>
      </w:r>
    </w:p>
    <w:p w:rsidR="000D6E6A" w:rsidRDefault="000D6E6A">
      <w:pPr>
        <w:pStyle w:val="Bodycopy"/>
      </w:pPr>
      <w:r>
        <w:t>The Jobs Victoria Youth Cadetship Scheme (YCS) gives young Victorians a job in the public service and experience that will place them on the path to a meaningful career.</w:t>
      </w:r>
    </w:p>
    <w:p w:rsidR="000D6E6A" w:rsidRDefault="000D6E6A">
      <w:pPr>
        <w:pStyle w:val="Bodycopy"/>
      </w:pPr>
      <w:r>
        <w:t>The program provides sustainable employment to young people and aims to create a more diverse and inclusive workforce.</w:t>
      </w:r>
    </w:p>
    <w:p w:rsidR="000D6E6A" w:rsidRDefault="000D6E6A">
      <w:pPr>
        <w:pStyle w:val="Bodycopy"/>
        <w:rPr>
          <w:b/>
          <w:bCs/>
          <w:color w:val="542E8E"/>
          <w:sz w:val="24"/>
          <w:szCs w:val="24"/>
        </w:rPr>
      </w:pPr>
      <w:r>
        <w:t>The YCS was launched in 2016–17. In 2017–18, five cadets were recruited and commenced their cadetship in the department.</w:t>
      </w:r>
    </w:p>
    <w:p w:rsidR="000D6E6A" w:rsidRDefault="000D6E6A">
      <w:pPr>
        <w:pStyle w:val="H3"/>
      </w:pPr>
      <w:r>
        <w:lastRenderedPageBreak/>
        <w:t>Campaigns</w:t>
      </w:r>
    </w:p>
    <w:p w:rsidR="000D6E6A" w:rsidRDefault="000D6E6A">
      <w:pPr>
        <w:pStyle w:val="H4"/>
      </w:pPr>
      <w:r>
        <w:t>Youth justice custodial officers</w:t>
      </w:r>
    </w:p>
    <w:p w:rsidR="000D6E6A" w:rsidRDefault="000D6E6A">
      <w:pPr>
        <w:pStyle w:val="Bodycopy"/>
        <w:rPr>
          <w:spacing w:val="2"/>
        </w:rPr>
      </w:pPr>
      <w:r>
        <w:rPr>
          <w:spacing w:val="2"/>
        </w:rPr>
        <w:t xml:space="preserve">In July 2017, the department launched its first youth justice worker recruitment campaign for the Parkville and </w:t>
      </w:r>
      <w:proofErr w:type="spellStart"/>
      <w:r>
        <w:rPr>
          <w:spacing w:val="2"/>
        </w:rPr>
        <w:t>Malmsbury</w:t>
      </w:r>
      <w:proofErr w:type="spellEnd"/>
      <w:r>
        <w:rPr>
          <w:spacing w:val="2"/>
        </w:rPr>
        <w:t xml:space="preserve"> youth justice precincts. Two additional campaigns were run in January 2018 and May 2018. Across all campaigns a total of 2967 applications were </w:t>
      </w:r>
      <w:proofErr w:type="gramStart"/>
      <w:r>
        <w:rPr>
          <w:spacing w:val="2"/>
        </w:rPr>
        <w:t>received</w:t>
      </w:r>
      <w:proofErr w:type="gramEnd"/>
      <w:r>
        <w:rPr>
          <w:spacing w:val="2"/>
        </w:rPr>
        <w:t xml:space="preserve"> and 145 youth justice worker vacancies were filled. Innovative recruitment marketing material and selection tools were developed and implemented to attract candidates and ensure they were aligned to the role.</w:t>
      </w:r>
    </w:p>
    <w:p w:rsidR="000D6E6A" w:rsidRDefault="000D6E6A">
      <w:pPr>
        <w:pStyle w:val="H4"/>
      </w:pPr>
      <w:r>
        <w:t>Youth Control Order / Intensive Monitoring and Control Bail Supervision Scheme</w:t>
      </w:r>
    </w:p>
    <w:p w:rsidR="000D6E6A" w:rsidRDefault="000D6E6A">
      <w:pPr>
        <w:pStyle w:val="Bodycopy"/>
        <w:rPr>
          <w:color w:val="542E8E"/>
          <w:sz w:val="21"/>
          <w:szCs w:val="21"/>
        </w:rPr>
      </w:pPr>
      <w:r>
        <w:t xml:space="preserve">On 1 June 2018, the new Youth Control Order and Intensive Monitoring and Control Bail Supervision Scheme (Intensive Bail) was introduced. As a result, recruitment for advanced case managers and team leaders was conducted across the state with 31 staff appointed. </w:t>
      </w:r>
    </w:p>
    <w:p w:rsidR="000D6E6A" w:rsidRDefault="000D6E6A">
      <w:pPr>
        <w:pStyle w:val="H4"/>
      </w:pPr>
      <w:r>
        <w:t>Allied health clinicians</w:t>
      </w:r>
    </w:p>
    <w:p w:rsidR="000D6E6A" w:rsidRDefault="000D6E6A">
      <w:pPr>
        <w:pStyle w:val="Bodycopy"/>
      </w:pPr>
      <w:r>
        <w:t>In 2017–18, three allied health clinician recruitment campaigns were run in August 2017, January 2018 and May 2018. A total of 83 clinicians and senior clinicians were appointed through these campaigns across Specialised Offender Assessment and Treatment Services and the Offender Behaviour Programs. Employment marketing videos were produced to promote regional locations and highlight training programs that new clinical staff undergo upon commencing in their roles.</w:t>
      </w:r>
    </w:p>
    <w:p w:rsidR="000D6E6A" w:rsidRDefault="000D6E6A">
      <w:pPr>
        <w:pStyle w:val="H4"/>
      </w:pPr>
      <w:r>
        <w:t>Community Correctional Services (CCS) officers</w:t>
      </w:r>
    </w:p>
    <w:p w:rsidR="000D6E6A" w:rsidRDefault="000D6E6A">
      <w:pPr>
        <w:pStyle w:val="Bodycopy"/>
      </w:pPr>
      <w:r>
        <w:t xml:space="preserve">In 2017–18, the Recruitment Services team partnered with regions to attract and appoint 349 candidates in CCS roles across Victoria. </w:t>
      </w:r>
    </w:p>
    <w:p w:rsidR="000D6E6A" w:rsidRDefault="000D6E6A">
      <w:pPr>
        <w:pStyle w:val="H4"/>
      </w:pPr>
      <w:r>
        <w:t>Prison officers</w:t>
      </w:r>
    </w:p>
    <w:p w:rsidR="000D6E6A" w:rsidRDefault="000D6E6A">
      <w:pPr>
        <w:pStyle w:val="Bodycopy"/>
      </w:pPr>
      <w:r>
        <w:t>In 2017–18, the recruitment Services team appointed 546 prison officers, 389 of the appointees were external placements and 157 were internal placements.</w:t>
      </w:r>
    </w:p>
    <w:p w:rsidR="000D6E6A" w:rsidRDefault="000D6E6A">
      <w:pPr>
        <w:pStyle w:val="H2"/>
      </w:pPr>
      <w:r>
        <w:t>Learning and development</w:t>
      </w:r>
    </w:p>
    <w:p w:rsidR="000D6E6A" w:rsidRDefault="000D6E6A">
      <w:pPr>
        <w:pStyle w:val="Bodycopy"/>
      </w:pPr>
      <w:r>
        <w:t xml:space="preserve">The department provides learning and development for staff in recognition of the importance of building and developing their skills, knowledge and capabilities to meet current and future needs. Learning and development offered to staff in 2017–18 has been aligned to key reform areas including criminal justice, family violence and dispute resolution. </w:t>
      </w:r>
    </w:p>
    <w:p w:rsidR="000D6E6A" w:rsidRDefault="000D6E6A">
      <w:pPr>
        <w:pStyle w:val="Bodycopy"/>
        <w:rPr>
          <w:spacing w:val="2"/>
        </w:rPr>
      </w:pPr>
      <w:r>
        <w:rPr>
          <w:spacing w:val="2"/>
        </w:rPr>
        <w:t xml:space="preserve">An increase in the department’s workforce has contributed to the growth and volume of learning and development offered. In 2017–18, a total of 164,622 training courses were completed by staff with 47,657 of these delivered as </w:t>
      </w:r>
      <w:proofErr w:type="gramStart"/>
      <w:r>
        <w:rPr>
          <w:spacing w:val="2"/>
        </w:rPr>
        <w:t>classroom based</w:t>
      </w:r>
      <w:proofErr w:type="gramEnd"/>
      <w:r>
        <w:rPr>
          <w:spacing w:val="2"/>
        </w:rPr>
        <w:t xml:space="preserve"> learning and 116,965 courses as online self-paced learning. </w:t>
      </w:r>
    </w:p>
    <w:p w:rsidR="000D6E6A" w:rsidRDefault="000D6E6A">
      <w:pPr>
        <w:pStyle w:val="Bodycopy"/>
      </w:pPr>
      <w:r>
        <w:t xml:space="preserve">Following the machinery of government change on 3 April 2017, the department began to strengthen the training offered to staff in youth justice roles. In addition to induction into the department, newly recruited youth justice staff working in case management roles attended the Beginning Practice training program of 15 days. Youth justice custodial role training was extended from 15 to 33 days for new starters. 165 recruits to youth justice community based and custodial roles commenced induction training in 2017–18. </w:t>
      </w:r>
    </w:p>
    <w:p w:rsidR="000D6E6A" w:rsidRDefault="000D6E6A">
      <w:pPr>
        <w:pStyle w:val="Bodycopy"/>
      </w:pPr>
      <w:r>
        <w:t xml:space="preserve">Training has also been developed and delivered to support the implementation of youth justice reforms including Youth Control Orders, Intensive Bail, Child Safe Standards and the Reportable Conduct Scheme. </w:t>
      </w:r>
    </w:p>
    <w:p w:rsidR="000D6E6A" w:rsidRDefault="000D6E6A">
      <w:pPr>
        <w:pStyle w:val="Bodycopy"/>
      </w:pPr>
      <w:r>
        <w:t>In 2017–18, the department required staff to complete seven eLearning modules that inform them of their compliance responsibilities. The topics included safety and wellbeing, respect in the workplace, the VPS Code of Conduct and fraud prevention. As at June 2018, 30,000 modules have been completed in these compliance topics with this effort to continue into 2018-19. Staff also have access to a library of 200 professional development courses and desktop software support videos. The eLearning library includes modules on leadership, conflict management, communication skills and project management.</w:t>
      </w:r>
    </w:p>
    <w:p w:rsidR="000D6E6A" w:rsidRDefault="000D6E6A">
      <w:pPr>
        <w:pStyle w:val="Bodycopy"/>
      </w:pPr>
      <w:r>
        <w:t xml:space="preserve">Critical to workforce planning and development was the opportunity for executive officers to undertake the Victorian Leadership Academy program which provided executive development for VPS leaders. </w:t>
      </w:r>
    </w:p>
    <w:p w:rsidR="000D6E6A" w:rsidRDefault="000D6E6A">
      <w:pPr>
        <w:pStyle w:val="H3"/>
      </w:pPr>
      <w:r>
        <w:t>Leadership development</w:t>
      </w:r>
    </w:p>
    <w:p w:rsidR="000D6E6A" w:rsidRDefault="000D6E6A">
      <w:pPr>
        <w:pStyle w:val="Bodycopy"/>
      </w:pPr>
      <w:r>
        <w:t xml:space="preserve">The department supports participation of employees in various external and internal leadership development programs. </w:t>
      </w:r>
    </w:p>
    <w:p w:rsidR="000D6E6A" w:rsidRDefault="000D6E6A">
      <w:pPr>
        <w:pStyle w:val="Bodycopy"/>
      </w:pPr>
      <w:r>
        <w:t xml:space="preserve">The department’s internal leadership programs include the Emerging Leaders and Potential and New Managers programs. Specific programs for prison staff include the Officer Development Program, Senior Leadership Program, Management Program for Prison Supervisors, Supervisor Intensive Program, Squad Leaders workshop and the Leadership Development Program (managers). In total 496 staff have attended internal leadership development programs in 2017–18. </w:t>
      </w:r>
    </w:p>
    <w:p w:rsidR="000D6E6A" w:rsidRDefault="000D6E6A">
      <w:pPr>
        <w:pStyle w:val="Bodycopy"/>
      </w:pPr>
      <w:r>
        <w:t xml:space="preserve">These programs align with the Victorian </w:t>
      </w:r>
      <w:proofErr w:type="gramStart"/>
      <w:r>
        <w:t>Public Sector</w:t>
      </w:r>
      <w:proofErr w:type="gramEnd"/>
      <w:r>
        <w:t xml:space="preserve"> leadership framework. Capabilities developed include coaching and performance management skills, communication skills and building team resilience.</w:t>
      </w:r>
    </w:p>
    <w:p w:rsidR="000D6E6A" w:rsidRDefault="000D6E6A">
      <w:pPr>
        <w:pStyle w:val="Bodycopy"/>
      </w:pPr>
      <w:r>
        <w:t>The department also supports leaders to attend external programs that are relevant to key areas of focus for government leaders. These include programs that build leadership in public sector management and policy, build networks, and develop understanding of personal impact on others. In 2017–18, seven employees were selected to attend programs delivered by organisations such as Leadership Victoria and the Australia and New Zealand School of Government.</w:t>
      </w:r>
    </w:p>
    <w:p w:rsidR="00096403" w:rsidRDefault="00096403">
      <w:pPr>
        <w:rPr>
          <w:rFonts w:ascii="Arial" w:hAnsi="Arial" w:cs="Arial"/>
          <w:b/>
          <w:bCs/>
          <w:color w:val="542E8E"/>
          <w:sz w:val="27"/>
          <w:szCs w:val="27"/>
          <w:lang w:val="en-GB"/>
        </w:rPr>
      </w:pPr>
      <w:r>
        <w:rPr>
          <w:b/>
          <w:bCs/>
          <w:color w:val="542E8E"/>
          <w:sz w:val="27"/>
          <w:szCs w:val="27"/>
        </w:rPr>
        <w:br w:type="page"/>
      </w:r>
    </w:p>
    <w:p w:rsidR="000D6E6A" w:rsidRDefault="000D6E6A">
      <w:pPr>
        <w:pStyle w:val="Bodycopy"/>
        <w:rPr>
          <w:b/>
          <w:bCs/>
          <w:color w:val="542E8E"/>
          <w:sz w:val="27"/>
          <w:szCs w:val="27"/>
        </w:rPr>
      </w:pPr>
      <w:r>
        <w:rPr>
          <w:b/>
          <w:bCs/>
          <w:color w:val="542E8E"/>
          <w:sz w:val="27"/>
          <w:szCs w:val="27"/>
        </w:rPr>
        <w:lastRenderedPageBreak/>
        <w:t>People Matter Survey</w:t>
      </w:r>
    </w:p>
    <w:p w:rsidR="000D6E6A" w:rsidRDefault="000D6E6A">
      <w:pPr>
        <w:pStyle w:val="Bodycopy"/>
        <w:rPr>
          <w:spacing w:val="4"/>
        </w:rPr>
      </w:pPr>
      <w:r>
        <w:rPr>
          <w:spacing w:val="4"/>
        </w:rPr>
        <w:t xml:space="preserve">The department participated in the 2017–18 People Matter Survey. The survey enables staff to provide feedback on the culture and working conditions at the department. The results will inform a range of targeted activities to make the department a more satisfying and productive place to </w:t>
      </w:r>
      <w:proofErr w:type="gramStart"/>
      <w:r>
        <w:rPr>
          <w:spacing w:val="4"/>
        </w:rPr>
        <w:t>work, and</w:t>
      </w:r>
      <w:proofErr w:type="gramEnd"/>
      <w:r>
        <w:rPr>
          <w:spacing w:val="4"/>
        </w:rPr>
        <w:t xml:space="preserve"> inform internally designed training programs. In 2018, 42 per cent of staff (4,063) completed the survey, an increase of 753 staff responses or six per cent compared to 2017.</w:t>
      </w:r>
    </w:p>
    <w:p w:rsidR="000D6E6A" w:rsidRDefault="000D6E6A">
      <w:pPr>
        <w:pStyle w:val="H2"/>
      </w:pPr>
      <w:r>
        <w:t>Registered Training Organisation</w:t>
      </w:r>
    </w:p>
    <w:p w:rsidR="000D6E6A" w:rsidRDefault="000D6E6A">
      <w:pPr>
        <w:pStyle w:val="Bodycopy"/>
        <w:spacing w:after="57"/>
      </w:pPr>
      <w:r>
        <w:t>The department is committed to ensuring staff in key operational roles have access to nationally accredited training. The department achieves this goal by operating as a Registered Training Organisation (RTO) and partnering with business units to develop training programs that are specifically designed to meet the needs of employees joining, or seeking professional development, in roles within:</w:t>
      </w:r>
    </w:p>
    <w:p w:rsidR="000D6E6A" w:rsidRDefault="000D6E6A">
      <w:pPr>
        <w:pStyle w:val="BodycopyBullet"/>
      </w:pPr>
      <w:r>
        <w:t>IMES (sheriff’s officers)</w:t>
      </w:r>
    </w:p>
    <w:p w:rsidR="000D6E6A" w:rsidRDefault="000D6E6A">
      <w:pPr>
        <w:pStyle w:val="BodycopyBulletspaceunder"/>
      </w:pPr>
      <w:r>
        <w:t>Corrections Victoria (community corrections officers and custodial officers).</w:t>
      </w:r>
    </w:p>
    <w:p w:rsidR="000D6E6A" w:rsidRDefault="000D6E6A">
      <w:pPr>
        <w:pStyle w:val="Bodycopy"/>
        <w:rPr>
          <w:rStyle w:val="italic"/>
        </w:rPr>
      </w:pPr>
      <w:r>
        <w:t>In total, 674 staff received qualifications through the department’s RTO in 2017–18, and 796 new students (staff) were enrolled. The table below shows the distribution of qualifications awarded, statements of attainment (part qualifications) and enrolments to nationally accredited training.</w:t>
      </w:r>
      <w:r>
        <w:rPr>
          <w:rStyle w:val="italic"/>
        </w:rPr>
        <w:t xml:space="preserve"> </w:t>
      </w:r>
    </w:p>
    <w:p w:rsidR="000D6E6A" w:rsidRDefault="000D6E6A">
      <w:pPr>
        <w:pStyle w:val="Bodycopy"/>
        <w:spacing w:after="0"/>
        <w:rPr>
          <w:rStyle w:val="RegularItalic"/>
        </w:rPr>
      </w:pPr>
      <w:r>
        <w:rPr>
          <w:rStyle w:val="RegularItalic"/>
        </w:rPr>
        <w:t>Qualifications awarded in 2017–18</w:t>
      </w:r>
    </w:p>
    <w:tbl>
      <w:tblPr>
        <w:tblW w:w="0" w:type="auto"/>
        <w:tblInd w:w="57" w:type="dxa"/>
        <w:tblLayout w:type="fixed"/>
        <w:tblCellMar>
          <w:left w:w="0" w:type="dxa"/>
          <w:right w:w="0" w:type="dxa"/>
        </w:tblCellMar>
        <w:tblLook w:firstRow="0" w:lastRow="0" w:firstColumn="0" w:lastColumn="0" w:noHBand="0" w:noVBand="0" w:val="0000"/>
      </w:tblPr>
      <w:tblGrid>
        <w:gridCol w:w="7087"/>
        <w:gridCol w:w="1984"/>
      </w:tblGrid>
      <w:tr w:rsidR="000D6E6A">
        <w:tblPrEx>
          <w:tblCellMar>
            <w:top w:w="0" w:type="dxa"/>
            <w:left w:w="0" w:type="dxa"/>
            <w:bottom w:w="0" w:type="dxa"/>
            <w:right w:w="0" w:type="dxa"/>
          </w:tblCellMar>
        </w:tblPrEx>
        <w:trPr>
          <w:trHeight w:val="60"/>
          <w:tblHeader/>
        </w:trPr>
        <w:tc>
          <w:tcPr>
            <w:tcW w:w="7087" w:type="dxa"/>
            <w:tcBorders>
              <w:top w:val="dotted" w:color="000000" w:sz="6" w:space="0"/>
              <w:left w:val="nil"/>
              <w:bottom w:val="single" w:color="542E8E" w:sz="6" w:space="0"/>
              <w:right w:val="nil"/>
            </w:tcBorders>
            <w:shd w:val="solid" w:color="FFFFFF" w:fill="auto"/>
            <w:tcMar>
              <w:top w:w="68" w:type="dxa"/>
              <w:left w:w="57" w:type="dxa"/>
              <w:bottom w:w="68" w:type="dxa"/>
              <w:right w:w="57" w:type="dxa"/>
            </w:tcMar>
            <w:vAlign w:val="bottom"/>
          </w:tcPr>
          <w:p w:rsidR="000D6E6A" w:rsidRDefault="000D6E6A">
            <w:pPr>
              <w:pStyle w:val="bodycopytabletable"/>
            </w:pPr>
            <w:r>
              <w:rPr>
                <w:rStyle w:val="mediumpurple"/>
                <w:b/>
                <w:bCs/>
              </w:rPr>
              <w:t xml:space="preserve">Qualification </w:t>
            </w:r>
          </w:p>
        </w:tc>
        <w:tc>
          <w:tcPr>
            <w:tcW w:w="1984" w:type="dxa"/>
            <w:tcBorders>
              <w:top w:val="dotted" w:color="000000" w:sz="6" w:space="0"/>
              <w:left w:val="nil"/>
              <w:bottom w:val="single" w:color="542E8E" w:sz="6" w:space="0"/>
              <w:right w:val="nil"/>
            </w:tcBorders>
            <w:shd w:val="solid" w:color="FFFFFF" w:fill="auto"/>
            <w:tcMar>
              <w:top w:w="68" w:type="dxa"/>
              <w:left w:w="57" w:type="dxa"/>
              <w:bottom w:w="68" w:type="dxa"/>
              <w:right w:w="57" w:type="dxa"/>
            </w:tcMar>
            <w:vAlign w:val="bottom"/>
          </w:tcPr>
          <w:p w:rsidR="000D6E6A" w:rsidRDefault="000D6E6A">
            <w:pPr>
              <w:pStyle w:val="bodycopytabletable"/>
              <w:jc w:val="right"/>
            </w:pPr>
            <w:r>
              <w:rPr>
                <w:rStyle w:val="mediumpurple"/>
                <w:b/>
                <w:bCs/>
              </w:rPr>
              <w:t>Awards issued</w:t>
            </w:r>
          </w:p>
        </w:tc>
      </w:tr>
      <w:tr w:rsidR="000D6E6A">
        <w:tblPrEx>
          <w:tblCellMar>
            <w:top w:w="0" w:type="dxa"/>
            <w:left w:w="0" w:type="dxa"/>
            <w:bottom w:w="0" w:type="dxa"/>
            <w:right w:w="0" w:type="dxa"/>
          </w:tblCellMar>
        </w:tblPrEx>
        <w:trPr>
          <w:trHeight w:val="60"/>
        </w:trPr>
        <w:tc>
          <w:tcPr>
            <w:tcW w:w="7087" w:type="dxa"/>
            <w:tcBorders>
              <w:top w:val="dotted" w:color="542E8E" w:sz="4" w:space="0"/>
              <w:left w:val="nil"/>
              <w:bottom w:val="dotted" w:color="542E8E" w:sz="4" w:space="0"/>
              <w:right w:val="nil"/>
            </w:tcBorders>
            <w:tcMar>
              <w:top w:w="68" w:type="dxa"/>
              <w:left w:w="57" w:type="dxa"/>
              <w:bottom w:w="68" w:type="dxa"/>
              <w:right w:w="57" w:type="dxa"/>
            </w:tcMar>
          </w:tcPr>
          <w:p w:rsidR="000D6E6A" w:rsidRDefault="000D6E6A">
            <w:pPr>
              <w:pStyle w:val="bodycopytabletable"/>
            </w:pPr>
            <w:r>
              <w:t>CSC30115 Certificate III in Correctional Practice [Custodial]</w:t>
            </w:r>
          </w:p>
        </w:tc>
        <w:tc>
          <w:tcPr>
            <w:tcW w:w="1984" w:type="dxa"/>
            <w:tcBorders>
              <w:top w:val="dotted" w:color="542E8E" w:sz="4" w:space="0"/>
              <w:left w:val="nil"/>
              <w:bottom w:val="dotted" w:color="542E8E" w:sz="4" w:space="0"/>
              <w:right w:val="nil"/>
            </w:tcBorders>
            <w:tcMar>
              <w:top w:w="68" w:type="dxa"/>
              <w:left w:w="57" w:type="dxa"/>
              <w:bottom w:w="68" w:type="dxa"/>
              <w:right w:w="57" w:type="dxa"/>
            </w:tcMar>
          </w:tcPr>
          <w:p w:rsidR="000D6E6A" w:rsidRDefault="000D6E6A">
            <w:pPr>
              <w:pStyle w:val="bodycopytabletable"/>
              <w:jc w:val="right"/>
            </w:pPr>
            <w:r>
              <w:t>318</w:t>
            </w:r>
          </w:p>
        </w:tc>
      </w:tr>
      <w:tr w:rsidR="000D6E6A">
        <w:tblPrEx>
          <w:tblCellMar>
            <w:top w:w="0" w:type="dxa"/>
            <w:left w:w="0" w:type="dxa"/>
            <w:bottom w:w="0" w:type="dxa"/>
            <w:right w:w="0" w:type="dxa"/>
          </w:tblCellMar>
        </w:tblPrEx>
        <w:trPr>
          <w:trHeight w:val="60"/>
        </w:trPr>
        <w:tc>
          <w:tcPr>
            <w:tcW w:w="7087" w:type="dxa"/>
            <w:tcBorders>
              <w:top w:val="dotted" w:color="542E8E" w:sz="4" w:space="0"/>
              <w:left w:val="nil"/>
              <w:bottom w:val="dotted" w:color="542E8E" w:sz="4" w:space="0"/>
              <w:right w:val="nil"/>
            </w:tcBorders>
            <w:tcMar>
              <w:top w:w="68" w:type="dxa"/>
              <w:left w:w="57" w:type="dxa"/>
              <w:bottom w:w="68" w:type="dxa"/>
              <w:right w:w="57" w:type="dxa"/>
            </w:tcMar>
          </w:tcPr>
          <w:p w:rsidR="000D6E6A" w:rsidRDefault="000D6E6A">
            <w:pPr>
              <w:pStyle w:val="bodycopytabletable"/>
            </w:pPr>
            <w:r>
              <w:t>CSC30115 Certificate III in Correctional Practice [Community]</w:t>
            </w:r>
          </w:p>
        </w:tc>
        <w:tc>
          <w:tcPr>
            <w:tcW w:w="1984" w:type="dxa"/>
            <w:tcBorders>
              <w:top w:val="dotted" w:color="542E8E" w:sz="4" w:space="0"/>
              <w:left w:val="nil"/>
              <w:bottom w:val="dotted" w:color="542E8E" w:sz="4" w:space="0"/>
              <w:right w:val="nil"/>
            </w:tcBorders>
            <w:tcMar>
              <w:top w:w="68" w:type="dxa"/>
              <w:left w:w="57" w:type="dxa"/>
              <w:bottom w:w="68" w:type="dxa"/>
              <w:right w:w="57" w:type="dxa"/>
            </w:tcMar>
          </w:tcPr>
          <w:p w:rsidR="000D6E6A" w:rsidRDefault="000D6E6A">
            <w:pPr>
              <w:pStyle w:val="bodycopytabletable"/>
              <w:jc w:val="right"/>
            </w:pPr>
            <w:r>
              <w:t>293</w:t>
            </w:r>
          </w:p>
        </w:tc>
      </w:tr>
      <w:tr w:rsidR="000D6E6A">
        <w:tblPrEx>
          <w:tblCellMar>
            <w:top w:w="0" w:type="dxa"/>
            <w:left w:w="0" w:type="dxa"/>
            <w:bottom w:w="0" w:type="dxa"/>
            <w:right w:w="0" w:type="dxa"/>
          </w:tblCellMar>
        </w:tblPrEx>
        <w:trPr>
          <w:trHeight w:val="60"/>
        </w:trPr>
        <w:tc>
          <w:tcPr>
            <w:tcW w:w="7087" w:type="dxa"/>
            <w:tcBorders>
              <w:top w:val="dotted" w:color="542E8E" w:sz="4" w:space="0"/>
              <w:left w:val="nil"/>
              <w:bottom w:val="dotted" w:color="542E8E" w:sz="4" w:space="0"/>
              <w:right w:val="nil"/>
            </w:tcBorders>
            <w:tcMar>
              <w:top w:w="68" w:type="dxa"/>
              <w:left w:w="57" w:type="dxa"/>
              <w:bottom w:w="68" w:type="dxa"/>
              <w:right w:w="57" w:type="dxa"/>
            </w:tcMar>
          </w:tcPr>
          <w:p w:rsidR="000D6E6A" w:rsidRDefault="000D6E6A">
            <w:pPr>
              <w:pStyle w:val="bodycopytabletable"/>
            </w:pPr>
            <w:r>
              <w:t>CSC40115 Certificate IV in Correctional Practice</w:t>
            </w:r>
          </w:p>
        </w:tc>
        <w:tc>
          <w:tcPr>
            <w:tcW w:w="1984" w:type="dxa"/>
            <w:tcBorders>
              <w:top w:val="dotted" w:color="542E8E" w:sz="4" w:space="0"/>
              <w:left w:val="nil"/>
              <w:bottom w:val="dotted" w:color="542E8E" w:sz="4" w:space="0"/>
              <w:right w:val="nil"/>
            </w:tcBorders>
            <w:tcMar>
              <w:top w:w="68" w:type="dxa"/>
              <w:left w:w="57" w:type="dxa"/>
              <w:bottom w:w="68" w:type="dxa"/>
              <w:right w:w="57" w:type="dxa"/>
            </w:tcMar>
          </w:tcPr>
          <w:p w:rsidR="000D6E6A" w:rsidRDefault="000D6E6A">
            <w:pPr>
              <w:pStyle w:val="bodycopytabletable"/>
              <w:jc w:val="right"/>
            </w:pPr>
            <w:r>
              <w:t>16</w:t>
            </w:r>
          </w:p>
        </w:tc>
      </w:tr>
      <w:tr w:rsidR="000D6E6A">
        <w:tblPrEx>
          <w:tblCellMar>
            <w:top w:w="0" w:type="dxa"/>
            <w:left w:w="0" w:type="dxa"/>
            <w:bottom w:w="0" w:type="dxa"/>
            <w:right w:w="0" w:type="dxa"/>
          </w:tblCellMar>
        </w:tblPrEx>
        <w:trPr>
          <w:trHeight w:val="60"/>
        </w:trPr>
        <w:tc>
          <w:tcPr>
            <w:tcW w:w="7087" w:type="dxa"/>
            <w:tcBorders>
              <w:top w:val="dotted" w:color="542E8E" w:sz="4" w:space="0"/>
              <w:left w:val="nil"/>
              <w:bottom w:val="dotted" w:color="542E8E" w:sz="4" w:space="0"/>
              <w:right w:val="nil"/>
            </w:tcBorders>
            <w:tcMar>
              <w:top w:w="68" w:type="dxa"/>
              <w:left w:w="57" w:type="dxa"/>
              <w:bottom w:w="68" w:type="dxa"/>
              <w:right w:w="57" w:type="dxa"/>
            </w:tcMar>
          </w:tcPr>
          <w:p w:rsidR="000D6E6A" w:rsidRDefault="000D6E6A">
            <w:pPr>
              <w:pStyle w:val="bodycopytabletable"/>
            </w:pPr>
            <w:r>
              <w:t>PSP40216 Certificate IV in Court Operations [Compliance]</w:t>
            </w:r>
          </w:p>
        </w:tc>
        <w:tc>
          <w:tcPr>
            <w:tcW w:w="1984" w:type="dxa"/>
            <w:tcBorders>
              <w:top w:val="dotted" w:color="542E8E" w:sz="4" w:space="0"/>
              <w:left w:val="nil"/>
              <w:bottom w:val="dotted" w:color="542E8E" w:sz="4" w:space="0"/>
              <w:right w:val="nil"/>
            </w:tcBorders>
            <w:tcMar>
              <w:top w:w="68" w:type="dxa"/>
              <w:left w:w="57" w:type="dxa"/>
              <w:bottom w:w="68" w:type="dxa"/>
              <w:right w:w="57" w:type="dxa"/>
            </w:tcMar>
          </w:tcPr>
          <w:p w:rsidR="000D6E6A" w:rsidRDefault="000D6E6A">
            <w:pPr>
              <w:pStyle w:val="bodycopytabletable"/>
              <w:jc w:val="right"/>
            </w:pPr>
            <w:r>
              <w:t>34</w:t>
            </w:r>
          </w:p>
        </w:tc>
      </w:tr>
      <w:tr w:rsidR="000D6E6A">
        <w:tblPrEx>
          <w:tblCellMar>
            <w:top w:w="0" w:type="dxa"/>
            <w:left w:w="0" w:type="dxa"/>
            <w:bottom w:w="0" w:type="dxa"/>
            <w:right w:w="0" w:type="dxa"/>
          </w:tblCellMar>
        </w:tblPrEx>
        <w:trPr>
          <w:trHeight w:val="60"/>
        </w:trPr>
        <w:tc>
          <w:tcPr>
            <w:tcW w:w="7087" w:type="dxa"/>
            <w:tcBorders>
              <w:top w:val="dotted" w:color="542E8E" w:sz="4" w:space="0"/>
              <w:left w:val="nil"/>
              <w:bottom w:val="dotted" w:color="542E8E" w:sz="4" w:space="0"/>
              <w:right w:val="nil"/>
            </w:tcBorders>
            <w:tcMar>
              <w:top w:w="68" w:type="dxa"/>
              <w:left w:w="57" w:type="dxa"/>
              <w:bottom w:w="68" w:type="dxa"/>
              <w:right w:w="57" w:type="dxa"/>
            </w:tcMar>
          </w:tcPr>
          <w:p w:rsidR="000D6E6A" w:rsidRDefault="000D6E6A">
            <w:pPr>
              <w:pStyle w:val="bodycopytabletable"/>
            </w:pPr>
            <w:r>
              <w:t>PSP40312 Certificate IV in Government [Court Compliance]</w:t>
            </w:r>
          </w:p>
        </w:tc>
        <w:tc>
          <w:tcPr>
            <w:tcW w:w="1984" w:type="dxa"/>
            <w:tcBorders>
              <w:top w:val="dotted" w:color="542E8E" w:sz="4" w:space="0"/>
              <w:left w:val="nil"/>
              <w:bottom w:val="dotted" w:color="542E8E" w:sz="4" w:space="0"/>
              <w:right w:val="nil"/>
            </w:tcBorders>
            <w:tcMar>
              <w:top w:w="68" w:type="dxa"/>
              <w:left w:w="57" w:type="dxa"/>
              <w:bottom w:w="68" w:type="dxa"/>
              <w:right w:w="57" w:type="dxa"/>
            </w:tcMar>
          </w:tcPr>
          <w:p w:rsidR="000D6E6A" w:rsidRDefault="000D6E6A">
            <w:pPr>
              <w:pStyle w:val="bodycopytabletable"/>
              <w:jc w:val="right"/>
            </w:pPr>
            <w:r>
              <w:t>13</w:t>
            </w:r>
          </w:p>
        </w:tc>
      </w:tr>
      <w:tr w:rsidR="000D6E6A">
        <w:tblPrEx>
          <w:tblCellMar>
            <w:top w:w="0" w:type="dxa"/>
            <w:left w:w="0" w:type="dxa"/>
            <w:bottom w:w="0" w:type="dxa"/>
            <w:right w:w="0" w:type="dxa"/>
          </w:tblCellMar>
        </w:tblPrEx>
        <w:trPr>
          <w:trHeight w:val="60"/>
        </w:trPr>
        <w:tc>
          <w:tcPr>
            <w:tcW w:w="7087" w:type="dxa"/>
            <w:tcBorders>
              <w:top w:val="dotted" w:color="542E8E" w:sz="4" w:space="0"/>
              <w:left w:val="nil"/>
              <w:bottom w:val="single" w:color="542E8E" w:sz="4" w:space="0"/>
              <w:right w:val="nil"/>
            </w:tcBorders>
            <w:tcMar>
              <w:top w:w="68" w:type="dxa"/>
              <w:left w:w="57" w:type="dxa"/>
              <w:bottom w:w="68" w:type="dxa"/>
              <w:right w:w="57" w:type="dxa"/>
            </w:tcMar>
            <w:vAlign w:val="center"/>
          </w:tcPr>
          <w:p w:rsidR="000D6E6A" w:rsidRDefault="000D6E6A">
            <w:pPr>
              <w:pStyle w:val="bodycopytabletable"/>
            </w:pPr>
            <w:r>
              <w:rPr>
                <w:rStyle w:val="medium"/>
                <w:b/>
                <w:bCs/>
              </w:rPr>
              <w:t>Total qualifications awarded</w:t>
            </w:r>
          </w:p>
        </w:tc>
        <w:tc>
          <w:tcPr>
            <w:tcW w:w="1984" w:type="dxa"/>
            <w:tcBorders>
              <w:top w:val="dotted" w:color="542E8E" w:sz="4" w:space="0"/>
              <w:left w:val="nil"/>
              <w:bottom w:val="single" w:color="542E8E" w:sz="4" w:space="0"/>
              <w:right w:val="nil"/>
            </w:tcBorders>
            <w:tcMar>
              <w:top w:w="68" w:type="dxa"/>
              <w:left w:w="57" w:type="dxa"/>
              <w:bottom w:w="68" w:type="dxa"/>
              <w:right w:w="57" w:type="dxa"/>
            </w:tcMar>
            <w:vAlign w:val="center"/>
          </w:tcPr>
          <w:p w:rsidR="000D6E6A" w:rsidRDefault="000D6E6A">
            <w:pPr>
              <w:pStyle w:val="bodycopytabletable"/>
              <w:jc w:val="right"/>
            </w:pPr>
            <w:r>
              <w:rPr>
                <w:rStyle w:val="medium"/>
                <w:b/>
                <w:bCs/>
              </w:rPr>
              <w:t>674</w:t>
            </w:r>
          </w:p>
        </w:tc>
      </w:tr>
    </w:tbl>
    <w:p w:rsidR="000D6E6A" w:rsidRDefault="000D6E6A">
      <w:pPr>
        <w:pStyle w:val="Bodycopyspan"/>
        <w:spacing w:after="227"/>
        <w:rPr>
          <w:rStyle w:val="italic"/>
          <w:i/>
          <w:iCs/>
        </w:rPr>
      </w:pPr>
    </w:p>
    <w:p w:rsidR="000D6E6A" w:rsidRDefault="000D6E6A">
      <w:pPr>
        <w:pStyle w:val="Bodycopy"/>
        <w:spacing w:after="0"/>
        <w:rPr>
          <w:rStyle w:val="RegularItalic"/>
        </w:rPr>
      </w:pPr>
      <w:r>
        <w:rPr>
          <w:rStyle w:val="RegularItalic"/>
        </w:rPr>
        <w:t>Statements of attainment awarded in 2017–18</w:t>
      </w:r>
    </w:p>
    <w:tbl>
      <w:tblPr>
        <w:tblW w:w="0" w:type="auto"/>
        <w:tblInd w:w="57" w:type="dxa"/>
        <w:tblLayout w:type="fixed"/>
        <w:tblCellMar>
          <w:left w:w="0" w:type="dxa"/>
          <w:right w:w="0" w:type="dxa"/>
        </w:tblCellMar>
        <w:tblLook w:firstRow="0" w:lastRow="0" w:firstColumn="0" w:lastColumn="0" w:noHBand="0" w:noVBand="0" w:val="0000"/>
      </w:tblPr>
      <w:tblGrid>
        <w:gridCol w:w="7087"/>
        <w:gridCol w:w="1984"/>
      </w:tblGrid>
      <w:tr w:rsidR="000D6E6A">
        <w:tblPrEx>
          <w:tblCellMar>
            <w:top w:w="0" w:type="dxa"/>
            <w:left w:w="0" w:type="dxa"/>
            <w:bottom w:w="0" w:type="dxa"/>
            <w:right w:w="0" w:type="dxa"/>
          </w:tblCellMar>
        </w:tblPrEx>
        <w:trPr>
          <w:trHeight w:val="60"/>
          <w:tblHeader/>
        </w:trPr>
        <w:tc>
          <w:tcPr>
            <w:tcW w:w="7087" w:type="dxa"/>
            <w:tcBorders>
              <w:top w:val="dotted" w:color="000000" w:sz="6" w:space="0"/>
              <w:left w:val="nil"/>
              <w:bottom w:val="single" w:color="542E8E" w:sz="6" w:space="0"/>
              <w:right w:val="nil"/>
            </w:tcBorders>
            <w:shd w:val="solid" w:color="FFFFFF" w:fill="auto"/>
            <w:tcMar>
              <w:top w:w="68" w:type="dxa"/>
              <w:left w:w="57" w:type="dxa"/>
              <w:bottom w:w="68" w:type="dxa"/>
              <w:right w:w="57" w:type="dxa"/>
            </w:tcMar>
            <w:vAlign w:val="bottom"/>
          </w:tcPr>
          <w:p w:rsidR="000D6E6A" w:rsidRDefault="000D6E6A">
            <w:pPr>
              <w:pStyle w:val="bodycopytabletable"/>
            </w:pPr>
            <w:r>
              <w:rPr>
                <w:rStyle w:val="mediumpurple"/>
                <w:b/>
                <w:bCs/>
              </w:rPr>
              <w:t xml:space="preserve">Statements of attainment </w:t>
            </w:r>
          </w:p>
        </w:tc>
        <w:tc>
          <w:tcPr>
            <w:tcW w:w="1984" w:type="dxa"/>
            <w:tcBorders>
              <w:top w:val="dotted" w:color="000000" w:sz="6" w:space="0"/>
              <w:left w:val="nil"/>
              <w:bottom w:val="single" w:color="542E8E" w:sz="6" w:space="0"/>
              <w:right w:val="nil"/>
            </w:tcBorders>
            <w:shd w:val="solid" w:color="FFFFFF" w:fill="auto"/>
            <w:tcMar>
              <w:top w:w="68" w:type="dxa"/>
              <w:left w:w="57" w:type="dxa"/>
              <w:bottom w:w="68" w:type="dxa"/>
              <w:right w:w="57" w:type="dxa"/>
            </w:tcMar>
            <w:vAlign w:val="bottom"/>
          </w:tcPr>
          <w:p w:rsidR="000D6E6A" w:rsidRDefault="000D6E6A">
            <w:pPr>
              <w:pStyle w:val="bodycopytabletable"/>
              <w:jc w:val="right"/>
            </w:pPr>
            <w:r>
              <w:rPr>
                <w:rStyle w:val="mediumpurple"/>
                <w:b/>
                <w:bCs/>
              </w:rPr>
              <w:t>Statements issued</w:t>
            </w:r>
          </w:p>
        </w:tc>
      </w:tr>
      <w:tr w:rsidR="000D6E6A">
        <w:tblPrEx>
          <w:tblCellMar>
            <w:top w:w="0" w:type="dxa"/>
            <w:left w:w="0" w:type="dxa"/>
            <w:bottom w:w="0" w:type="dxa"/>
            <w:right w:w="0" w:type="dxa"/>
          </w:tblCellMar>
        </w:tblPrEx>
        <w:trPr>
          <w:trHeight w:val="60"/>
        </w:trPr>
        <w:tc>
          <w:tcPr>
            <w:tcW w:w="7087" w:type="dxa"/>
            <w:tcBorders>
              <w:top w:val="dotted" w:color="542E8E" w:sz="4" w:space="0"/>
              <w:left w:val="nil"/>
              <w:bottom w:val="dotted" w:color="542E8E" w:sz="4" w:space="0"/>
              <w:right w:val="nil"/>
            </w:tcBorders>
            <w:tcMar>
              <w:top w:w="68" w:type="dxa"/>
              <w:left w:w="57" w:type="dxa"/>
              <w:bottom w:w="68" w:type="dxa"/>
              <w:right w:w="57" w:type="dxa"/>
            </w:tcMar>
          </w:tcPr>
          <w:p w:rsidR="000D6E6A" w:rsidRDefault="000D6E6A">
            <w:pPr>
              <w:pStyle w:val="bodycopytabletable"/>
            </w:pPr>
            <w:r>
              <w:t>CSC30115 Certificate III in Correctional Practice [Custodial]</w:t>
            </w:r>
          </w:p>
        </w:tc>
        <w:tc>
          <w:tcPr>
            <w:tcW w:w="1984" w:type="dxa"/>
            <w:tcBorders>
              <w:top w:val="dotted" w:color="542E8E" w:sz="4" w:space="0"/>
              <w:left w:val="nil"/>
              <w:bottom w:val="dotted" w:color="542E8E" w:sz="4" w:space="0"/>
              <w:right w:val="nil"/>
            </w:tcBorders>
            <w:tcMar>
              <w:top w:w="68" w:type="dxa"/>
              <w:left w:w="57" w:type="dxa"/>
              <w:bottom w:w="68" w:type="dxa"/>
              <w:right w:w="57" w:type="dxa"/>
            </w:tcMar>
          </w:tcPr>
          <w:p w:rsidR="000D6E6A" w:rsidRDefault="000D6E6A">
            <w:pPr>
              <w:pStyle w:val="bodycopytabletable"/>
              <w:jc w:val="right"/>
            </w:pPr>
            <w:r>
              <w:t>53</w:t>
            </w:r>
          </w:p>
        </w:tc>
      </w:tr>
      <w:tr w:rsidR="000D6E6A">
        <w:tblPrEx>
          <w:tblCellMar>
            <w:top w:w="0" w:type="dxa"/>
            <w:left w:w="0" w:type="dxa"/>
            <w:bottom w:w="0" w:type="dxa"/>
            <w:right w:w="0" w:type="dxa"/>
          </w:tblCellMar>
        </w:tblPrEx>
        <w:trPr>
          <w:trHeight w:val="60"/>
        </w:trPr>
        <w:tc>
          <w:tcPr>
            <w:tcW w:w="7087" w:type="dxa"/>
            <w:tcBorders>
              <w:top w:val="dotted" w:color="542E8E" w:sz="4" w:space="0"/>
              <w:left w:val="nil"/>
              <w:bottom w:val="dotted" w:color="542E8E" w:sz="4" w:space="0"/>
              <w:right w:val="nil"/>
            </w:tcBorders>
            <w:tcMar>
              <w:top w:w="68" w:type="dxa"/>
              <w:left w:w="57" w:type="dxa"/>
              <w:bottom w:w="68" w:type="dxa"/>
              <w:right w:w="57" w:type="dxa"/>
            </w:tcMar>
          </w:tcPr>
          <w:p w:rsidR="000D6E6A" w:rsidRDefault="000D6E6A">
            <w:pPr>
              <w:pStyle w:val="bodycopytabletable"/>
            </w:pPr>
            <w:r>
              <w:t>CSC30115 Certificate III in Correctional Practice [Community]</w:t>
            </w:r>
          </w:p>
        </w:tc>
        <w:tc>
          <w:tcPr>
            <w:tcW w:w="1984" w:type="dxa"/>
            <w:tcBorders>
              <w:top w:val="dotted" w:color="542E8E" w:sz="4" w:space="0"/>
              <w:left w:val="nil"/>
              <w:bottom w:val="dotted" w:color="542E8E" w:sz="4" w:space="0"/>
              <w:right w:val="nil"/>
            </w:tcBorders>
            <w:tcMar>
              <w:top w:w="68" w:type="dxa"/>
              <w:left w:w="57" w:type="dxa"/>
              <w:bottom w:w="68" w:type="dxa"/>
              <w:right w:w="57" w:type="dxa"/>
            </w:tcMar>
          </w:tcPr>
          <w:p w:rsidR="000D6E6A" w:rsidRDefault="000D6E6A">
            <w:pPr>
              <w:pStyle w:val="bodycopytabletable"/>
              <w:jc w:val="right"/>
            </w:pPr>
            <w:r>
              <w:t>36</w:t>
            </w:r>
          </w:p>
        </w:tc>
      </w:tr>
      <w:tr w:rsidR="000D6E6A">
        <w:tblPrEx>
          <w:tblCellMar>
            <w:top w:w="0" w:type="dxa"/>
            <w:left w:w="0" w:type="dxa"/>
            <w:bottom w:w="0" w:type="dxa"/>
            <w:right w:w="0" w:type="dxa"/>
          </w:tblCellMar>
        </w:tblPrEx>
        <w:trPr>
          <w:trHeight w:val="60"/>
        </w:trPr>
        <w:tc>
          <w:tcPr>
            <w:tcW w:w="7087" w:type="dxa"/>
            <w:tcBorders>
              <w:top w:val="dotted" w:color="542E8E" w:sz="4" w:space="0"/>
              <w:left w:val="nil"/>
              <w:bottom w:val="dotted" w:color="542E8E" w:sz="4" w:space="0"/>
              <w:right w:val="nil"/>
            </w:tcBorders>
            <w:tcMar>
              <w:top w:w="68" w:type="dxa"/>
              <w:left w:w="57" w:type="dxa"/>
              <w:bottom w:w="68" w:type="dxa"/>
              <w:right w:w="57" w:type="dxa"/>
            </w:tcMar>
          </w:tcPr>
          <w:p w:rsidR="000D6E6A" w:rsidRDefault="000D6E6A">
            <w:pPr>
              <w:pStyle w:val="bodycopytabletable"/>
            </w:pPr>
            <w:r>
              <w:t>CSC40115 Certificate IV in Correctional Practice</w:t>
            </w:r>
          </w:p>
        </w:tc>
        <w:tc>
          <w:tcPr>
            <w:tcW w:w="1984" w:type="dxa"/>
            <w:tcBorders>
              <w:top w:val="dotted" w:color="542E8E" w:sz="4" w:space="0"/>
              <w:left w:val="nil"/>
              <w:bottom w:val="dotted" w:color="542E8E" w:sz="4" w:space="0"/>
              <w:right w:val="nil"/>
            </w:tcBorders>
            <w:tcMar>
              <w:top w:w="68" w:type="dxa"/>
              <w:left w:w="57" w:type="dxa"/>
              <w:bottom w:w="68" w:type="dxa"/>
              <w:right w:w="57" w:type="dxa"/>
            </w:tcMar>
          </w:tcPr>
          <w:p w:rsidR="000D6E6A" w:rsidRDefault="000D6E6A">
            <w:pPr>
              <w:pStyle w:val="bodycopytabletable"/>
              <w:jc w:val="right"/>
            </w:pPr>
            <w:r>
              <w:t>0</w:t>
            </w:r>
          </w:p>
        </w:tc>
      </w:tr>
      <w:tr w:rsidR="000D6E6A">
        <w:tblPrEx>
          <w:tblCellMar>
            <w:top w:w="0" w:type="dxa"/>
            <w:left w:w="0" w:type="dxa"/>
            <w:bottom w:w="0" w:type="dxa"/>
            <w:right w:w="0" w:type="dxa"/>
          </w:tblCellMar>
        </w:tblPrEx>
        <w:trPr>
          <w:trHeight w:val="60"/>
        </w:trPr>
        <w:tc>
          <w:tcPr>
            <w:tcW w:w="7087" w:type="dxa"/>
            <w:tcBorders>
              <w:top w:val="dotted" w:color="542E8E" w:sz="4" w:space="0"/>
              <w:left w:val="nil"/>
              <w:bottom w:val="dotted" w:color="542E8E" w:sz="4" w:space="0"/>
              <w:right w:val="nil"/>
            </w:tcBorders>
            <w:tcMar>
              <w:top w:w="68" w:type="dxa"/>
              <w:left w:w="57" w:type="dxa"/>
              <w:bottom w:w="68" w:type="dxa"/>
              <w:right w:w="57" w:type="dxa"/>
            </w:tcMar>
          </w:tcPr>
          <w:p w:rsidR="000D6E6A" w:rsidRDefault="000D6E6A">
            <w:pPr>
              <w:pStyle w:val="bodycopytabletable"/>
            </w:pPr>
            <w:r>
              <w:t>PSP40216 Certificate IV in Court Operations [Compliance]</w:t>
            </w:r>
          </w:p>
        </w:tc>
        <w:tc>
          <w:tcPr>
            <w:tcW w:w="1984" w:type="dxa"/>
            <w:tcBorders>
              <w:top w:val="dotted" w:color="542E8E" w:sz="4" w:space="0"/>
              <w:left w:val="nil"/>
              <w:bottom w:val="dotted" w:color="542E8E" w:sz="4" w:space="0"/>
              <w:right w:val="nil"/>
            </w:tcBorders>
            <w:tcMar>
              <w:top w:w="68" w:type="dxa"/>
              <w:left w:w="57" w:type="dxa"/>
              <w:bottom w:w="68" w:type="dxa"/>
              <w:right w:w="57" w:type="dxa"/>
            </w:tcMar>
          </w:tcPr>
          <w:p w:rsidR="000D6E6A" w:rsidRDefault="000D6E6A">
            <w:pPr>
              <w:pStyle w:val="bodycopytabletable"/>
              <w:jc w:val="right"/>
            </w:pPr>
            <w:r>
              <w:t>0</w:t>
            </w:r>
          </w:p>
        </w:tc>
      </w:tr>
      <w:tr w:rsidR="000D6E6A">
        <w:tblPrEx>
          <w:tblCellMar>
            <w:top w:w="0" w:type="dxa"/>
            <w:left w:w="0" w:type="dxa"/>
            <w:bottom w:w="0" w:type="dxa"/>
            <w:right w:w="0" w:type="dxa"/>
          </w:tblCellMar>
        </w:tblPrEx>
        <w:trPr>
          <w:trHeight w:val="60"/>
        </w:trPr>
        <w:tc>
          <w:tcPr>
            <w:tcW w:w="7087" w:type="dxa"/>
            <w:tcBorders>
              <w:top w:val="dotted" w:color="542E8E" w:sz="4" w:space="0"/>
              <w:left w:val="nil"/>
              <w:bottom w:val="dotted" w:color="542E8E" w:sz="4" w:space="0"/>
              <w:right w:val="nil"/>
            </w:tcBorders>
            <w:tcMar>
              <w:top w:w="68" w:type="dxa"/>
              <w:left w:w="57" w:type="dxa"/>
              <w:bottom w:w="68" w:type="dxa"/>
              <w:right w:w="57" w:type="dxa"/>
            </w:tcMar>
          </w:tcPr>
          <w:p w:rsidR="000D6E6A" w:rsidRDefault="000D6E6A">
            <w:pPr>
              <w:pStyle w:val="bodycopytabletable"/>
            </w:pPr>
            <w:r>
              <w:t>PSP40312 Certificate IV in Government [Court Compliance]</w:t>
            </w:r>
          </w:p>
        </w:tc>
        <w:tc>
          <w:tcPr>
            <w:tcW w:w="1984" w:type="dxa"/>
            <w:tcBorders>
              <w:top w:val="dotted" w:color="542E8E" w:sz="4" w:space="0"/>
              <w:left w:val="nil"/>
              <w:bottom w:val="dotted" w:color="542E8E" w:sz="4" w:space="0"/>
              <w:right w:val="nil"/>
            </w:tcBorders>
            <w:tcMar>
              <w:top w:w="68" w:type="dxa"/>
              <w:left w:w="57" w:type="dxa"/>
              <w:bottom w:w="68" w:type="dxa"/>
              <w:right w:w="57" w:type="dxa"/>
            </w:tcMar>
          </w:tcPr>
          <w:p w:rsidR="000D6E6A" w:rsidRDefault="000D6E6A">
            <w:pPr>
              <w:pStyle w:val="bodycopytabletable"/>
              <w:jc w:val="right"/>
            </w:pPr>
            <w:r>
              <w:t>0</w:t>
            </w:r>
          </w:p>
        </w:tc>
      </w:tr>
      <w:tr w:rsidR="000D6E6A">
        <w:tblPrEx>
          <w:tblCellMar>
            <w:top w:w="0" w:type="dxa"/>
            <w:left w:w="0" w:type="dxa"/>
            <w:bottom w:w="0" w:type="dxa"/>
            <w:right w:w="0" w:type="dxa"/>
          </w:tblCellMar>
        </w:tblPrEx>
        <w:trPr>
          <w:trHeight w:val="60"/>
        </w:trPr>
        <w:tc>
          <w:tcPr>
            <w:tcW w:w="7087" w:type="dxa"/>
            <w:tcBorders>
              <w:top w:val="dotted" w:color="542E8E" w:sz="4" w:space="0"/>
              <w:left w:val="nil"/>
              <w:bottom w:val="single" w:color="542E8E" w:sz="4" w:space="0"/>
              <w:right w:val="nil"/>
            </w:tcBorders>
            <w:tcMar>
              <w:top w:w="68" w:type="dxa"/>
              <w:left w:w="57" w:type="dxa"/>
              <w:bottom w:w="68" w:type="dxa"/>
              <w:right w:w="57" w:type="dxa"/>
            </w:tcMar>
            <w:vAlign w:val="center"/>
          </w:tcPr>
          <w:p w:rsidR="000D6E6A" w:rsidRDefault="000D6E6A">
            <w:pPr>
              <w:pStyle w:val="bodycopytabletable"/>
            </w:pPr>
            <w:r>
              <w:rPr>
                <w:rStyle w:val="medium"/>
                <w:b/>
                <w:bCs/>
              </w:rPr>
              <w:t>Total statements issued</w:t>
            </w:r>
          </w:p>
        </w:tc>
        <w:tc>
          <w:tcPr>
            <w:tcW w:w="1984" w:type="dxa"/>
            <w:tcBorders>
              <w:top w:val="dotted" w:color="542E8E" w:sz="4" w:space="0"/>
              <w:left w:val="nil"/>
              <w:bottom w:val="single" w:color="542E8E" w:sz="4" w:space="0"/>
              <w:right w:val="nil"/>
            </w:tcBorders>
            <w:tcMar>
              <w:top w:w="68" w:type="dxa"/>
              <w:left w:w="57" w:type="dxa"/>
              <w:bottom w:w="68" w:type="dxa"/>
              <w:right w:w="57" w:type="dxa"/>
            </w:tcMar>
            <w:vAlign w:val="center"/>
          </w:tcPr>
          <w:p w:rsidR="000D6E6A" w:rsidRDefault="000D6E6A">
            <w:pPr>
              <w:pStyle w:val="bodycopytabletable"/>
              <w:jc w:val="right"/>
            </w:pPr>
            <w:r>
              <w:rPr>
                <w:rStyle w:val="medium"/>
                <w:b/>
                <w:bCs/>
              </w:rPr>
              <w:t>89</w:t>
            </w:r>
          </w:p>
        </w:tc>
      </w:tr>
    </w:tbl>
    <w:p w:rsidR="000D6E6A" w:rsidRDefault="000D6E6A">
      <w:pPr>
        <w:pStyle w:val="Bodycopyspan"/>
        <w:spacing w:after="227"/>
        <w:rPr>
          <w:rStyle w:val="italic"/>
          <w:i/>
          <w:iCs/>
          <w:sz w:val="20"/>
          <w:szCs w:val="20"/>
          <w:lang w:val="en-AU"/>
        </w:rPr>
      </w:pPr>
    </w:p>
    <w:p w:rsidR="000D6E6A" w:rsidRDefault="000D6E6A">
      <w:pPr>
        <w:pStyle w:val="Bodycopy"/>
        <w:spacing w:after="0"/>
        <w:rPr>
          <w:rStyle w:val="RegularItalic"/>
        </w:rPr>
      </w:pPr>
      <w:r>
        <w:rPr>
          <w:rStyle w:val="RegularItalic"/>
        </w:rPr>
        <w:t>New enrolments in 2017–18</w:t>
      </w:r>
    </w:p>
    <w:tbl>
      <w:tblPr>
        <w:tblW w:w="0" w:type="auto"/>
        <w:tblInd w:w="57" w:type="dxa"/>
        <w:tblLayout w:type="fixed"/>
        <w:tblCellMar>
          <w:left w:w="0" w:type="dxa"/>
          <w:right w:w="0" w:type="dxa"/>
        </w:tblCellMar>
        <w:tblLook w:firstRow="0" w:lastRow="0" w:firstColumn="0" w:lastColumn="0" w:noHBand="0" w:noVBand="0" w:val="0000"/>
      </w:tblPr>
      <w:tblGrid>
        <w:gridCol w:w="7087"/>
        <w:gridCol w:w="1984"/>
      </w:tblGrid>
      <w:tr w:rsidR="000D6E6A">
        <w:tblPrEx>
          <w:tblCellMar>
            <w:top w:w="0" w:type="dxa"/>
            <w:left w:w="0" w:type="dxa"/>
            <w:bottom w:w="0" w:type="dxa"/>
            <w:right w:w="0" w:type="dxa"/>
          </w:tblCellMar>
        </w:tblPrEx>
        <w:trPr>
          <w:trHeight w:val="60"/>
          <w:tblHeader/>
        </w:trPr>
        <w:tc>
          <w:tcPr>
            <w:tcW w:w="7087" w:type="dxa"/>
            <w:tcBorders>
              <w:top w:val="dotted" w:color="000000" w:sz="6" w:space="0"/>
              <w:left w:val="nil"/>
              <w:bottom w:val="single" w:color="542E8E" w:sz="6" w:space="0"/>
              <w:right w:val="nil"/>
            </w:tcBorders>
            <w:shd w:val="solid" w:color="FFFFFF" w:fill="auto"/>
            <w:tcMar>
              <w:top w:w="68" w:type="dxa"/>
              <w:left w:w="57" w:type="dxa"/>
              <w:bottom w:w="68" w:type="dxa"/>
              <w:right w:w="57" w:type="dxa"/>
            </w:tcMar>
            <w:vAlign w:val="bottom"/>
          </w:tcPr>
          <w:p w:rsidR="000D6E6A" w:rsidRDefault="000D6E6A">
            <w:pPr>
              <w:pStyle w:val="bodycopytabletable"/>
            </w:pPr>
            <w:r>
              <w:rPr>
                <w:rStyle w:val="mediumpurple"/>
                <w:b/>
                <w:bCs/>
              </w:rPr>
              <w:t xml:space="preserve">Enrolments in qualifications </w:t>
            </w:r>
          </w:p>
        </w:tc>
        <w:tc>
          <w:tcPr>
            <w:tcW w:w="1984" w:type="dxa"/>
            <w:tcBorders>
              <w:top w:val="dotted" w:color="000000" w:sz="6" w:space="0"/>
              <w:left w:val="nil"/>
              <w:bottom w:val="single" w:color="542E8E" w:sz="6" w:space="0"/>
              <w:right w:val="nil"/>
            </w:tcBorders>
            <w:shd w:val="solid" w:color="FFFFFF" w:fill="auto"/>
            <w:tcMar>
              <w:top w:w="68" w:type="dxa"/>
              <w:left w:w="57" w:type="dxa"/>
              <w:bottom w:w="68" w:type="dxa"/>
              <w:right w:w="57" w:type="dxa"/>
            </w:tcMar>
            <w:vAlign w:val="bottom"/>
          </w:tcPr>
          <w:p w:rsidR="000D6E6A" w:rsidRDefault="000D6E6A">
            <w:pPr>
              <w:pStyle w:val="bodycopytabletable"/>
              <w:jc w:val="right"/>
            </w:pPr>
            <w:r>
              <w:rPr>
                <w:rStyle w:val="mediumpurple"/>
                <w:b/>
                <w:bCs/>
              </w:rPr>
              <w:t>Numbers</w:t>
            </w:r>
          </w:p>
        </w:tc>
      </w:tr>
      <w:tr w:rsidR="000D6E6A">
        <w:tblPrEx>
          <w:tblCellMar>
            <w:top w:w="0" w:type="dxa"/>
            <w:left w:w="0" w:type="dxa"/>
            <w:bottom w:w="0" w:type="dxa"/>
            <w:right w:w="0" w:type="dxa"/>
          </w:tblCellMar>
        </w:tblPrEx>
        <w:trPr>
          <w:trHeight w:val="60"/>
        </w:trPr>
        <w:tc>
          <w:tcPr>
            <w:tcW w:w="7087" w:type="dxa"/>
            <w:tcBorders>
              <w:top w:val="dotted" w:color="542E8E" w:sz="4" w:space="0"/>
              <w:left w:val="nil"/>
              <w:bottom w:val="dotted" w:color="542E8E" w:sz="4" w:space="0"/>
              <w:right w:val="nil"/>
            </w:tcBorders>
            <w:tcMar>
              <w:top w:w="68" w:type="dxa"/>
              <w:left w:w="57" w:type="dxa"/>
              <w:bottom w:w="68" w:type="dxa"/>
              <w:right w:w="57" w:type="dxa"/>
            </w:tcMar>
          </w:tcPr>
          <w:p w:rsidR="000D6E6A" w:rsidRDefault="000D6E6A">
            <w:pPr>
              <w:pStyle w:val="bodycopytabletable"/>
            </w:pPr>
            <w:r>
              <w:t>CSC30115 Certificate III in Correctional Practice [Custodial]</w:t>
            </w:r>
          </w:p>
        </w:tc>
        <w:tc>
          <w:tcPr>
            <w:tcW w:w="1984" w:type="dxa"/>
            <w:tcBorders>
              <w:top w:val="dotted" w:color="542E8E" w:sz="4" w:space="0"/>
              <w:left w:val="nil"/>
              <w:bottom w:val="dotted" w:color="542E8E" w:sz="4" w:space="0"/>
              <w:right w:val="nil"/>
            </w:tcBorders>
            <w:tcMar>
              <w:top w:w="68" w:type="dxa"/>
              <w:left w:w="57" w:type="dxa"/>
              <w:bottom w:w="68" w:type="dxa"/>
              <w:right w:w="57" w:type="dxa"/>
            </w:tcMar>
          </w:tcPr>
          <w:p w:rsidR="000D6E6A" w:rsidRDefault="000D6E6A">
            <w:pPr>
              <w:pStyle w:val="bodycopytabletable"/>
              <w:jc w:val="right"/>
            </w:pPr>
            <w:r>
              <w:t>507</w:t>
            </w:r>
          </w:p>
        </w:tc>
      </w:tr>
      <w:tr w:rsidR="000D6E6A">
        <w:tblPrEx>
          <w:tblCellMar>
            <w:top w:w="0" w:type="dxa"/>
            <w:left w:w="0" w:type="dxa"/>
            <w:bottom w:w="0" w:type="dxa"/>
            <w:right w:w="0" w:type="dxa"/>
          </w:tblCellMar>
        </w:tblPrEx>
        <w:trPr>
          <w:trHeight w:val="60"/>
        </w:trPr>
        <w:tc>
          <w:tcPr>
            <w:tcW w:w="7087" w:type="dxa"/>
            <w:tcBorders>
              <w:top w:val="dotted" w:color="542E8E" w:sz="4" w:space="0"/>
              <w:left w:val="nil"/>
              <w:bottom w:val="dotted" w:color="542E8E" w:sz="4" w:space="0"/>
              <w:right w:val="nil"/>
            </w:tcBorders>
            <w:tcMar>
              <w:top w:w="68" w:type="dxa"/>
              <w:left w:w="57" w:type="dxa"/>
              <w:bottom w:w="68" w:type="dxa"/>
              <w:right w:w="57" w:type="dxa"/>
            </w:tcMar>
          </w:tcPr>
          <w:p w:rsidR="000D6E6A" w:rsidRDefault="000D6E6A">
            <w:pPr>
              <w:pStyle w:val="bodycopytabletable"/>
            </w:pPr>
            <w:r>
              <w:t>CSC30115 Certificate III in Correctional Practice [Community]</w:t>
            </w:r>
          </w:p>
        </w:tc>
        <w:tc>
          <w:tcPr>
            <w:tcW w:w="1984" w:type="dxa"/>
            <w:tcBorders>
              <w:top w:val="dotted" w:color="542E8E" w:sz="4" w:space="0"/>
              <w:left w:val="nil"/>
              <w:bottom w:val="dotted" w:color="542E8E" w:sz="4" w:space="0"/>
              <w:right w:val="nil"/>
            </w:tcBorders>
            <w:tcMar>
              <w:top w:w="68" w:type="dxa"/>
              <w:left w:w="57" w:type="dxa"/>
              <w:bottom w:w="68" w:type="dxa"/>
              <w:right w:w="57" w:type="dxa"/>
            </w:tcMar>
          </w:tcPr>
          <w:p w:rsidR="000D6E6A" w:rsidRDefault="000D6E6A">
            <w:pPr>
              <w:pStyle w:val="bodycopytabletable"/>
              <w:jc w:val="right"/>
            </w:pPr>
            <w:r>
              <w:t>174</w:t>
            </w:r>
          </w:p>
        </w:tc>
      </w:tr>
      <w:tr w:rsidR="000D6E6A">
        <w:tblPrEx>
          <w:tblCellMar>
            <w:top w:w="0" w:type="dxa"/>
            <w:left w:w="0" w:type="dxa"/>
            <w:bottom w:w="0" w:type="dxa"/>
            <w:right w:w="0" w:type="dxa"/>
          </w:tblCellMar>
        </w:tblPrEx>
        <w:trPr>
          <w:trHeight w:val="60"/>
        </w:trPr>
        <w:tc>
          <w:tcPr>
            <w:tcW w:w="7087" w:type="dxa"/>
            <w:tcBorders>
              <w:top w:val="dotted" w:color="542E8E" w:sz="4" w:space="0"/>
              <w:left w:val="nil"/>
              <w:bottom w:val="dotted" w:color="542E8E" w:sz="4" w:space="0"/>
              <w:right w:val="nil"/>
            </w:tcBorders>
            <w:tcMar>
              <w:top w:w="68" w:type="dxa"/>
              <w:left w:w="57" w:type="dxa"/>
              <w:bottom w:w="68" w:type="dxa"/>
              <w:right w:w="57" w:type="dxa"/>
            </w:tcMar>
          </w:tcPr>
          <w:p w:rsidR="000D6E6A" w:rsidRDefault="000D6E6A">
            <w:pPr>
              <w:pStyle w:val="bodycopytabletable"/>
            </w:pPr>
            <w:r>
              <w:t>CSC40115 Certificate IV in Correctional Practice</w:t>
            </w:r>
          </w:p>
        </w:tc>
        <w:tc>
          <w:tcPr>
            <w:tcW w:w="1984" w:type="dxa"/>
            <w:tcBorders>
              <w:top w:val="dotted" w:color="542E8E" w:sz="4" w:space="0"/>
              <w:left w:val="nil"/>
              <w:bottom w:val="dotted" w:color="542E8E" w:sz="4" w:space="0"/>
              <w:right w:val="nil"/>
            </w:tcBorders>
            <w:tcMar>
              <w:top w:w="68" w:type="dxa"/>
              <w:left w:w="57" w:type="dxa"/>
              <w:bottom w:w="68" w:type="dxa"/>
              <w:right w:w="57" w:type="dxa"/>
            </w:tcMar>
          </w:tcPr>
          <w:p w:rsidR="000D6E6A" w:rsidRDefault="000D6E6A">
            <w:pPr>
              <w:pStyle w:val="bodycopytabletable"/>
              <w:jc w:val="right"/>
            </w:pPr>
            <w:r>
              <w:t>78</w:t>
            </w:r>
          </w:p>
        </w:tc>
      </w:tr>
      <w:tr w:rsidR="000D6E6A">
        <w:tblPrEx>
          <w:tblCellMar>
            <w:top w:w="0" w:type="dxa"/>
            <w:left w:w="0" w:type="dxa"/>
            <w:bottom w:w="0" w:type="dxa"/>
            <w:right w:w="0" w:type="dxa"/>
          </w:tblCellMar>
        </w:tblPrEx>
        <w:trPr>
          <w:trHeight w:val="60"/>
        </w:trPr>
        <w:tc>
          <w:tcPr>
            <w:tcW w:w="7087" w:type="dxa"/>
            <w:tcBorders>
              <w:top w:val="dotted" w:color="542E8E" w:sz="4" w:space="0"/>
              <w:left w:val="nil"/>
              <w:bottom w:val="dotted" w:color="542E8E" w:sz="4" w:space="0"/>
              <w:right w:val="nil"/>
            </w:tcBorders>
            <w:tcMar>
              <w:top w:w="68" w:type="dxa"/>
              <w:left w:w="57" w:type="dxa"/>
              <w:bottom w:w="68" w:type="dxa"/>
              <w:right w:w="57" w:type="dxa"/>
            </w:tcMar>
          </w:tcPr>
          <w:p w:rsidR="000D6E6A" w:rsidRDefault="000D6E6A">
            <w:pPr>
              <w:pStyle w:val="bodycopytabletable"/>
            </w:pPr>
            <w:r>
              <w:t>PSP40216 Certificate IV in Court Operations [Compliance]</w:t>
            </w:r>
          </w:p>
        </w:tc>
        <w:tc>
          <w:tcPr>
            <w:tcW w:w="1984" w:type="dxa"/>
            <w:tcBorders>
              <w:top w:val="dotted" w:color="542E8E" w:sz="4" w:space="0"/>
              <w:left w:val="nil"/>
              <w:bottom w:val="dotted" w:color="542E8E" w:sz="4" w:space="0"/>
              <w:right w:val="nil"/>
            </w:tcBorders>
            <w:tcMar>
              <w:top w:w="68" w:type="dxa"/>
              <w:left w:w="57" w:type="dxa"/>
              <w:bottom w:w="68" w:type="dxa"/>
              <w:right w:w="57" w:type="dxa"/>
            </w:tcMar>
          </w:tcPr>
          <w:p w:rsidR="000D6E6A" w:rsidRDefault="000D6E6A">
            <w:pPr>
              <w:pStyle w:val="bodycopytabletable"/>
              <w:jc w:val="right"/>
            </w:pPr>
            <w:r>
              <w:t>35</w:t>
            </w:r>
          </w:p>
        </w:tc>
      </w:tr>
      <w:tr w:rsidR="000D6E6A">
        <w:tblPrEx>
          <w:tblCellMar>
            <w:top w:w="0" w:type="dxa"/>
            <w:left w:w="0" w:type="dxa"/>
            <w:bottom w:w="0" w:type="dxa"/>
            <w:right w:w="0" w:type="dxa"/>
          </w:tblCellMar>
        </w:tblPrEx>
        <w:trPr>
          <w:trHeight w:val="60"/>
        </w:trPr>
        <w:tc>
          <w:tcPr>
            <w:tcW w:w="7087" w:type="dxa"/>
            <w:tcBorders>
              <w:top w:val="dotted" w:color="542E8E" w:sz="4" w:space="0"/>
              <w:left w:val="nil"/>
              <w:bottom w:val="dotted" w:color="542E8E" w:sz="4" w:space="0"/>
              <w:right w:val="nil"/>
            </w:tcBorders>
            <w:tcMar>
              <w:top w:w="68" w:type="dxa"/>
              <w:left w:w="57" w:type="dxa"/>
              <w:bottom w:w="68" w:type="dxa"/>
              <w:right w:w="57" w:type="dxa"/>
            </w:tcMar>
          </w:tcPr>
          <w:p w:rsidR="000D6E6A" w:rsidRDefault="000D6E6A">
            <w:pPr>
              <w:pStyle w:val="bodycopytabletable"/>
            </w:pPr>
            <w:r>
              <w:t>PSP40312 Certificate IV in Government [Court Compliance]</w:t>
            </w:r>
          </w:p>
        </w:tc>
        <w:tc>
          <w:tcPr>
            <w:tcW w:w="1984" w:type="dxa"/>
            <w:tcBorders>
              <w:top w:val="dotted" w:color="542E8E" w:sz="4" w:space="0"/>
              <w:left w:val="nil"/>
              <w:bottom w:val="dotted" w:color="542E8E" w:sz="4" w:space="0"/>
              <w:right w:val="nil"/>
            </w:tcBorders>
            <w:tcMar>
              <w:top w:w="68" w:type="dxa"/>
              <w:left w:w="57" w:type="dxa"/>
              <w:bottom w:w="68" w:type="dxa"/>
              <w:right w:w="57" w:type="dxa"/>
            </w:tcMar>
          </w:tcPr>
          <w:p w:rsidR="000D6E6A" w:rsidRDefault="000D6E6A">
            <w:pPr>
              <w:pStyle w:val="bodycopytabletable"/>
              <w:jc w:val="right"/>
            </w:pPr>
            <w:r>
              <w:t>2</w:t>
            </w:r>
          </w:p>
        </w:tc>
      </w:tr>
      <w:tr w:rsidR="000D6E6A">
        <w:tblPrEx>
          <w:tblCellMar>
            <w:top w:w="0" w:type="dxa"/>
            <w:left w:w="0" w:type="dxa"/>
            <w:bottom w:w="0" w:type="dxa"/>
            <w:right w:w="0" w:type="dxa"/>
          </w:tblCellMar>
        </w:tblPrEx>
        <w:trPr>
          <w:trHeight w:val="60"/>
        </w:trPr>
        <w:tc>
          <w:tcPr>
            <w:tcW w:w="7087" w:type="dxa"/>
            <w:tcBorders>
              <w:top w:val="dotted" w:color="542E8E" w:sz="4" w:space="0"/>
              <w:left w:val="nil"/>
              <w:bottom w:val="single" w:color="542E8E" w:sz="4" w:space="0"/>
              <w:right w:val="nil"/>
            </w:tcBorders>
            <w:tcMar>
              <w:top w:w="68" w:type="dxa"/>
              <w:left w:w="57" w:type="dxa"/>
              <w:bottom w:w="68" w:type="dxa"/>
              <w:right w:w="57" w:type="dxa"/>
            </w:tcMar>
            <w:vAlign w:val="center"/>
          </w:tcPr>
          <w:p w:rsidR="000D6E6A" w:rsidRDefault="000D6E6A">
            <w:pPr>
              <w:pStyle w:val="bodycopytabletable"/>
            </w:pPr>
            <w:r>
              <w:rPr>
                <w:rStyle w:val="medium"/>
                <w:b/>
                <w:bCs/>
              </w:rPr>
              <w:t>Total enrolments in 2017–18</w:t>
            </w:r>
          </w:p>
        </w:tc>
        <w:tc>
          <w:tcPr>
            <w:tcW w:w="1984" w:type="dxa"/>
            <w:tcBorders>
              <w:top w:val="dotted" w:color="542E8E" w:sz="4" w:space="0"/>
              <w:left w:val="nil"/>
              <w:bottom w:val="single" w:color="542E8E" w:sz="4" w:space="0"/>
              <w:right w:val="nil"/>
            </w:tcBorders>
            <w:tcMar>
              <w:top w:w="68" w:type="dxa"/>
              <w:left w:w="57" w:type="dxa"/>
              <w:bottom w:w="68" w:type="dxa"/>
              <w:right w:w="57" w:type="dxa"/>
            </w:tcMar>
            <w:vAlign w:val="center"/>
          </w:tcPr>
          <w:p w:rsidR="000D6E6A" w:rsidRDefault="000D6E6A">
            <w:pPr>
              <w:pStyle w:val="bodycopytabletable"/>
              <w:jc w:val="right"/>
            </w:pPr>
            <w:r>
              <w:rPr>
                <w:rStyle w:val="medium"/>
                <w:b/>
                <w:bCs/>
              </w:rPr>
              <w:t>796</w:t>
            </w:r>
          </w:p>
        </w:tc>
      </w:tr>
    </w:tbl>
    <w:p w:rsidR="000D6E6A" w:rsidRDefault="000D6E6A">
      <w:pPr>
        <w:pStyle w:val="Bodycopyspan"/>
      </w:pPr>
    </w:p>
    <w:p w:rsidR="000D6E6A" w:rsidRDefault="000D6E6A">
      <w:pPr>
        <w:pStyle w:val="notestable"/>
      </w:pPr>
    </w:p>
    <w:p w:rsidR="00096403" w:rsidP="00096403" w:rsidRDefault="00096403">
      <w:pPr>
        <w:pStyle w:val="Bodycopy"/>
      </w:pPr>
    </w:p>
    <w:p w:rsidR="00096403" w:rsidP="00096403" w:rsidRDefault="00096403">
      <w:pPr>
        <w:pStyle w:val="Bodycopy"/>
        <w:rPr>
          <w:b/>
          <w:bCs/>
          <w:color w:val="542E8E"/>
          <w:sz w:val="36"/>
          <w:szCs w:val="36"/>
        </w:rPr>
      </w:pPr>
      <w:r>
        <w:br w:type="page"/>
      </w:r>
    </w:p>
    <w:p w:rsidR="000D6E6A" w:rsidRDefault="000D6E6A">
      <w:pPr>
        <w:pStyle w:val="H1"/>
      </w:pPr>
      <w:bookmarkStart w:id="9" w:name="_Toc525300164"/>
      <w:r>
        <w:lastRenderedPageBreak/>
        <w:t>6. Health, safety and wellbeing</w:t>
      </w:r>
      <w:bookmarkEnd w:id="9"/>
    </w:p>
    <w:p w:rsidR="000D6E6A" w:rsidRDefault="000D6E6A">
      <w:pPr>
        <w:pStyle w:val="Bodycopy"/>
      </w:pPr>
      <w:r>
        <w:t xml:space="preserve">The department’s health and safety strategy for 2015–18 </w:t>
      </w:r>
      <w:r>
        <w:rPr>
          <w:rStyle w:val="italic"/>
        </w:rPr>
        <w:t>‘Safe and Healthy Together’</w:t>
      </w:r>
      <w:r>
        <w:t xml:space="preserve"> is in its final year. This strategy has five priority areas:</w:t>
      </w:r>
    </w:p>
    <w:p w:rsidR="000D6E6A" w:rsidRDefault="000D6E6A">
      <w:pPr>
        <w:pStyle w:val="BodycopyBullet"/>
      </w:pPr>
      <w:r>
        <w:t>maintaining safety as our business</w:t>
      </w:r>
    </w:p>
    <w:p w:rsidR="000D6E6A" w:rsidRDefault="000D6E6A">
      <w:pPr>
        <w:pStyle w:val="BodycopyBullet"/>
      </w:pPr>
      <w:r>
        <w:t>promoting safe, respectful and healthy workplaces</w:t>
      </w:r>
    </w:p>
    <w:p w:rsidR="000D6E6A" w:rsidRDefault="000D6E6A">
      <w:pPr>
        <w:pStyle w:val="BodycopyBullet"/>
      </w:pPr>
      <w:r>
        <w:t>zero tolerance for occupational violence</w:t>
      </w:r>
    </w:p>
    <w:p w:rsidR="000D6E6A" w:rsidRDefault="000D6E6A">
      <w:pPr>
        <w:pStyle w:val="BodycopyBullet"/>
      </w:pPr>
      <w:r>
        <w:t>managing risks in our work activities</w:t>
      </w:r>
    </w:p>
    <w:p w:rsidR="000D6E6A" w:rsidRDefault="000D6E6A">
      <w:pPr>
        <w:pStyle w:val="BodycopyBullet"/>
      </w:pPr>
      <w:r>
        <w:t>supporting staff with injuries.</w:t>
      </w:r>
    </w:p>
    <w:p w:rsidR="000D6E6A" w:rsidRDefault="000D6E6A">
      <w:pPr>
        <w:pStyle w:val="Bodycopy"/>
      </w:pPr>
      <w:r>
        <w:t xml:space="preserve">During 2017–18, the department commenced a comprehensive health, safety and wellbeing reform program with a clear focus on delivering improvements to the department’s safety systems and health and safety capability. </w:t>
      </w:r>
    </w:p>
    <w:p w:rsidR="000D6E6A" w:rsidRDefault="000D6E6A">
      <w:pPr>
        <w:pStyle w:val="Bodycopy"/>
      </w:pPr>
      <w:r>
        <w:t xml:space="preserve">To strengthen occupational health and safety (OHS) governance, reporting, and internal communication and consultation with the workforce on OHS issues, the department reviewed and redesigned the structure of its OHS management system.  </w:t>
      </w:r>
    </w:p>
    <w:p w:rsidR="000D6E6A" w:rsidRDefault="000D6E6A">
      <w:pPr>
        <w:pStyle w:val="Bodycopy"/>
      </w:pPr>
      <w:r>
        <w:t xml:space="preserve">The department remains committed to meeting the government’s OHS objectives of improving health, safety and wellbeing outcomes in the public sector as outlined in the </w:t>
      </w:r>
      <w:r>
        <w:rPr>
          <w:rStyle w:val="italic"/>
        </w:rPr>
        <w:t>Leading the Way</w:t>
      </w:r>
      <w:r>
        <w:t xml:space="preserve"> framework and the </w:t>
      </w:r>
      <w:r>
        <w:rPr>
          <w:rStyle w:val="italic"/>
        </w:rPr>
        <w:t>Mental Health and Wellbeing Charter</w:t>
      </w:r>
      <w:r>
        <w:t xml:space="preserve">. As part of this commitment, the department led the development of the whole-of-government mental health executive training package. </w:t>
      </w:r>
    </w:p>
    <w:p w:rsidR="000D6E6A" w:rsidRDefault="000D6E6A">
      <w:pPr>
        <w:pStyle w:val="Bodycopy"/>
      </w:pPr>
      <w:r>
        <w:t xml:space="preserve">To inform the development of the department’s 2019–22 health, safety and wellbeing strategy, a systematic and extensive review of the department’s OHS risk profile was undertaken. This profile confirms the need to continue to focus on mental health and occupational violence.  </w:t>
      </w:r>
    </w:p>
    <w:p w:rsidR="000D6E6A" w:rsidRDefault="000D6E6A">
      <w:pPr>
        <w:pStyle w:val="Bodycopy"/>
      </w:pPr>
      <w:r>
        <w:t>In line with this, the department implemented the Youth Violence Prevention Framework in 2017–18, which outlines the department’s objectives to prevent occupational violence in its Youth Justice precincts. This framework is based on a culture change approach, with strong themes of prevention, early intervention and post-incident response.</w:t>
      </w:r>
    </w:p>
    <w:p w:rsidR="000D6E6A" w:rsidRDefault="000D6E6A">
      <w:pPr>
        <w:pStyle w:val="Bodycopy"/>
      </w:pPr>
      <w:r>
        <w:t xml:space="preserve">In addition, to better support staff with injuries, a community of practice was established across the department for the management of </w:t>
      </w:r>
      <w:proofErr w:type="spellStart"/>
      <w:r>
        <w:t>WorkCover</w:t>
      </w:r>
      <w:proofErr w:type="spellEnd"/>
      <w:r>
        <w:t xml:space="preserve"> claims, return to work processes and improved outcomes for injured workers. </w:t>
      </w:r>
    </w:p>
    <w:p w:rsidR="000D6E6A" w:rsidRDefault="000D6E6A">
      <w:pPr>
        <w:pStyle w:val="Bodycopy"/>
        <w:rPr>
          <w:b/>
          <w:bCs/>
          <w:color w:val="542E8E"/>
          <w:sz w:val="27"/>
          <w:szCs w:val="27"/>
        </w:rPr>
      </w:pPr>
      <w:r>
        <w:rPr>
          <w:b/>
          <w:bCs/>
          <w:color w:val="542E8E"/>
          <w:sz w:val="27"/>
          <w:szCs w:val="27"/>
        </w:rPr>
        <w:t>Training and other wellbeing initiatives</w:t>
      </w:r>
    </w:p>
    <w:p w:rsidR="000D6E6A" w:rsidRDefault="000D6E6A">
      <w:pPr>
        <w:pStyle w:val="Bodycopy"/>
      </w:pPr>
      <w:r>
        <w:t xml:space="preserve">The department delivered a range of health, safety and wellbeing training programs, including three mandatory induction eLearning courses. All employees are expected to complete these courses within the first three months of employment. In 2017–18, the department employed 1,587 new employees, of which 70 per cent have completed all three of the required eLearning courses. </w:t>
      </w:r>
    </w:p>
    <w:p w:rsidR="000D6E6A" w:rsidRDefault="000D6E6A">
      <w:pPr>
        <w:pStyle w:val="Bodycopy"/>
      </w:pPr>
      <w:r>
        <w:t>Targeted training for executives and senior leaders in their OHS obligations was also undertaken, which will be broadened in 2018–19 to include mental health awareness training.</w:t>
      </w:r>
    </w:p>
    <w:p w:rsidR="000D6E6A" w:rsidRDefault="000D6E6A">
      <w:pPr>
        <w:pStyle w:val="Bodycopy"/>
      </w:pPr>
      <w:r>
        <w:t>The Employee Assistance Program (EAP) provides a free and confidential short-term advice and counselling service to employees experiencing personal or work-related concerns. In 2017–18, more than 490 employees accessed EAP to receive telephone or face-to-face counselling. EAP also assisted in 17 critical incidents, providing onsite services to employees.</w:t>
      </w:r>
    </w:p>
    <w:p w:rsidR="000D6E6A" w:rsidRDefault="000D6E6A">
      <w:pPr>
        <w:pStyle w:val="Bodycopy"/>
      </w:pPr>
      <w:r>
        <w:t>The influenza vaccination program was made available to all employees in 2017–18. Over 3,400 employees received a flu vaccination as part of the program.</w:t>
      </w:r>
    </w:p>
    <w:p w:rsidR="000D6E6A" w:rsidRDefault="000D6E6A">
      <w:pPr>
        <w:pStyle w:val="Bodycopy"/>
        <w:rPr>
          <w:b/>
          <w:bCs/>
          <w:color w:val="542E8E"/>
          <w:sz w:val="24"/>
          <w:szCs w:val="24"/>
        </w:rPr>
      </w:pPr>
      <w:r>
        <w:rPr>
          <w:b/>
          <w:bCs/>
          <w:color w:val="542E8E"/>
          <w:sz w:val="24"/>
          <w:szCs w:val="24"/>
        </w:rPr>
        <w:t>Compliance reporting</w:t>
      </w:r>
    </w:p>
    <w:p w:rsidR="000D6E6A" w:rsidRDefault="000D6E6A">
      <w:pPr>
        <w:pStyle w:val="Bodycopy"/>
      </w:pPr>
      <w:r>
        <w:t>Across the department, there are 111 designated work groups in which 306 health and safety representatives (HSRs) have been nominated or elected to represent staff on workplace safety issues. In 2017–18, the department recorded 116 visits from WorkSafe inspectors, and received eight improvement notices. The department has achieved 100 per cent compliance with these notices within the specified timeframes.</w:t>
      </w:r>
    </w:p>
    <w:p w:rsidR="000D6E6A" w:rsidRDefault="000D6E6A">
      <w:pPr>
        <w:pStyle w:val="H3"/>
      </w:pPr>
      <w:r>
        <w:t>Incident management</w:t>
      </w:r>
    </w:p>
    <w:p w:rsidR="000D6E6A" w:rsidRDefault="000D6E6A">
      <w:pPr>
        <w:pStyle w:val="Bodycopy"/>
      </w:pPr>
      <w:r>
        <w:t>There were 2,051 employee related incidents reported for the department and its portfolio entities in the online Accident Incident Reporting System in 2017–18. Figure 1 shows the number and rate of incidents per 100 full time employees (FTE) recorded in the system for the past three financial years. The rate is determined in part by the number of FTE that use the system, which can vary between years.</w:t>
      </w:r>
    </w:p>
    <w:p w:rsidR="00096403" w:rsidRDefault="00096403">
      <w:pPr>
        <w:rPr>
          <w:rStyle w:val="italic"/>
          <w:rFonts w:ascii="Arial" w:hAnsi="Arial" w:cs="Arial"/>
          <w:color w:val="542E8E"/>
          <w:sz w:val="18"/>
          <w:szCs w:val="18"/>
          <w:lang w:val="en-GB"/>
        </w:rPr>
      </w:pPr>
      <w:r>
        <w:rPr>
          <w:rStyle w:val="italic"/>
          <w:i w:val="false"/>
          <w:iCs w:val="false"/>
        </w:rPr>
        <w:br w:type="page"/>
      </w:r>
    </w:p>
    <w:p w:rsidR="000D6E6A" w:rsidRDefault="000D6E6A">
      <w:pPr>
        <w:pStyle w:val="Tableheading"/>
        <w:rPr>
          <w:rStyle w:val="italic"/>
          <w:i/>
          <w:iCs/>
        </w:rPr>
      </w:pPr>
      <w:r>
        <w:rPr>
          <w:rStyle w:val="italic"/>
          <w:i/>
          <w:iCs/>
        </w:rPr>
        <w:lastRenderedPageBreak/>
        <w:t>Figure 1: Number of incidents and rate per 100 FTE</w:t>
      </w:r>
    </w:p>
    <w:p w:rsidR="000D6E6A" w:rsidP="00096403" w:rsidRDefault="003E113F">
      <w:pPr>
        <w:pStyle w:val="Bodycopy"/>
      </w:pPr>
      <w:r>
        <w:rPr>
          <w:noProof/>
        </w:rPr>
        <w:drawing>
          <wp:inline distT="0" distB="0" distL="0" distR="0">
            <wp:extent cx="2793009" cy="1790065"/>
            <wp:effectExtent l="0" t="0" r="1270" b="635"/>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8" name="Picture 18" descr="Line graph showing two measures for the number of employee related incidents per 100 full time employees 2015-16 to 2017-18.&#13;&#10;The two measures include: Incidents and rate per 100 full time employees.&#13;&#10;"/>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Picture 18"/>
                    <pic:cNvPicPr>
                      <a:picLocks/>
                    </pic:cNvPicPr>
                  </pic:nvPicPr>
                  <pic:blipFill>
                    <a:blip r:embed="rId9"/>
                    <a:stretch>
                      <a:fillRect/>
                    </a:stretch>
                  </pic:blipFill>
                  <pic:spPr bwMode="auto">
                    <a:xfrm>
                      <a:off x="0" y="0"/>
                      <a:ext cx="2793009" cy="1790065"/>
                    </a:xfrm>
                    <a:prstGeom prst="rect">
                      <a:avLst/>
                    </a:prstGeom>
                    <a:noFill/>
                    <a:ln>
                      <a:noFill/>
                    </a:ln>
                  </pic:spPr>
                </pic:pic>
              </a:graphicData>
            </a:graphic>
          </wp:inline>
        </w:drawing>
      </w:r>
    </w:p>
    <w:p w:rsidR="000D6E6A" w:rsidRDefault="000D6E6A">
      <w:pPr>
        <w:pStyle w:val="Bodycopy"/>
      </w:pPr>
      <w:r>
        <w:t xml:space="preserve">An incident is reported in the case of an event resulting in, or with the potential for, injury, ill health, damage or other loss. All incidents reported must be investigated.  </w:t>
      </w:r>
    </w:p>
    <w:p w:rsidR="000D6E6A" w:rsidRDefault="000D6E6A">
      <w:pPr>
        <w:pStyle w:val="Bodycopy"/>
        <w:rPr>
          <w:spacing w:val="-2"/>
        </w:rPr>
      </w:pPr>
      <w:r>
        <w:rPr>
          <w:spacing w:val="-2"/>
        </w:rPr>
        <w:t>Incidents increased 23 per cent from 1,670 in 2016–17 to 2,051 in 2017–18. This is due in large part to the increase in prison and Youth Justice employee numbers. Both prisons and Youth Justice precincts are high risk areas. Responsibility for Youth Justice transferred from the DHHS to the department under machinery of government changes effective 3 April 2017, and the department recruited 145 Youth Justice workers from July 2017. In the same period, the department appointed 546 prison officers.</w:t>
      </w:r>
    </w:p>
    <w:p w:rsidR="000D6E6A" w:rsidRDefault="000D6E6A">
      <w:pPr>
        <w:pStyle w:val="Bodycopy"/>
      </w:pPr>
      <w:r>
        <w:t>The department has commenced the procurement of a new incident reporting system that will significantly enhance incident investigation, reporting processes and documenting outcomes.</w:t>
      </w:r>
    </w:p>
    <w:p w:rsidR="000D6E6A" w:rsidRDefault="000D6E6A">
      <w:pPr>
        <w:pStyle w:val="H3"/>
      </w:pPr>
      <w:r>
        <w:t>Claims management</w:t>
      </w:r>
    </w:p>
    <w:p w:rsidR="000D6E6A" w:rsidRDefault="000D6E6A">
      <w:pPr>
        <w:pStyle w:val="Bodycopy"/>
      </w:pPr>
      <w:r>
        <w:t>The following data from WorkSafe relates to the department and its portfolio entities. Figures 2, 3 and 4 include Youth Justice claims data for 2016–17 and 2017–18 only, as responsibility for Youth Justice was transferred to the department from 3 April 2017.</w:t>
      </w:r>
    </w:p>
    <w:p w:rsidR="000D6E6A" w:rsidRDefault="000D6E6A">
      <w:pPr>
        <w:pStyle w:val="H4"/>
      </w:pPr>
      <w:r>
        <w:t>Standard claims</w:t>
      </w:r>
    </w:p>
    <w:p w:rsidR="000D6E6A" w:rsidRDefault="000D6E6A">
      <w:pPr>
        <w:pStyle w:val="Bodycopy"/>
      </w:pPr>
      <w:r>
        <w:t xml:space="preserve">A standard </w:t>
      </w:r>
      <w:proofErr w:type="spellStart"/>
      <w:r>
        <w:t>WorkCover</w:t>
      </w:r>
      <w:proofErr w:type="spellEnd"/>
      <w:r>
        <w:t xml:space="preserve"> claim is one where employer liability exceeds $707 (indexed annually) of medical and like expenses or ten days or more of worker incapacity, whichever occurs first. The standard claims data for the reporting year and previous two financial years is shown below in Figure 2. </w:t>
      </w:r>
    </w:p>
    <w:p w:rsidR="000D6E6A" w:rsidRDefault="000D6E6A">
      <w:pPr>
        <w:pStyle w:val="Bodycopy"/>
        <w:rPr>
          <w:strike/>
        </w:rPr>
      </w:pPr>
      <w:r>
        <w:t xml:space="preserve">The number of standard claims increased from 290 in 2016–17 to 327 in 2017–18. However, the rate of standard claims per 100 FTE decreased from 3.9 in 2016–17 to 3.8 in 2017–18. </w:t>
      </w:r>
    </w:p>
    <w:p w:rsidR="000D6E6A" w:rsidRDefault="000D6E6A">
      <w:pPr>
        <w:pStyle w:val="Tableheading"/>
        <w:rPr>
          <w:rStyle w:val="italic"/>
          <w:i/>
          <w:iCs/>
        </w:rPr>
      </w:pPr>
      <w:r>
        <w:rPr>
          <w:rStyle w:val="italic"/>
          <w:i/>
          <w:iCs/>
        </w:rPr>
        <w:t xml:space="preserve">Figure 2: Number of standard claims and rate per 100 FTE </w:t>
      </w:r>
    </w:p>
    <w:p w:rsidR="000D6E6A" w:rsidP="00096403" w:rsidRDefault="003E113F">
      <w:pPr>
        <w:pStyle w:val="Bodycopy"/>
        <w:rPr>
          <w:rStyle w:val="italic"/>
          <w:i w:val="false"/>
          <w:iCs w:val="false"/>
        </w:rPr>
      </w:pPr>
      <w:r>
        <w:rPr>
          <w:rStyle w:val="italic"/>
          <w:i w:val="false"/>
          <w:iCs w:val="false"/>
          <w:noProof/>
        </w:rPr>
        <w:drawing>
          <wp:inline distT="0" distB="0" distL="0" distR="0">
            <wp:extent cx="2794635" cy="1829215"/>
            <wp:effectExtent l="0" t="0" r="0" b="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7" name="Picture 17" descr="Line graph showing two measures for the number of standard WorkCover claims per 100 full time employees, 2015-16 to 2017-18.&#13;&#10;The two measures include: Standard claims and rate per 100 full time employees.&#13;&#10;"/>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Picture 17"/>
                    <pic:cNvPicPr>
                      <a:picLocks/>
                    </pic:cNvPicPr>
                  </pic:nvPicPr>
                  <pic:blipFill>
                    <a:blip r:embed="rId10"/>
                    <a:stretch>
                      <a:fillRect/>
                    </a:stretch>
                  </pic:blipFill>
                  <pic:spPr bwMode="auto">
                    <a:xfrm>
                      <a:off x="0" y="0"/>
                      <a:ext cx="2794635" cy="1829215"/>
                    </a:xfrm>
                    <a:prstGeom prst="rect">
                      <a:avLst/>
                    </a:prstGeom>
                    <a:noFill/>
                    <a:ln>
                      <a:noFill/>
                    </a:ln>
                  </pic:spPr>
                </pic:pic>
              </a:graphicData>
            </a:graphic>
          </wp:inline>
        </w:drawing>
      </w:r>
      <w:r w:rsidR="000D6E6A">
        <w:rPr>
          <w:rStyle w:val="italic"/>
          <w:i w:val="false"/>
          <w:iCs w:val="false"/>
        </w:rPr>
        <w:t xml:space="preserve"> </w:t>
      </w:r>
    </w:p>
    <w:p w:rsidR="000D6E6A" w:rsidRDefault="000D6E6A">
      <w:pPr>
        <w:pStyle w:val="Bodycopy"/>
      </w:pPr>
      <w:r>
        <w:t xml:space="preserve">The average cost per standard claim as calculated by the insurer decreased from $67,283 in 2016–17 to $64,501 in 2017–18. </w:t>
      </w:r>
    </w:p>
    <w:p w:rsidR="000D6E6A" w:rsidRDefault="000D6E6A">
      <w:pPr>
        <w:pStyle w:val="H4"/>
      </w:pPr>
      <w:r>
        <w:t>Lost time claims</w:t>
      </w:r>
    </w:p>
    <w:p w:rsidR="000D6E6A" w:rsidRDefault="000D6E6A">
      <w:pPr>
        <w:pStyle w:val="Bodycopy"/>
      </w:pPr>
      <w:r>
        <w:t xml:space="preserve">A lost time claim is one where one or more days of compensation is paid by WorkSafe. The number of lost time claims increased from 134 in 2016–17 to 153 in 2017–18 (Figure 3). The rate of lost time claims remained constant, at 1.8 per 100 FTE in 2016–17 and 2017–18. </w:t>
      </w:r>
    </w:p>
    <w:p w:rsidR="00096403" w:rsidRDefault="00096403">
      <w:pPr>
        <w:rPr>
          <w:rStyle w:val="italic"/>
          <w:rFonts w:ascii="Arial" w:hAnsi="Arial" w:cs="Arial"/>
          <w:color w:val="542E8E"/>
          <w:sz w:val="18"/>
          <w:szCs w:val="18"/>
          <w:lang w:val="en-GB"/>
        </w:rPr>
      </w:pPr>
      <w:r>
        <w:rPr>
          <w:rStyle w:val="italic"/>
          <w:i w:val="false"/>
          <w:iCs w:val="false"/>
        </w:rPr>
        <w:br w:type="page"/>
      </w:r>
    </w:p>
    <w:p w:rsidR="000D6E6A" w:rsidRDefault="000D6E6A">
      <w:pPr>
        <w:pStyle w:val="Tableheading"/>
        <w:rPr>
          <w:rStyle w:val="italic"/>
          <w:i/>
          <w:iCs/>
        </w:rPr>
      </w:pPr>
      <w:r>
        <w:rPr>
          <w:rStyle w:val="italic"/>
          <w:i/>
          <w:iCs/>
        </w:rPr>
        <w:lastRenderedPageBreak/>
        <w:t>Figure 3: Lost time claims and rate per 100 FTE</w:t>
      </w:r>
    </w:p>
    <w:p w:rsidRPr="00096403" w:rsidR="000D6E6A" w:rsidP="00096403" w:rsidRDefault="003E113F">
      <w:pPr>
        <w:pStyle w:val="Bodycopy"/>
      </w:pPr>
      <w:r>
        <w:rPr>
          <w:rStyle w:val="italic"/>
          <w:i w:val="false"/>
          <w:iCs w:val="false"/>
          <w:noProof/>
        </w:rPr>
        <w:drawing>
          <wp:inline distT="0" distB="0" distL="0" distR="0">
            <wp:extent cx="2794635" cy="1829215"/>
            <wp:effectExtent l="0" t="0" r="0" b="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6" name="Picture 16" descr="Line graph showing two measures for the number of lost time claims per 100 full time employees, 2016-17 to 2017-18.&#13;&#10;The two measures include: lost time claims and rate per 100 full time employees.&#13;&#10;"/>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Picture 16"/>
                    <pic:cNvPicPr>
                      <a:picLocks/>
                    </pic:cNvPicPr>
                  </pic:nvPicPr>
                  <pic:blipFill>
                    <a:blip r:embed="rId11"/>
                    <a:stretch>
                      <a:fillRect/>
                    </a:stretch>
                  </pic:blipFill>
                  <pic:spPr bwMode="auto">
                    <a:xfrm>
                      <a:off x="0" y="0"/>
                      <a:ext cx="2794635" cy="1829215"/>
                    </a:xfrm>
                    <a:prstGeom prst="rect">
                      <a:avLst/>
                    </a:prstGeom>
                    <a:noFill/>
                    <a:ln>
                      <a:noFill/>
                    </a:ln>
                  </pic:spPr>
                </pic:pic>
              </a:graphicData>
            </a:graphic>
          </wp:inline>
        </w:drawing>
      </w:r>
    </w:p>
    <w:p w:rsidR="000D6E6A" w:rsidRDefault="000D6E6A">
      <w:pPr>
        <w:pStyle w:val="H4"/>
      </w:pPr>
      <w:proofErr w:type="gramStart"/>
      <w:r>
        <w:t>13 week</w:t>
      </w:r>
      <w:proofErr w:type="gramEnd"/>
      <w:r>
        <w:t xml:space="preserve"> claims</w:t>
      </w:r>
    </w:p>
    <w:p w:rsidR="000D6E6A" w:rsidRDefault="000D6E6A">
      <w:pPr>
        <w:pStyle w:val="Bodycopy"/>
      </w:pPr>
      <w:r>
        <w:t xml:space="preserve">A </w:t>
      </w:r>
      <w:proofErr w:type="gramStart"/>
      <w:r>
        <w:t>13 week</w:t>
      </w:r>
      <w:proofErr w:type="gramEnd"/>
      <w:r>
        <w:t xml:space="preserve"> claim involves 13 weeks or more of weekly benefits paid, and is a subset of all standard claims.</w:t>
      </w:r>
      <w:r>
        <w:rPr>
          <w:rStyle w:val="italic"/>
        </w:rPr>
        <w:t xml:space="preserve"> </w:t>
      </w:r>
      <w:r>
        <w:t xml:space="preserve">Figure 4 shows that in 2017–18, there were 65 employees off work after 13 weeks of compensation compared to 59 employees in 2016–17. However, the rate of </w:t>
      </w:r>
      <w:proofErr w:type="gramStart"/>
      <w:r>
        <w:t>13 week</w:t>
      </w:r>
      <w:proofErr w:type="gramEnd"/>
      <w:r>
        <w:t xml:space="preserve"> claims decreased slightly from 0.8 per 100 FTE in 2016–17 to 0.7 per 100 FTE in 2017–18. </w:t>
      </w:r>
    </w:p>
    <w:p w:rsidR="000D6E6A" w:rsidRDefault="000D6E6A">
      <w:pPr>
        <w:pStyle w:val="Tableheading"/>
        <w:rPr>
          <w:rStyle w:val="italic"/>
          <w:i/>
          <w:iCs/>
        </w:rPr>
      </w:pPr>
      <w:r>
        <w:rPr>
          <w:rStyle w:val="italic"/>
          <w:i/>
          <w:iCs/>
        </w:rPr>
        <w:t>Figure 4: Claims exceeding 13 weeks and rate per 100 FTE</w:t>
      </w:r>
    </w:p>
    <w:p w:rsidRPr="00096403" w:rsidR="000D6E6A" w:rsidP="00096403" w:rsidRDefault="003E113F">
      <w:pPr>
        <w:pStyle w:val="Bodycopy"/>
      </w:pPr>
      <w:r>
        <w:rPr>
          <w:rStyle w:val="italic"/>
          <w:i w:val="false"/>
          <w:iCs w:val="false"/>
          <w:noProof/>
        </w:rPr>
        <w:drawing>
          <wp:inline distT="0" distB="0" distL="0" distR="0">
            <wp:extent cx="2794635" cy="1880027"/>
            <wp:effectExtent l="0" t="0" r="0" b="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5" name="Picture 15" descr="Line graph showing two measures for the number of claims exceeding 13 weeks, 2015-16 to 2017-18.&#13;&#10;The two measures include: claims exceeding 13 weeks and rate per 100 full time employees.&#13;&#10;"/>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Picture 15"/>
                    <pic:cNvPicPr>
                      <a:picLocks/>
                    </pic:cNvPicPr>
                  </pic:nvPicPr>
                  <pic:blipFill>
                    <a:blip r:embed="rId12"/>
                    <a:stretch>
                      <a:fillRect/>
                    </a:stretch>
                  </pic:blipFill>
                  <pic:spPr bwMode="auto">
                    <a:xfrm>
                      <a:off x="0" y="0"/>
                      <a:ext cx="2794635" cy="1880027"/>
                    </a:xfrm>
                    <a:prstGeom prst="rect">
                      <a:avLst/>
                    </a:prstGeom>
                    <a:noFill/>
                    <a:ln>
                      <a:noFill/>
                    </a:ln>
                  </pic:spPr>
                </pic:pic>
              </a:graphicData>
            </a:graphic>
          </wp:inline>
        </w:drawing>
      </w:r>
    </w:p>
    <w:p w:rsidR="000D6E6A" w:rsidRDefault="000D6E6A">
      <w:pPr>
        <w:pStyle w:val="H3"/>
      </w:pPr>
      <w:proofErr w:type="spellStart"/>
      <w:r>
        <w:t>WorkCover</w:t>
      </w:r>
      <w:proofErr w:type="spellEnd"/>
      <w:r>
        <w:t xml:space="preserve"> premium</w:t>
      </w:r>
    </w:p>
    <w:p w:rsidR="000D6E6A" w:rsidRDefault="000D6E6A">
      <w:pPr>
        <w:pStyle w:val="Bodycopy"/>
      </w:pPr>
      <w:r>
        <w:t xml:space="preserve">The premium rate is a calculation to determine costs for maintaining workers’ compensation insurance. The premium calculation for an organisation is based on a combination of the total number of employees, total remuneration, the industry risk factor and claims history. </w:t>
      </w:r>
    </w:p>
    <w:p w:rsidR="000D6E6A" w:rsidRDefault="000D6E6A">
      <w:pPr>
        <w:pStyle w:val="Bodycopy"/>
      </w:pPr>
      <w:r>
        <w:t>Figure 5 shows the department’s premium rate over the past six financial years.</w:t>
      </w:r>
    </w:p>
    <w:p w:rsidR="000D6E6A" w:rsidRDefault="000D6E6A">
      <w:pPr>
        <w:pStyle w:val="Tableheading"/>
        <w:rPr>
          <w:rStyle w:val="italic"/>
          <w:i/>
          <w:iCs/>
        </w:rPr>
      </w:pPr>
      <w:r>
        <w:rPr>
          <w:rStyle w:val="italic"/>
          <w:i/>
          <w:iCs/>
        </w:rPr>
        <w:t>Figure 5: Department of Justice and Regulation premium rate 2012–2018</w:t>
      </w:r>
    </w:p>
    <w:p w:rsidRPr="00096403" w:rsidR="000D6E6A" w:rsidP="00096403" w:rsidRDefault="003E113F">
      <w:pPr>
        <w:pStyle w:val="Bodycopy"/>
      </w:pPr>
      <w:r>
        <w:rPr>
          <w:rStyle w:val="italic"/>
          <w:i w:val="false"/>
          <w:iCs w:val="false"/>
          <w:noProof/>
        </w:rPr>
        <w:drawing>
          <wp:inline distT="0" distB="0" distL="0" distR="0">
            <wp:extent cx="2793016" cy="1802765"/>
            <wp:effectExtent l="0" t="0" r="1270" b="635"/>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4" name="Picture 14" descr="Line graph showing premium rate, 2012-13 to 2017-18."/>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Picture 14"/>
                    <pic:cNvPicPr>
                      <a:picLocks/>
                    </pic:cNvPicPr>
                  </pic:nvPicPr>
                  <pic:blipFill>
                    <a:blip r:embed="rId13"/>
                    <a:stretch>
                      <a:fillRect/>
                    </a:stretch>
                  </pic:blipFill>
                  <pic:spPr bwMode="auto">
                    <a:xfrm>
                      <a:off x="0" y="0"/>
                      <a:ext cx="2793016" cy="1802765"/>
                    </a:xfrm>
                    <a:prstGeom prst="rect">
                      <a:avLst/>
                    </a:prstGeom>
                    <a:noFill/>
                    <a:ln>
                      <a:noFill/>
                    </a:ln>
                  </pic:spPr>
                </pic:pic>
              </a:graphicData>
            </a:graphic>
          </wp:inline>
        </w:drawing>
      </w:r>
    </w:p>
    <w:p w:rsidR="000D6E6A" w:rsidRDefault="000D6E6A">
      <w:pPr>
        <w:pStyle w:val="Bodycopy"/>
      </w:pPr>
      <w:r>
        <w:t>The department’s premium has increased in part as a result of increases in total remuneration, arising from the increased number prison officers and Youth Justice workers employed by the department in 2017–18. The transfer to the department of the Youth Justice claims history, as well as ongoing claims relating to the Metropolitan Remand Centre riot in 2015, have also contributed to a higher premium rate.</w:t>
      </w:r>
    </w:p>
    <w:p w:rsidR="00116C19" w:rsidRDefault="00116C19">
      <w:pPr>
        <w:rPr>
          <w:rStyle w:val="RegularItalic"/>
          <w:rFonts w:ascii="Arial" w:hAnsi="Arial" w:cs="Arial"/>
          <w:sz w:val="18"/>
          <w:szCs w:val="18"/>
          <w:lang w:val="en-GB"/>
        </w:rPr>
      </w:pPr>
      <w:r>
        <w:rPr>
          <w:rStyle w:val="RegularItalic"/>
        </w:rPr>
        <w:br w:type="page"/>
      </w:r>
    </w:p>
    <w:p w:rsidR="000D6E6A" w:rsidRDefault="000D6E6A">
      <w:pPr>
        <w:pStyle w:val="Bodycopy"/>
        <w:spacing w:after="0"/>
        <w:rPr>
          <w:rStyle w:val="RegularItalic"/>
        </w:rPr>
      </w:pPr>
      <w:r>
        <w:rPr>
          <w:rStyle w:val="RegularItalic"/>
        </w:rPr>
        <w:lastRenderedPageBreak/>
        <w:t>The department’s performance against OHS management measures</w:t>
      </w:r>
    </w:p>
    <w:tbl>
      <w:tblPr>
        <w:tblW w:w="10141" w:type="dxa"/>
        <w:tblInd w:w="57" w:type="dxa"/>
        <w:tblLayout w:type="fixed"/>
        <w:tblCellMar>
          <w:left w:w="0" w:type="dxa"/>
          <w:right w:w="0" w:type="dxa"/>
        </w:tblCellMar>
        <w:tblLook w:firstRow="0" w:lastRow="0" w:firstColumn="0" w:lastColumn="0" w:noHBand="0" w:noVBand="0" w:val="0000"/>
      </w:tblPr>
      <w:tblGrid>
        <w:gridCol w:w="1778"/>
        <w:gridCol w:w="4536"/>
        <w:gridCol w:w="1276"/>
        <w:gridCol w:w="1276"/>
        <w:gridCol w:w="1275"/>
      </w:tblGrid>
      <w:tr w:rsidRPr="00116C19" w:rsidR="000D6E6A" w:rsidTr="00116C19">
        <w:tblPrEx>
          <w:tblCellMar>
            <w:top w:w="0" w:type="dxa"/>
            <w:left w:w="0" w:type="dxa"/>
            <w:bottom w:w="0" w:type="dxa"/>
            <w:right w:w="0" w:type="dxa"/>
          </w:tblCellMar>
        </w:tblPrEx>
        <w:trPr>
          <w:trHeight w:val="113"/>
          <w:tblHeader/>
        </w:trPr>
        <w:tc>
          <w:tcPr>
            <w:tcW w:w="1778" w:type="dxa"/>
            <w:tcBorders>
              <w:top w:val="dotted" w:color="000000" w:sz="6" w:space="0"/>
              <w:left w:val="single" w:color="000000" w:sz="6" w:space="0"/>
              <w:bottom w:val="single" w:color="542E8E" w:sz="6" w:space="0"/>
              <w:right w:val="single" w:color="000000" w:sz="6" w:space="0"/>
            </w:tcBorders>
            <w:shd w:val="solid" w:color="FFFFFF" w:fill="auto"/>
            <w:tcMar>
              <w:top w:w="62" w:type="dxa"/>
              <w:left w:w="57" w:type="dxa"/>
              <w:bottom w:w="57" w:type="dxa"/>
              <w:right w:w="57" w:type="dxa"/>
            </w:tcMar>
          </w:tcPr>
          <w:p w:rsidRPr="00116C19" w:rsidR="000D6E6A" w:rsidRDefault="000D6E6A">
            <w:pPr>
              <w:pStyle w:val="bodycopytabletable"/>
            </w:pPr>
            <w:r w:rsidRPr="00116C19">
              <w:rPr>
                <w:rStyle w:val="mediumpurple"/>
                <w:b/>
                <w:bCs/>
              </w:rPr>
              <w:t>Measure</w:t>
            </w:r>
          </w:p>
        </w:tc>
        <w:tc>
          <w:tcPr>
            <w:tcW w:w="4536" w:type="dxa"/>
            <w:tcBorders>
              <w:top w:val="dotted" w:color="000000" w:sz="6" w:space="0"/>
              <w:left w:val="single" w:color="000000" w:sz="6" w:space="0"/>
              <w:bottom w:val="single" w:color="542E8E" w:sz="6" w:space="0"/>
              <w:right w:val="single" w:color="000000" w:sz="6" w:space="0"/>
            </w:tcBorders>
            <w:shd w:val="solid" w:color="FFFFFF" w:fill="auto"/>
            <w:tcMar>
              <w:top w:w="62" w:type="dxa"/>
              <w:left w:w="57" w:type="dxa"/>
              <w:bottom w:w="57" w:type="dxa"/>
              <w:right w:w="57" w:type="dxa"/>
            </w:tcMar>
          </w:tcPr>
          <w:p w:rsidRPr="00116C19" w:rsidR="000D6E6A" w:rsidRDefault="000D6E6A">
            <w:pPr>
              <w:pStyle w:val="bodycopytabletable"/>
            </w:pPr>
            <w:r w:rsidRPr="00116C19">
              <w:rPr>
                <w:rStyle w:val="mediumpurple"/>
                <w:b/>
                <w:bCs/>
              </w:rPr>
              <w:t>Key performance indicator</w:t>
            </w:r>
          </w:p>
        </w:tc>
        <w:tc>
          <w:tcPr>
            <w:tcW w:w="1276" w:type="dxa"/>
            <w:tcBorders>
              <w:top w:val="dotted" w:color="000000" w:sz="6" w:space="0"/>
              <w:left w:val="single" w:color="000000" w:sz="6" w:space="0"/>
              <w:bottom w:val="single" w:color="542E8E" w:sz="6" w:space="0"/>
              <w:right w:val="single" w:color="000000" w:sz="6" w:space="0"/>
            </w:tcBorders>
            <w:shd w:val="solid" w:color="FFFFFF" w:fill="auto"/>
            <w:tcMar>
              <w:top w:w="62" w:type="dxa"/>
              <w:left w:w="57" w:type="dxa"/>
              <w:bottom w:w="57" w:type="dxa"/>
              <w:right w:w="57" w:type="dxa"/>
            </w:tcMar>
          </w:tcPr>
          <w:p w:rsidRPr="00116C19" w:rsidR="000D6E6A" w:rsidRDefault="000D6E6A">
            <w:pPr>
              <w:pStyle w:val="bodycopytabletable"/>
              <w:jc w:val="right"/>
            </w:pPr>
            <w:r w:rsidRPr="00116C19">
              <w:rPr>
                <w:rStyle w:val="mediumpurple"/>
                <w:b/>
                <w:bCs/>
              </w:rPr>
              <w:t>2015</w:t>
            </w:r>
            <w:r w:rsidRPr="00116C19">
              <w:rPr>
                <w:rStyle w:val="mediumpurple"/>
                <w:rFonts w:ascii="Cambria Math" w:hAnsi="Cambria Math" w:cs="Cambria Math"/>
                <w:b/>
                <w:bCs/>
              </w:rPr>
              <w:t>‑</w:t>
            </w:r>
            <w:r w:rsidRPr="00116C19">
              <w:rPr>
                <w:rStyle w:val="mediumpurple"/>
                <w:b/>
                <w:bCs/>
              </w:rPr>
              <w:t xml:space="preserve">16 </w:t>
            </w:r>
          </w:p>
        </w:tc>
        <w:tc>
          <w:tcPr>
            <w:tcW w:w="1276" w:type="dxa"/>
            <w:tcBorders>
              <w:top w:val="dotted" w:color="000000" w:sz="6" w:space="0"/>
              <w:left w:val="single" w:color="000000" w:sz="6" w:space="0"/>
              <w:bottom w:val="single" w:color="542E8E" w:sz="6" w:space="0"/>
              <w:right w:val="single" w:color="000000" w:sz="6" w:space="0"/>
            </w:tcBorders>
            <w:shd w:val="solid" w:color="FFFFFF" w:fill="auto"/>
            <w:tcMar>
              <w:top w:w="62" w:type="dxa"/>
              <w:left w:w="57" w:type="dxa"/>
              <w:bottom w:w="57" w:type="dxa"/>
              <w:right w:w="57" w:type="dxa"/>
            </w:tcMar>
          </w:tcPr>
          <w:p w:rsidRPr="00116C19" w:rsidR="000D6E6A" w:rsidRDefault="000D6E6A">
            <w:pPr>
              <w:pStyle w:val="bodycopytabletable"/>
              <w:jc w:val="right"/>
            </w:pPr>
            <w:r w:rsidRPr="00116C19">
              <w:rPr>
                <w:rStyle w:val="mediumpurple"/>
                <w:b/>
                <w:bCs/>
              </w:rPr>
              <w:t>2016</w:t>
            </w:r>
            <w:r w:rsidRPr="00116C19">
              <w:rPr>
                <w:rStyle w:val="mediumpurple"/>
                <w:rFonts w:ascii="Cambria Math" w:hAnsi="Cambria Math" w:cs="Cambria Math"/>
                <w:b/>
                <w:bCs/>
              </w:rPr>
              <w:t>‑</w:t>
            </w:r>
            <w:r w:rsidRPr="00116C19">
              <w:rPr>
                <w:rStyle w:val="mediumpurple"/>
                <w:b/>
                <w:bCs/>
              </w:rPr>
              <w:t xml:space="preserve">17 </w:t>
            </w:r>
          </w:p>
        </w:tc>
        <w:tc>
          <w:tcPr>
            <w:tcW w:w="1275" w:type="dxa"/>
            <w:tcBorders>
              <w:top w:val="dotted" w:color="000000" w:sz="6" w:space="0"/>
              <w:left w:val="single" w:color="000000" w:sz="6" w:space="0"/>
              <w:bottom w:val="single" w:color="542E8E" w:sz="6" w:space="0"/>
              <w:right w:val="single" w:color="000000" w:sz="6" w:space="0"/>
            </w:tcBorders>
            <w:shd w:val="solid" w:color="FFFFFF" w:fill="auto"/>
            <w:tcMar>
              <w:top w:w="62" w:type="dxa"/>
              <w:left w:w="57" w:type="dxa"/>
              <w:bottom w:w="57" w:type="dxa"/>
              <w:right w:w="57" w:type="dxa"/>
            </w:tcMar>
          </w:tcPr>
          <w:p w:rsidRPr="00116C19" w:rsidR="000D6E6A" w:rsidRDefault="000D6E6A">
            <w:pPr>
              <w:pStyle w:val="bodycopytabletable"/>
              <w:jc w:val="right"/>
            </w:pPr>
            <w:r w:rsidRPr="00116C19">
              <w:rPr>
                <w:rStyle w:val="mediumpurple"/>
                <w:b/>
                <w:bCs/>
              </w:rPr>
              <w:t>2017</w:t>
            </w:r>
            <w:r w:rsidRPr="00116C19">
              <w:rPr>
                <w:rStyle w:val="mediumpurple"/>
                <w:rFonts w:ascii="Cambria Math" w:hAnsi="Cambria Math" w:cs="Cambria Math"/>
                <w:b/>
                <w:bCs/>
              </w:rPr>
              <w:t>‑</w:t>
            </w:r>
            <w:r w:rsidRPr="00116C19">
              <w:rPr>
                <w:rStyle w:val="mediumpurple"/>
                <w:b/>
                <w:bCs/>
              </w:rPr>
              <w:t xml:space="preserve">18 </w:t>
            </w:r>
          </w:p>
        </w:tc>
      </w:tr>
      <w:tr w:rsidRPr="00116C19" w:rsidR="000D6E6A" w:rsidTr="00116C19">
        <w:tblPrEx>
          <w:tblCellMar>
            <w:top w:w="0" w:type="dxa"/>
            <w:left w:w="0" w:type="dxa"/>
            <w:bottom w:w="0" w:type="dxa"/>
            <w:right w:w="0" w:type="dxa"/>
          </w:tblCellMar>
        </w:tblPrEx>
        <w:trPr>
          <w:trHeight w:val="113"/>
        </w:trPr>
        <w:tc>
          <w:tcPr>
            <w:tcW w:w="1778"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pPr>
            <w:r w:rsidRPr="00116C19">
              <w:t>Incidents</w:t>
            </w:r>
          </w:p>
        </w:tc>
        <w:tc>
          <w:tcPr>
            <w:tcW w:w="453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pPr>
            <w:r w:rsidRPr="00116C19">
              <w:t>No. of incidents</w:t>
            </w:r>
          </w:p>
        </w:tc>
        <w:tc>
          <w:tcPr>
            <w:tcW w:w="127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1635</w:t>
            </w:r>
          </w:p>
        </w:tc>
        <w:tc>
          <w:tcPr>
            <w:tcW w:w="127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1670</w:t>
            </w:r>
          </w:p>
        </w:tc>
        <w:tc>
          <w:tcPr>
            <w:tcW w:w="1275"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2051</w:t>
            </w:r>
          </w:p>
        </w:tc>
      </w:tr>
      <w:tr w:rsidRPr="00116C19" w:rsidR="000D6E6A" w:rsidTr="00116C19">
        <w:tblPrEx>
          <w:tblCellMar>
            <w:top w:w="0" w:type="dxa"/>
            <w:left w:w="0" w:type="dxa"/>
            <w:bottom w:w="0" w:type="dxa"/>
            <w:right w:w="0" w:type="dxa"/>
          </w:tblCellMar>
        </w:tblPrEx>
        <w:trPr>
          <w:trHeight w:val="113"/>
        </w:trPr>
        <w:tc>
          <w:tcPr>
            <w:tcW w:w="1778"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NoParagraphStyle"/>
              <w:spacing w:line="240" w:lineRule="auto"/>
              <w:textAlignment w:val="auto"/>
              <w:rPr>
                <w:color w:val="auto"/>
                <w:sz w:val="16"/>
                <w:szCs w:val="16"/>
              </w:rPr>
            </w:pPr>
          </w:p>
        </w:tc>
        <w:tc>
          <w:tcPr>
            <w:tcW w:w="453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pPr>
            <w:r w:rsidRPr="00116C19">
              <w:t>Rate per 100 FTE</w:t>
            </w:r>
          </w:p>
        </w:tc>
        <w:tc>
          <w:tcPr>
            <w:tcW w:w="127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20.6</w:t>
            </w:r>
          </w:p>
        </w:tc>
        <w:tc>
          <w:tcPr>
            <w:tcW w:w="127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22.8</w:t>
            </w:r>
          </w:p>
        </w:tc>
        <w:tc>
          <w:tcPr>
            <w:tcW w:w="1275"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23.5</w:t>
            </w:r>
          </w:p>
        </w:tc>
      </w:tr>
      <w:tr w:rsidRPr="00116C19" w:rsidR="000D6E6A" w:rsidTr="00116C19">
        <w:tblPrEx>
          <w:tblCellMar>
            <w:top w:w="0" w:type="dxa"/>
            <w:left w:w="0" w:type="dxa"/>
            <w:bottom w:w="0" w:type="dxa"/>
            <w:right w:w="0" w:type="dxa"/>
          </w:tblCellMar>
        </w:tblPrEx>
        <w:trPr>
          <w:trHeight w:val="113"/>
        </w:trPr>
        <w:tc>
          <w:tcPr>
            <w:tcW w:w="1778" w:type="dxa"/>
            <w:tcBorders>
              <w:top w:val="dotted" w:color="542E8E" w:sz="4" w:space="0"/>
              <w:left w:val="single" w:color="000000" w:sz="6" w:space="0"/>
              <w:bottom w:val="single" w:color="542E8E" w:sz="4" w:space="0"/>
              <w:right w:val="single" w:color="000000" w:sz="6" w:space="0"/>
            </w:tcBorders>
            <w:tcMar>
              <w:top w:w="62" w:type="dxa"/>
              <w:left w:w="57" w:type="dxa"/>
              <w:bottom w:w="57" w:type="dxa"/>
              <w:right w:w="57" w:type="dxa"/>
            </w:tcMar>
          </w:tcPr>
          <w:p w:rsidRPr="00116C19" w:rsidR="000D6E6A" w:rsidRDefault="000D6E6A">
            <w:pPr>
              <w:pStyle w:val="NoParagraphStyle"/>
              <w:spacing w:line="240" w:lineRule="auto"/>
              <w:textAlignment w:val="auto"/>
              <w:rPr>
                <w:color w:val="auto"/>
                <w:sz w:val="16"/>
                <w:szCs w:val="16"/>
              </w:rPr>
            </w:pPr>
          </w:p>
        </w:tc>
        <w:tc>
          <w:tcPr>
            <w:tcW w:w="4536" w:type="dxa"/>
            <w:tcBorders>
              <w:top w:val="dotted" w:color="542E8E" w:sz="4" w:space="0"/>
              <w:left w:val="single" w:color="000000" w:sz="6" w:space="0"/>
              <w:bottom w:val="single" w:color="542E8E" w:sz="4" w:space="0"/>
              <w:right w:val="single" w:color="000000" w:sz="6" w:space="0"/>
            </w:tcBorders>
            <w:tcMar>
              <w:top w:w="62" w:type="dxa"/>
              <w:left w:w="57" w:type="dxa"/>
              <w:bottom w:w="57" w:type="dxa"/>
              <w:right w:w="57" w:type="dxa"/>
            </w:tcMar>
          </w:tcPr>
          <w:p w:rsidRPr="00116C19" w:rsidR="000D6E6A" w:rsidRDefault="000D6E6A">
            <w:pPr>
              <w:pStyle w:val="bodycopytabletable"/>
            </w:pPr>
            <w:r w:rsidRPr="00116C19">
              <w:t>No. of incidents requiring first aid and/or further medical treatment</w:t>
            </w:r>
          </w:p>
        </w:tc>
        <w:tc>
          <w:tcPr>
            <w:tcW w:w="1276" w:type="dxa"/>
            <w:tcBorders>
              <w:top w:val="dotted" w:color="542E8E" w:sz="4" w:space="0"/>
              <w:left w:val="single" w:color="000000" w:sz="6" w:space="0"/>
              <w:bottom w:val="single"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520</w:t>
            </w:r>
          </w:p>
        </w:tc>
        <w:tc>
          <w:tcPr>
            <w:tcW w:w="1276" w:type="dxa"/>
            <w:tcBorders>
              <w:top w:val="dotted" w:color="542E8E" w:sz="4" w:space="0"/>
              <w:left w:val="single" w:color="000000" w:sz="6" w:space="0"/>
              <w:bottom w:val="single"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797</w:t>
            </w:r>
          </w:p>
        </w:tc>
        <w:tc>
          <w:tcPr>
            <w:tcW w:w="1275" w:type="dxa"/>
            <w:tcBorders>
              <w:top w:val="dotted" w:color="542E8E" w:sz="4" w:space="0"/>
              <w:left w:val="single" w:color="000000" w:sz="6" w:space="0"/>
              <w:bottom w:val="single"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874</w:t>
            </w:r>
          </w:p>
        </w:tc>
      </w:tr>
      <w:tr w:rsidRPr="00116C19" w:rsidR="000D6E6A" w:rsidTr="00116C19">
        <w:tblPrEx>
          <w:tblCellMar>
            <w:top w:w="0" w:type="dxa"/>
            <w:left w:w="0" w:type="dxa"/>
            <w:bottom w:w="0" w:type="dxa"/>
            <w:right w:w="0" w:type="dxa"/>
          </w:tblCellMar>
        </w:tblPrEx>
        <w:trPr>
          <w:trHeight w:val="113"/>
        </w:trPr>
        <w:tc>
          <w:tcPr>
            <w:tcW w:w="1778" w:type="dxa"/>
            <w:tcBorders>
              <w:top w:val="single"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pPr>
            <w:r w:rsidRPr="00116C19">
              <w:t>Claims</w:t>
            </w:r>
          </w:p>
        </w:tc>
        <w:tc>
          <w:tcPr>
            <w:tcW w:w="4536" w:type="dxa"/>
            <w:tcBorders>
              <w:top w:val="single"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pPr>
            <w:r w:rsidRPr="00116C19">
              <w:t xml:space="preserve">No. of standard claims </w:t>
            </w:r>
            <w:r w:rsidRPr="00116C19">
              <w:rPr>
                <w:rStyle w:val="Superscript"/>
              </w:rPr>
              <w:t>(a)</w:t>
            </w:r>
          </w:p>
        </w:tc>
        <w:tc>
          <w:tcPr>
            <w:tcW w:w="1276" w:type="dxa"/>
            <w:tcBorders>
              <w:top w:val="single"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245</w:t>
            </w:r>
          </w:p>
        </w:tc>
        <w:tc>
          <w:tcPr>
            <w:tcW w:w="1276" w:type="dxa"/>
            <w:tcBorders>
              <w:top w:val="single"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290</w:t>
            </w:r>
          </w:p>
        </w:tc>
        <w:tc>
          <w:tcPr>
            <w:tcW w:w="1275" w:type="dxa"/>
            <w:tcBorders>
              <w:top w:val="single"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327</w:t>
            </w:r>
          </w:p>
        </w:tc>
      </w:tr>
      <w:tr w:rsidRPr="00116C19" w:rsidR="000D6E6A" w:rsidTr="00116C19">
        <w:tblPrEx>
          <w:tblCellMar>
            <w:top w:w="0" w:type="dxa"/>
            <w:left w:w="0" w:type="dxa"/>
            <w:bottom w:w="0" w:type="dxa"/>
            <w:right w:w="0" w:type="dxa"/>
          </w:tblCellMar>
        </w:tblPrEx>
        <w:trPr>
          <w:trHeight w:val="113"/>
        </w:trPr>
        <w:tc>
          <w:tcPr>
            <w:tcW w:w="1778"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NoParagraphStyle"/>
              <w:spacing w:line="240" w:lineRule="auto"/>
              <w:textAlignment w:val="auto"/>
              <w:rPr>
                <w:color w:val="auto"/>
                <w:sz w:val="16"/>
                <w:szCs w:val="16"/>
              </w:rPr>
            </w:pPr>
          </w:p>
        </w:tc>
        <w:tc>
          <w:tcPr>
            <w:tcW w:w="453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pPr>
            <w:r w:rsidRPr="00116C19">
              <w:t>Rate per 100 FTE</w:t>
            </w:r>
          </w:p>
        </w:tc>
        <w:tc>
          <w:tcPr>
            <w:tcW w:w="127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3.0</w:t>
            </w:r>
          </w:p>
        </w:tc>
        <w:tc>
          <w:tcPr>
            <w:tcW w:w="127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3.9</w:t>
            </w:r>
          </w:p>
        </w:tc>
        <w:tc>
          <w:tcPr>
            <w:tcW w:w="1275"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3.8</w:t>
            </w:r>
          </w:p>
        </w:tc>
      </w:tr>
      <w:tr w:rsidRPr="00116C19" w:rsidR="000D6E6A" w:rsidTr="00116C19">
        <w:tblPrEx>
          <w:tblCellMar>
            <w:top w:w="0" w:type="dxa"/>
            <w:left w:w="0" w:type="dxa"/>
            <w:bottom w:w="0" w:type="dxa"/>
            <w:right w:w="0" w:type="dxa"/>
          </w:tblCellMar>
        </w:tblPrEx>
        <w:trPr>
          <w:trHeight w:val="113"/>
        </w:trPr>
        <w:tc>
          <w:tcPr>
            <w:tcW w:w="1778"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NoParagraphStyle"/>
              <w:spacing w:line="240" w:lineRule="auto"/>
              <w:textAlignment w:val="auto"/>
              <w:rPr>
                <w:color w:val="auto"/>
                <w:sz w:val="16"/>
                <w:szCs w:val="16"/>
              </w:rPr>
            </w:pPr>
          </w:p>
        </w:tc>
        <w:tc>
          <w:tcPr>
            <w:tcW w:w="453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pPr>
            <w:r w:rsidRPr="00116C19">
              <w:t xml:space="preserve">No. of lost time claims </w:t>
            </w:r>
            <w:r w:rsidRPr="00116C19">
              <w:rPr>
                <w:rStyle w:val="Superscript"/>
              </w:rPr>
              <w:t>(a)</w:t>
            </w:r>
          </w:p>
        </w:tc>
        <w:tc>
          <w:tcPr>
            <w:tcW w:w="127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124</w:t>
            </w:r>
          </w:p>
        </w:tc>
        <w:tc>
          <w:tcPr>
            <w:tcW w:w="127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134</w:t>
            </w:r>
          </w:p>
        </w:tc>
        <w:tc>
          <w:tcPr>
            <w:tcW w:w="1275"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153</w:t>
            </w:r>
          </w:p>
        </w:tc>
      </w:tr>
      <w:tr w:rsidRPr="00116C19" w:rsidR="000D6E6A" w:rsidTr="00116C19">
        <w:tblPrEx>
          <w:tblCellMar>
            <w:top w:w="0" w:type="dxa"/>
            <w:left w:w="0" w:type="dxa"/>
            <w:bottom w:w="0" w:type="dxa"/>
            <w:right w:w="0" w:type="dxa"/>
          </w:tblCellMar>
        </w:tblPrEx>
        <w:trPr>
          <w:trHeight w:val="113"/>
        </w:trPr>
        <w:tc>
          <w:tcPr>
            <w:tcW w:w="1778"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NoParagraphStyle"/>
              <w:spacing w:line="240" w:lineRule="auto"/>
              <w:textAlignment w:val="auto"/>
              <w:rPr>
                <w:color w:val="auto"/>
                <w:sz w:val="16"/>
                <w:szCs w:val="16"/>
              </w:rPr>
            </w:pPr>
          </w:p>
        </w:tc>
        <w:tc>
          <w:tcPr>
            <w:tcW w:w="453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pPr>
            <w:r w:rsidRPr="00116C19">
              <w:t>Rate per 100 FTE</w:t>
            </w:r>
          </w:p>
        </w:tc>
        <w:tc>
          <w:tcPr>
            <w:tcW w:w="127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1.6</w:t>
            </w:r>
          </w:p>
        </w:tc>
        <w:tc>
          <w:tcPr>
            <w:tcW w:w="127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1.8</w:t>
            </w:r>
          </w:p>
        </w:tc>
        <w:tc>
          <w:tcPr>
            <w:tcW w:w="1275"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1.8</w:t>
            </w:r>
          </w:p>
        </w:tc>
      </w:tr>
      <w:tr w:rsidRPr="00116C19" w:rsidR="000D6E6A" w:rsidTr="00116C19">
        <w:tblPrEx>
          <w:tblCellMar>
            <w:top w:w="0" w:type="dxa"/>
            <w:left w:w="0" w:type="dxa"/>
            <w:bottom w:w="0" w:type="dxa"/>
            <w:right w:w="0" w:type="dxa"/>
          </w:tblCellMar>
        </w:tblPrEx>
        <w:trPr>
          <w:trHeight w:val="113"/>
        </w:trPr>
        <w:tc>
          <w:tcPr>
            <w:tcW w:w="1778"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NoParagraphStyle"/>
              <w:spacing w:line="240" w:lineRule="auto"/>
              <w:textAlignment w:val="auto"/>
              <w:rPr>
                <w:color w:val="auto"/>
                <w:sz w:val="16"/>
                <w:szCs w:val="16"/>
              </w:rPr>
            </w:pPr>
          </w:p>
        </w:tc>
        <w:tc>
          <w:tcPr>
            <w:tcW w:w="453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pPr>
            <w:r w:rsidRPr="00116C19">
              <w:t>No. of claims exceeding 13 weeks </w:t>
            </w:r>
            <w:r w:rsidRPr="00116C19">
              <w:rPr>
                <w:rStyle w:val="Superscript"/>
              </w:rPr>
              <w:t>(a)</w:t>
            </w:r>
          </w:p>
        </w:tc>
        <w:tc>
          <w:tcPr>
            <w:tcW w:w="127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51</w:t>
            </w:r>
          </w:p>
        </w:tc>
        <w:tc>
          <w:tcPr>
            <w:tcW w:w="127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59</w:t>
            </w:r>
          </w:p>
        </w:tc>
        <w:tc>
          <w:tcPr>
            <w:tcW w:w="1275"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65</w:t>
            </w:r>
          </w:p>
        </w:tc>
      </w:tr>
      <w:tr w:rsidRPr="00116C19" w:rsidR="000D6E6A" w:rsidTr="00116C19">
        <w:tblPrEx>
          <w:tblCellMar>
            <w:top w:w="0" w:type="dxa"/>
            <w:left w:w="0" w:type="dxa"/>
            <w:bottom w:w="0" w:type="dxa"/>
            <w:right w:w="0" w:type="dxa"/>
          </w:tblCellMar>
        </w:tblPrEx>
        <w:trPr>
          <w:trHeight w:val="113"/>
        </w:trPr>
        <w:tc>
          <w:tcPr>
            <w:tcW w:w="1778" w:type="dxa"/>
            <w:tcBorders>
              <w:top w:val="dotted" w:color="542E8E" w:sz="4" w:space="0"/>
              <w:left w:val="single" w:color="000000" w:sz="6" w:space="0"/>
              <w:bottom w:val="single" w:color="542E8E" w:sz="4" w:space="0"/>
              <w:right w:val="single" w:color="000000" w:sz="6" w:space="0"/>
            </w:tcBorders>
            <w:tcMar>
              <w:top w:w="62" w:type="dxa"/>
              <w:left w:w="57" w:type="dxa"/>
              <w:bottom w:w="57" w:type="dxa"/>
              <w:right w:w="57" w:type="dxa"/>
            </w:tcMar>
          </w:tcPr>
          <w:p w:rsidRPr="00116C19" w:rsidR="000D6E6A" w:rsidRDefault="000D6E6A">
            <w:pPr>
              <w:pStyle w:val="NoParagraphStyle"/>
              <w:spacing w:line="240" w:lineRule="auto"/>
              <w:textAlignment w:val="auto"/>
              <w:rPr>
                <w:color w:val="auto"/>
                <w:sz w:val="16"/>
                <w:szCs w:val="16"/>
              </w:rPr>
            </w:pPr>
          </w:p>
        </w:tc>
        <w:tc>
          <w:tcPr>
            <w:tcW w:w="4536" w:type="dxa"/>
            <w:tcBorders>
              <w:top w:val="dotted" w:color="542E8E" w:sz="4" w:space="0"/>
              <w:left w:val="single" w:color="000000" w:sz="6" w:space="0"/>
              <w:bottom w:val="single" w:color="542E8E" w:sz="4" w:space="0"/>
              <w:right w:val="single" w:color="000000" w:sz="6" w:space="0"/>
            </w:tcBorders>
            <w:tcMar>
              <w:top w:w="62" w:type="dxa"/>
              <w:left w:w="57" w:type="dxa"/>
              <w:bottom w:w="57" w:type="dxa"/>
              <w:right w:w="57" w:type="dxa"/>
            </w:tcMar>
          </w:tcPr>
          <w:p w:rsidRPr="00116C19" w:rsidR="000D6E6A" w:rsidRDefault="000D6E6A">
            <w:pPr>
              <w:pStyle w:val="bodycopytabletable"/>
            </w:pPr>
            <w:r w:rsidRPr="00116C19">
              <w:t>Rate per 100 FTE</w:t>
            </w:r>
          </w:p>
        </w:tc>
        <w:tc>
          <w:tcPr>
            <w:tcW w:w="1276" w:type="dxa"/>
            <w:tcBorders>
              <w:top w:val="dotted" w:color="542E8E" w:sz="4" w:space="0"/>
              <w:left w:val="single" w:color="000000" w:sz="6" w:space="0"/>
              <w:bottom w:val="single"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0.6</w:t>
            </w:r>
          </w:p>
        </w:tc>
        <w:tc>
          <w:tcPr>
            <w:tcW w:w="1276" w:type="dxa"/>
            <w:tcBorders>
              <w:top w:val="dotted" w:color="542E8E" w:sz="4" w:space="0"/>
              <w:left w:val="single" w:color="000000" w:sz="6" w:space="0"/>
              <w:bottom w:val="single"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0.8</w:t>
            </w:r>
          </w:p>
        </w:tc>
        <w:tc>
          <w:tcPr>
            <w:tcW w:w="1275" w:type="dxa"/>
            <w:tcBorders>
              <w:top w:val="dotted" w:color="542E8E" w:sz="4" w:space="0"/>
              <w:left w:val="single" w:color="000000" w:sz="6" w:space="0"/>
              <w:bottom w:val="single"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0.7</w:t>
            </w:r>
          </w:p>
        </w:tc>
      </w:tr>
      <w:tr w:rsidRPr="00116C19" w:rsidR="000D6E6A" w:rsidTr="00116C19">
        <w:tblPrEx>
          <w:tblCellMar>
            <w:top w:w="0" w:type="dxa"/>
            <w:left w:w="0" w:type="dxa"/>
            <w:bottom w:w="0" w:type="dxa"/>
            <w:right w:w="0" w:type="dxa"/>
          </w:tblCellMar>
        </w:tblPrEx>
        <w:trPr>
          <w:trHeight w:val="113"/>
        </w:trPr>
        <w:tc>
          <w:tcPr>
            <w:tcW w:w="1778" w:type="dxa"/>
            <w:tcBorders>
              <w:top w:val="single" w:color="542E8E" w:sz="4" w:space="0"/>
              <w:left w:val="single" w:color="000000" w:sz="6" w:space="0"/>
              <w:bottom w:val="single" w:color="542E8E" w:sz="4" w:space="0"/>
              <w:right w:val="single" w:color="000000" w:sz="6" w:space="0"/>
            </w:tcBorders>
            <w:tcMar>
              <w:top w:w="62" w:type="dxa"/>
              <w:left w:w="57" w:type="dxa"/>
              <w:bottom w:w="57" w:type="dxa"/>
              <w:right w:w="57" w:type="dxa"/>
            </w:tcMar>
          </w:tcPr>
          <w:p w:rsidRPr="00116C19" w:rsidR="000D6E6A" w:rsidRDefault="000D6E6A">
            <w:pPr>
              <w:pStyle w:val="bodycopytabletable"/>
            </w:pPr>
            <w:r w:rsidRPr="00116C19">
              <w:t>Fatalities</w:t>
            </w:r>
          </w:p>
        </w:tc>
        <w:tc>
          <w:tcPr>
            <w:tcW w:w="4536" w:type="dxa"/>
            <w:tcBorders>
              <w:top w:val="single" w:color="542E8E" w:sz="4" w:space="0"/>
              <w:left w:val="single" w:color="000000" w:sz="6" w:space="0"/>
              <w:bottom w:val="single" w:color="542E8E" w:sz="4" w:space="0"/>
              <w:right w:val="single" w:color="000000" w:sz="6" w:space="0"/>
            </w:tcBorders>
            <w:tcMar>
              <w:top w:w="62" w:type="dxa"/>
              <w:left w:w="57" w:type="dxa"/>
              <w:bottom w:w="57" w:type="dxa"/>
              <w:right w:w="57" w:type="dxa"/>
            </w:tcMar>
          </w:tcPr>
          <w:p w:rsidRPr="00116C19" w:rsidR="000D6E6A" w:rsidRDefault="000D6E6A">
            <w:pPr>
              <w:pStyle w:val="bodycopytabletable"/>
            </w:pPr>
            <w:r w:rsidRPr="00116C19">
              <w:t xml:space="preserve">Fatality claims </w:t>
            </w:r>
          </w:p>
        </w:tc>
        <w:tc>
          <w:tcPr>
            <w:tcW w:w="1276" w:type="dxa"/>
            <w:tcBorders>
              <w:top w:val="single" w:color="542E8E" w:sz="4" w:space="0"/>
              <w:left w:val="single" w:color="000000" w:sz="6" w:space="0"/>
              <w:bottom w:val="single"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0</w:t>
            </w:r>
          </w:p>
        </w:tc>
        <w:tc>
          <w:tcPr>
            <w:tcW w:w="1276" w:type="dxa"/>
            <w:tcBorders>
              <w:top w:val="single" w:color="542E8E" w:sz="4" w:space="0"/>
              <w:left w:val="single" w:color="000000" w:sz="6" w:space="0"/>
              <w:bottom w:val="single"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0</w:t>
            </w:r>
          </w:p>
        </w:tc>
        <w:tc>
          <w:tcPr>
            <w:tcW w:w="1275" w:type="dxa"/>
            <w:tcBorders>
              <w:top w:val="single" w:color="542E8E" w:sz="4" w:space="0"/>
              <w:left w:val="single" w:color="000000" w:sz="6" w:space="0"/>
              <w:bottom w:val="single"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0</w:t>
            </w:r>
          </w:p>
        </w:tc>
      </w:tr>
      <w:tr w:rsidRPr="00116C19" w:rsidR="000D6E6A" w:rsidTr="00116C19">
        <w:tblPrEx>
          <w:tblCellMar>
            <w:top w:w="0" w:type="dxa"/>
            <w:left w:w="0" w:type="dxa"/>
            <w:bottom w:w="0" w:type="dxa"/>
            <w:right w:w="0" w:type="dxa"/>
          </w:tblCellMar>
        </w:tblPrEx>
        <w:trPr>
          <w:trHeight w:val="113"/>
        </w:trPr>
        <w:tc>
          <w:tcPr>
            <w:tcW w:w="1778" w:type="dxa"/>
            <w:tcBorders>
              <w:top w:val="single" w:color="542E8E" w:sz="4" w:space="0"/>
              <w:left w:val="single" w:color="000000" w:sz="6" w:space="0"/>
              <w:bottom w:val="single" w:color="542E8E" w:sz="4" w:space="0"/>
              <w:right w:val="single" w:color="000000" w:sz="6" w:space="0"/>
            </w:tcBorders>
            <w:tcMar>
              <w:top w:w="62" w:type="dxa"/>
              <w:left w:w="57" w:type="dxa"/>
              <w:bottom w:w="57" w:type="dxa"/>
              <w:right w:w="57" w:type="dxa"/>
            </w:tcMar>
          </w:tcPr>
          <w:p w:rsidRPr="00116C19" w:rsidR="000D6E6A" w:rsidRDefault="000D6E6A">
            <w:pPr>
              <w:pStyle w:val="bodycopytabletable"/>
            </w:pPr>
            <w:r w:rsidRPr="00116C19">
              <w:t>Claim costs</w:t>
            </w:r>
          </w:p>
        </w:tc>
        <w:tc>
          <w:tcPr>
            <w:tcW w:w="4536" w:type="dxa"/>
            <w:tcBorders>
              <w:top w:val="single" w:color="542E8E" w:sz="4" w:space="0"/>
              <w:left w:val="single" w:color="000000" w:sz="6" w:space="0"/>
              <w:bottom w:val="single" w:color="542E8E" w:sz="4" w:space="0"/>
              <w:right w:val="single" w:color="000000" w:sz="6" w:space="0"/>
            </w:tcBorders>
            <w:tcMar>
              <w:top w:w="62" w:type="dxa"/>
              <w:left w:w="57" w:type="dxa"/>
              <w:bottom w:w="57" w:type="dxa"/>
              <w:right w:w="57" w:type="dxa"/>
            </w:tcMar>
          </w:tcPr>
          <w:p w:rsidRPr="00116C19" w:rsidR="000D6E6A" w:rsidRDefault="000D6E6A">
            <w:pPr>
              <w:pStyle w:val="bodycopytabletable"/>
            </w:pPr>
            <w:r w:rsidRPr="00116C19">
              <w:t xml:space="preserve">Average cost per standard claim </w:t>
            </w:r>
            <w:r w:rsidRPr="00116C19">
              <w:rPr>
                <w:rStyle w:val="Superscript"/>
              </w:rPr>
              <w:t>(a)</w:t>
            </w:r>
          </w:p>
        </w:tc>
        <w:tc>
          <w:tcPr>
            <w:tcW w:w="1276" w:type="dxa"/>
            <w:tcBorders>
              <w:top w:val="single" w:color="542E8E" w:sz="4" w:space="0"/>
              <w:left w:val="single" w:color="000000" w:sz="6" w:space="0"/>
              <w:bottom w:val="single"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$75,000</w:t>
            </w:r>
          </w:p>
        </w:tc>
        <w:tc>
          <w:tcPr>
            <w:tcW w:w="1276" w:type="dxa"/>
            <w:tcBorders>
              <w:top w:val="single" w:color="542E8E" w:sz="4" w:space="0"/>
              <w:left w:val="single" w:color="000000" w:sz="6" w:space="0"/>
              <w:bottom w:val="single"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$67,283</w:t>
            </w:r>
          </w:p>
        </w:tc>
        <w:tc>
          <w:tcPr>
            <w:tcW w:w="1275" w:type="dxa"/>
            <w:tcBorders>
              <w:top w:val="single" w:color="542E8E" w:sz="4" w:space="0"/>
              <w:left w:val="single" w:color="000000" w:sz="6" w:space="0"/>
              <w:bottom w:val="single"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$64, 501</w:t>
            </w:r>
          </w:p>
        </w:tc>
      </w:tr>
      <w:tr w:rsidRPr="00116C19" w:rsidR="000D6E6A" w:rsidTr="00116C19">
        <w:tblPrEx>
          <w:tblCellMar>
            <w:top w:w="0" w:type="dxa"/>
            <w:left w:w="0" w:type="dxa"/>
            <w:bottom w:w="0" w:type="dxa"/>
            <w:right w:w="0" w:type="dxa"/>
          </w:tblCellMar>
        </w:tblPrEx>
        <w:trPr>
          <w:trHeight w:val="113"/>
        </w:trPr>
        <w:tc>
          <w:tcPr>
            <w:tcW w:w="1778" w:type="dxa"/>
            <w:tcBorders>
              <w:top w:val="single" w:color="542E8E" w:sz="4" w:space="0"/>
              <w:left w:val="single" w:color="000000" w:sz="6" w:space="0"/>
              <w:bottom w:val="single" w:color="542E8E" w:sz="4" w:space="0"/>
              <w:right w:val="single" w:color="000000" w:sz="6" w:space="0"/>
            </w:tcBorders>
            <w:tcMar>
              <w:top w:w="62" w:type="dxa"/>
              <w:left w:w="57" w:type="dxa"/>
              <w:bottom w:w="57" w:type="dxa"/>
              <w:right w:w="57" w:type="dxa"/>
            </w:tcMar>
          </w:tcPr>
          <w:p w:rsidRPr="00116C19" w:rsidR="000D6E6A" w:rsidRDefault="000D6E6A">
            <w:pPr>
              <w:pStyle w:val="bodycopytabletable"/>
            </w:pPr>
            <w:r w:rsidRPr="00116C19">
              <w:t>Return to work (RTW)</w:t>
            </w:r>
          </w:p>
        </w:tc>
        <w:tc>
          <w:tcPr>
            <w:tcW w:w="4536" w:type="dxa"/>
            <w:tcBorders>
              <w:top w:val="single" w:color="542E8E" w:sz="4" w:space="0"/>
              <w:left w:val="single" w:color="000000" w:sz="6" w:space="0"/>
              <w:bottom w:val="single" w:color="542E8E" w:sz="4" w:space="0"/>
              <w:right w:val="single" w:color="000000" w:sz="6" w:space="0"/>
            </w:tcBorders>
            <w:tcMar>
              <w:top w:w="62" w:type="dxa"/>
              <w:left w:w="57" w:type="dxa"/>
              <w:bottom w:w="57" w:type="dxa"/>
              <w:right w:w="57" w:type="dxa"/>
            </w:tcMar>
          </w:tcPr>
          <w:p w:rsidRPr="00116C19" w:rsidR="000D6E6A" w:rsidRDefault="000D6E6A">
            <w:pPr>
              <w:pStyle w:val="bodycopytabletable"/>
            </w:pPr>
            <w:r w:rsidRPr="00116C19">
              <w:rPr>
                <w:spacing w:val="-2"/>
              </w:rPr>
              <w:t xml:space="preserve">Percentage of claims with RTW plan &lt;30 days </w:t>
            </w:r>
            <w:r w:rsidRPr="00116C19">
              <w:rPr>
                <w:rStyle w:val="Superscript"/>
                <w:spacing w:val="-2"/>
              </w:rPr>
              <w:t>(b)</w:t>
            </w:r>
          </w:p>
        </w:tc>
        <w:tc>
          <w:tcPr>
            <w:tcW w:w="1276" w:type="dxa"/>
            <w:tcBorders>
              <w:top w:val="single" w:color="542E8E" w:sz="4" w:space="0"/>
              <w:left w:val="single" w:color="000000" w:sz="6" w:space="0"/>
              <w:bottom w:val="single"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Not available</w:t>
            </w:r>
            <w:r w:rsidRPr="00116C19">
              <w:rPr>
                <w:rStyle w:val="Superscript"/>
              </w:rPr>
              <w:t>(c)</w:t>
            </w:r>
          </w:p>
        </w:tc>
        <w:tc>
          <w:tcPr>
            <w:tcW w:w="1276" w:type="dxa"/>
            <w:tcBorders>
              <w:top w:val="single" w:color="542E8E" w:sz="4" w:space="0"/>
              <w:left w:val="single" w:color="000000" w:sz="6" w:space="0"/>
              <w:bottom w:val="single"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Not available</w:t>
            </w:r>
            <w:r w:rsidRPr="00116C19">
              <w:rPr>
                <w:rStyle w:val="Superscript"/>
              </w:rPr>
              <w:t>(c)</w:t>
            </w:r>
          </w:p>
        </w:tc>
        <w:tc>
          <w:tcPr>
            <w:tcW w:w="1275" w:type="dxa"/>
            <w:tcBorders>
              <w:top w:val="single" w:color="542E8E" w:sz="4" w:space="0"/>
              <w:left w:val="single" w:color="000000" w:sz="6" w:space="0"/>
              <w:bottom w:val="single"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Not available</w:t>
            </w:r>
            <w:r w:rsidRPr="00116C19">
              <w:rPr>
                <w:rStyle w:val="Superscript"/>
              </w:rPr>
              <w:t>(b)</w:t>
            </w:r>
          </w:p>
        </w:tc>
      </w:tr>
      <w:tr w:rsidRPr="00116C19" w:rsidR="000D6E6A" w:rsidTr="00116C19">
        <w:tblPrEx>
          <w:tblCellMar>
            <w:top w:w="0" w:type="dxa"/>
            <w:left w:w="0" w:type="dxa"/>
            <w:bottom w:w="0" w:type="dxa"/>
            <w:right w:w="0" w:type="dxa"/>
          </w:tblCellMar>
        </w:tblPrEx>
        <w:trPr>
          <w:trHeight w:val="113"/>
        </w:trPr>
        <w:tc>
          <w:tcPr>
            <w:tcW w:w="1778" w:type="dxa"/>
            <w:tcBorders>
              <w:top w:val="single"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pPr>
            <w:r w:rsidRPr="00116C19">
              <w:t>Management commitment</w:t>
            </w:r>
          </w:p>
        </w:tc>
        <w:tc>
          <w:tcPr>
            <w:tcW w:w="4536" w:type="dxa"/>
            <w:tcBorders>
              <w:top w:val="single"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pPr>
            <w:r w:rsidRPr="00116C19">
              <w:t>Evidence of OH&amp;S policy statement, OH&amp;S objectives, regular reporting to senior management of OH&amp;S, and OH&amp;S plans (signed by CEO or equivalent).</w:t>
            </w:r>
          </w:p>
        </w:tc>
        <w:tc>
          <w:tcPr>
            <w:tcW w:w="1276" w:type="dxa"/>
            <w:tcBorders>
              <w:top w:val="single"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Not available</w:t>
            </w:r>
            <w:r w:rsidRPr="00116C19">
              <w:rPr>
                <w:rStyle w:val="Superscript"/>
              </w:rPr>
              <w:t>(c)</w:t>
            </w:r>
          </w:p>
        </w:tc>
        <w:tc>
          <w:tcPr>
            <w:tcW w:w="1276" w:type="dxa"/>
            <w:tcBorders>
              <w:top w:val="single"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Not available</w:t>
            </w:r>
            <w:r w:rsidRPr="00116C19">
              <w:rPr>
                <w:rStyle w:val="Superscript"/>
              </w:rPr>
              <w:t>(c)</w:t>
            </w:r>
            <w:r w:rsidRPr="00116C19">
              <w:t xml:space="preserve"> </w:t>
            </w:r>
          </w:p>
        </w:tc>
        <w:tc>
          <w:tcPr>
            <w:tcW w:w="1275" w:type="dxa"/>
            <w:tcBorders>
              <w:top w:val="single"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 xml:space="preserve">In progress  </w:t>
            </w:r>
          </w:p>
        </w:tc>
      </w:tr>
      <w:tr w:rsidRPr="00116C19" w:rsidR="000D6E6A" w:rsidTr="00116C19">
        <w:tblPrEx>
          <w:tblCellMar>
            <w:top w:w="0" w:type="dxa"/>
            <w:left w:w="0" w:type="dxa"/>
            <w:bottom w:w="0" w:type="dxa"/>
            <w:right w:w="0" w:type="dxa"/>
          </w:tblCellMar>
        </w:tblPrEx>
        <w:trPr>
          <w:trHeight w:val="113"/>
        </w:trPr>
        <w:tc>
          <w:tcPr>
            <w:tcW w:w="1778" w:type="dxa"/>
            <w:tcBorders>
              <w:top w:val="dotted" w:color="542E8E" w:sz="4" w:space="0"/>
              <w:left w:val="single" w:color="000000" w:sz="6" w:space="0"/>
              <w:bottom w:val="single" w:color="542E8E" w:sz="4" w:space="0"/>
              <w:right w:val="single" w:color="000000" w:sz="6" w:space="0"/>
            </w:tcBorders>
            <w:tcMar>
              <w:top w:w="62" w:type="dxa"/>
              <w:left w:w="57" w:type="dxa"/>
              <w:bottom w:w="57" w:type="dxa"/>
              <w:right w:w="57" w:type="dxa"/>
            </w:tcMar>
          </w:tcPr>
          <w:p w:rsidRPr="00116C19" w:rsidR="000D6E6A" w:rsidRDefault="000D6E6A">
            <w:pPr>
              <w:pStyle w:val="NoParagraphStyle"/>
              <w:spacing w:line="240" w:lineRule="auto"/>
              <w:textAlignment w:val="auto"/>
              <w:rPr>
                <w:color w:val="auto"/>
                <w:sz w:val="16"/>
                <w:szCs w:val="16"/>
              </w:rPr>
            </w:pPr>
          </w:p>
        </w:tc>
        <w:tc>
          <w:tcPr>
            <w:tcW w:w="4536" w:type="dxa"/>
            <w:tcBorders>
              <w:top w:val="dotted" w:color="542E8E" w:sz="4" w:space="0"/>
              <w:left w:val="single" w:color="000000" w:sz="6" w:space="0"/>
              <w:bottom w:val="single" w:color="542E8E" w:sz="4" w:space="0"/>
              <w:right w:val="single" w:color="000000" w:sz="6" w:space="0"/>
            </w:tcBorders>
            <w:tcMar>
              <w:top w:w="62" w:type="dxa"/>
              <w:left w:w="57" w:type="dxa"/>
              <w:bottom w:w="57" w:type="dxa"/>
              <w:right w:w="57" w:type="dxa"/>
            </w:tcMar>
          </w:tcPr>
          <w:p w:rsidRPr="00116C19" w:rsidR="000D6E6A" w:rsidRDefault="000D6E6A">
            <w:pPr>
              <w:pStyle w:val="bodycopytabletable"/>
            </w:pPr>
            <w:r w:rsidRPr="00116C19">
              <w:t>Evidence of OH&amp;S criteria(s) in purchasing guidelines (including goods, services and personnel).</w:t>
            </w:r>
          </w:p>
        </w:tc>
        <w:tc>
          <w:tcPr>
            <w:tcW w:w="1276" w:type="dxa"/>
            <w:tcBorders>
              <w:top w:val="dotted" w:color="542E8E" w:sz="4" w:space="0"/>
              <w:left w:val="single" w:color="000000" w:sz="6" w:space="0"/>
              <w:bottom w:val="single"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Not available</w:t>
            </w:r>
            <w:r w:rsidRPr="00116C19">
              <w:rPr>
                <w:rStyle w:val="Superscript"/>
              </w:rPr>
              <w:t>(c)</w:t>
            </w:r>
          </w:p>
        </w:tc>
        <w:tc>
          <w:tcPr>
            <w:tcW w:w="1276" w:type="dxa"/>
            <w:tcBorders>
              <w:top w:val="dotted" w:color="542E8E" w:sz="4" w:space="0"/>
              <w:left w:val="single" w:color="000000" w:sz="6" w:space="0"/>
              <w:bottom w:val="single"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Not available</w:t>
            </w:r>
            <w:r w:rsidRPr="00116C19">
              <w:rPr>
                <w:rStyle w:val="Superscript"/>
              </w:rPr>
              <w:t>(c)</w:t>
            </w:r>
            <w:r w:rsidRPr="00116C19">
              <w:t xml:space="preserve"> </w:t>
            </w:r>
          </w:p>
        </w:tc>
        <w:tc>
          <w:tcPr>
            <w:tcW w:w="1275" w:type="dxa"/>
            <w:tcBorders>
              <w:top w:val="dotted" w:color="542E8E" w:sz="4" w:space="0"/>
              <w:left w:val="single" w:color="000000" w:sz="6" w:space="0"/>
              <w:bottom w:val="single"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 xml:space="preserve">In progress </w:t>
            </w:r>
          </w:p>
        </w:tc>
      </w:tr>
      <w:tr w:rsidRPr="00116C19" w:rsidR="000D6E6A" w:rsidTr="00116C19">
        <w:tblPrEx>
          <w:tblCellMar>
            <w:top w:w="0" w:type="dxa"/>
            <w:left w:w="0" w:type="dxa"/>
            <w:bottom w:w="0" w:type="dxa"/>
            <w:right w:w="0" w:type="dxa"/>
          </w:tblCellMar>
        </w:tblPrEx>
        <w:trPr>
          <w:trHeight w:val="113"/>
        </w:trPr>
        <w:tc>
          <w:tcPr>
            <w:tcW w:w="1778" w:type="dxa"/>
            <w:tcBorders>
              <w:top w:val="single"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pPr>
            <w:r w:rsidRPr="00116C19">
              <w:t>Consultation and participation</w:t>
            </w:r>
          </w:p>
        </w:tc>
        <w:tc>
          <w:tcPr>
            <w:tcW w:w="4536" w:type="dxa"/>
            <w:tcBorders>
              <w:top w:val="single"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pPr>
            <w:r w:rsidRPr="00116C19">
              <w:t>Evidence of agreed structure of designated workgroups (DWGs), health and safety representatives (HSRs), and issue resolution procedures (IRPs).</w:t>
            </w:r>
          </w:p>
        </w:tc>
        <w:tc>
          <w:tcPr>
            <w:tcW w:w="1276" w:type="dxa"/>
            <w:tcBorders>
              <w:top w:val="single"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Not available</w:t>
            </w:r>
            <w:r w:rsidRPr="00116C19">
              <w:rPr>
                <w:rStyle w:val="Superscript"/>
              </w:rPr>
              <w:t>(c)</w:t>
            </w:r>
          </w:p>
        </w:tc>
        <w:tc>
          <w:tcPr>
            <w:tcW w:w="1276" w:type="dxa"/>
            <w:tcBorders>
              <w:top w:val="single"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Not available</w:t>
            </w:r>
            <w:r w:rsidRPr="00116C19">
              <w:rPr>
                <w:rStyle w:val="Superscript"/>
              </w:rPr>
              <w:t>(c)</w:t>
            </w:r>
            <w:r w:rsidRPr="00116C19">
              <w:t xml:space="preserve"> </w:t>
            </w:r>
          </w:p>
        </w:tc>
        <w:tc>
          <w:tcPr>
            <w:tcW w:w="1275" w:type="dxa"/>
            <w:tcBorders>
              <w:top w:val="single"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Completed</w:t>
            </w:r>
          </w:p>
        </w:tc>
      </w:tr>
      <w:tr w:rsidRPr="00116C19" w:rsidR="000D6E6A" w:rsidTr="00116C19">
        <w:tblPrEx>
          <w:tblCellMar>
            <w:top w:w="0" w:type="dxa"/>
            <w:left w:w="0" w:type="dxa"/>
            <w:bottom w:w="0" w:type="dxa"/>
            <w:right w:w="0" w:type="dxa"/>
          </w:tblCellMar>
        </w:tblPrEx>
        <w:trPr>
          <w:trHeight w:val="113"/>
        </w:trPr>
        <w:tc>
          <w:tcPr>
            <w:tcW w:w="1778" w:type="dxa"/>
            <w:tcBorders>
              <w:top w:val="dotted" w:color="542E8E" w:sz="4" w:space="0"/>
              <w:left w:val="single" w:color="000000" w:sz="6" w:space="0"/>
              <w:bottom w:val="single" w:color="542E8E" w:sz="4" w:space="0"/>
              <w:right w:val="single" w:color="000000" w:sz="6" w:space="0"/>
            </w:tcBorders>
            <w:tcMar>
              <w:top w:w="62" w:type="dxa"/>
              <w:left w:w="57" w:type="dxa"/>
              <w:bottom w:w="57" w:type="dxa"/>
              <w:right w:w="57" w:type="dxa"/>
            </w:tcMar>
          </w:tcPr>
          <w:p w:rsidRPr="00116C19" w:rsidR="000D6E6A" w:rsidRDefault="000D6E6A">
            <w:pPr>
              <w:pStyle w:val="NoParagraphStyle"/>
              <w:spacing w:line="240" w:lineRule="auto"/>
              <w:textAlignment w:val="auto"/>
              <w:rPr>
                <w:color w:val="auto"/>
                <w:sz w:val="16"/>
                <w:szCs w:val="16"/>
              </w:rPr>
            </w:pPr>
          </w:p>
        </w:tc>
        <w:tc>
          <w:tcPr>
            <w:tcW w:w="4536" w:type="dxa"/>
            <w:tcBorders>
              <w:top w:val="dotted" w:color="542E8E" w:sz="4" w:space="0"/>
              <w:left w:val="single" w:color="000000" w:sz="6" w:space="0"/>
              <w:bottom w:val="single" w:color="542E8E" w:sz="4" w:space="0"/>
              <w:right w:val="single" w:color="000000" w:sz="6" w:space="0"/>
            </w:tcBorders>
            <w:tcMar>
              <w:top w:w="62" w:type="dxa"/>
              <w:left w:w="57" w:type="dxa"/>
              <w:bottom w:w="57" w:type="dxa"/>
              <w:right w:w="57" w:type="dxa"/>
            </w:tcMar>
          </w:tcPr>
          <w:p w:rsidRPr="00116C19" w:rsidR="000D6E6A" w:rsidRDefault="000D6E6A">
            <w:pPr>
              <w:pStyle w:val="bodycopytabletable"/>
            </w:pPr>
            <w:r w:rsidRPr="00116C19">
              <w:t>Compliance with agreed structure on DWGs, HSRs, and IRPs.</w:t>
            </w:r>
          </w:p>
        </w:tc>
        <w:tc>
          <w:tcPr>
            <w:tcW w:w="1276" w:type="dxa"/>
            <w:tcBorders>
              <w:top w:val="dotted" w:color="542E8E" w:sz="4" w:space="0"/>
              <w:left w:val="single" w:color="000000" w:sz="6" w:space="0"/>
              <w:bottom w:val="single"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Not available</w:t>
            </w:r>
            <w:r w:rsidRPr="00116C19">
              <w:rPr>
                <w:rStyle w:val="Superscript"/>
              </w:rPr>
              <w:t>(c)</w:t>
            </w:r>
          </w:p>
        </w:tc>
        <w:tc>
          <w:tcPr>
            <w:tcW w:w="1276" w:type="dxa"/>
            <w:tcBorders>
              <w:top w:val="dotted" w:color="542E8E" w:sz="4" w:space="0"/>
              <w:left w:val="single" w:color="000000" w:sz="6" w:space="0"/>
              <w:bottom w:val="single"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Not available</w:t>
            </w:r>
            <w:r w:rsidRPr="00116C19">
              <w:rPr>
                <w:rStyle w:val="Superscript"/>
              </w:rPr>
              <w:t>(c)</w:t>
            </w:r>
            <w:r w:rsidRPr="00116C19">
              <w:t xml:space="preserve"> </w:t>
            </w:r>
          </w:p>
        </w:tc>
        <w:tc>
          <w:tcPr>
            <w:tcW w:w="1275" w:type="dxa"/>
            <w:tcBorders>
              <w:top w:val="dotted" w:color="542E8E" w:sz="4" w:space="0"/>
              <w:left w:val="single" w:color="000000" w:sz="6" w:space="0"/>
              <w:bottom w:val="single"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Completed</w:t>
            </w:r>
          </w:p>
        </w:tc>
      </w:tr>
      <w:tr w:rsidRPr="00116C19" w:rsidR="000D6E6A" w:rsidTr="00116C19">
        <w:tblPrEx>
          <w:tblCellMar>
            <w:top w:w="0" w:type="dxa"/>
            <w:left w:w="0" w:type="dxa"/>
            <w:bottom w:w="0" w:type="dxa"/>
            <w:right w:w="0" w:type="dxa"/>
          </w:tblCellMar>
        </w:tblPrEx>
        <w:trPr>
          <w:trHeight w:val="113"/>
        </w:trPr>
        <w:tc>
          <w:tcPr>
            <w:tcW w:w="1778" w:type="dxa"/>
            <w:tcBorders>
              <w:top w:val="single"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pPr>
            <w:r w:rsidRPr="00116C19">
              <w:t>Risk management</w:t>
            </w:r>
          </w:p>
        </w:tc>
        <w:tc>
          <w:tcPr>
            <w:tcW w:w="4536" w:type="dxa"/>
            <w:tcBorders>
              <w:top w:val="single"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pPr>
            <w:r w:rsidRPr="00116C19">
              <w:t>Percentage of internal audits/inspections conducted as planned.</w:t>
            </w:r>
          </w:p>
        </w:tc>
        <w:tc>
          <w:tcPr>
            <w:tcW w:w="1276" w:type="dxa"/>
            <w:tcBorders>
              <w:top w:val="single"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Not available</w:t>
            </w:r>
            <w:r w:rsidRPr="00116C19">
              <w:rPr>
                <w:rStyle w:val="Superscript"/>
              </w:rPr>
              <w:t>(c)</w:t>
            </w:r>
          </w:p>
        </w:tc>
        <w:tc>
          <w:tcPr>
            <w:tcW w:w="1276" w:type="dxa"/>
            <w:tcBorders>
              <w:top w:val="single"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Not available</w:t>
            </w:r>
            <w:r w:rsidRPr="00116C19">
              <w:rPr>
                <w:rStyle w:val="Superscript"/>
              </w:rPr>
              <w:t>(c)</w:t>
            </w:r>
            <w:r w:rsidRPr="00116C19">
              <w:t xml:space="preserve"> </w:t>
            </w:r>
          </w:p>
        </w:tc>
        <w:tc>
          <w:tcPr>
            <w:tcW w:w="1275" w:type="dxa"/>
            <w:tcBorders>
              <w:top w:val="single"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Not available</w:t>
            </w:r>
            <w:r w:rsidRPr="00116C19">
              <w:rPr>
                <w:rStyle w:val="Superscript"/>
              </w:rPr>
              <w:t>(d)</w:t>
            </w:r>
          </w:p>
        </w:tc>
      </w:tr>
      <w:tr w:rsidRPr="00116C19" w:rsidR="000D6E6A" w:rsidTr="00116C19">
        <w:tblPrEx>
          <w:tblCellMar>
            <w:top w:w="0" w:type="dxa"/>
            <w:left w:w="0" w:type="dxa"/>
            <w:bottom w:w="0" w:type="dxa"/>
            <w:right w:w="0" w:type="dxa"/>
          </w:tblCellMar>
        </w:tblPrEx>
        <w:trPr>
          <w:trHeight w:val="113"/>
        </w:trPr>
        <w:tc>
          <w:tcPr>
            <w:tcW w:w="1778"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NoParagraphStyle"/>
              <w:spacing w:line="240" w:lineRule="auto"/>
              <w:textAlignment w:val="auto"/>
              <w:rPr>
                <w:color w:val="auto"/>
                <w:sz w:val="16"/>
                <w:szCs w:val="16"/>
              </w:rPr>
            </w:pPr>
          </w:p>
        </w:tc>
        <w:tc>
          <w:tcPr>
            <w:tcW w:w="453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pPr>
            <w:r w:rsidRPr="00116C19">
              <w:t>No. of Improvement Notices issued across the department by WorkSafe inspectors.</w:t>
            </w:r>
          </w:p>
        </w:tc>
        <w:tc>
          <w:tcPr>
            <w:tcW w:w="127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11</w:t>
            </w:r>
          </w:p>
        </w:tc>
        <w:tc>
          <w:tcPr>
            <w:tcW w:w="127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14</w:t>
            </w:r>
          </w:p>
        </w:tc>
        <w:tc>
          <w:tcPr>
            <w:tcW w:w="1275"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 xml:space="preserve">8 </w:t>
            </w:r>
          </w:p>
        </w:tc>
      </w:tr>
      <w:tr w:rsidRPr="00116C19" w:rsidR="000D6E6A" w:rsidTr="00116C19">
        <w:tblPrEx>
          <w:tblCellMar>
            <w:top w:w="0" w:type="dxa"/>
            <w:left w:w="0" w:type="dxa"/>
            <w:bottom w:w="0" w:type="dxa"/>
            <w:right w:w="0" w:type="dxa"/>
          </w:tblCellMar>
        </w:tblPrEx>
        <w:trPr>
          <w:trHeight w:val="113"/>
        </w:trPr>
        <w:tc>
          <w:tcPr>
            <w:tcW w:w="1778"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NoParagraphStyle"/>
              <w:spacing w:line="240" w:lineRule="auto"/>
              <w:textAlignment w:val="auto"/>
              <w:rPr>
                <w:color w:val="auto"/>
                <w:sz w:val="16"/>
                <w:szCs w:val="16"/>
              </w:rPr>
            </w:pPr>
          </w:p>
        </w:tc>
        <w:tc>
          <w:tcPr>
            <w:tcW w:w="453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pPr>
            <w:r w:rsidRPr="00116C19">
              <w:t>Percentage of issues identified actioned arising from:</w:t>
            </w:r>
          </w:p>
        </w:tc>
        <w:tc>
          <w:tcPr>
            <w:tcW w:w="127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NoParagraphStyle"/>
              <w:spacing w:line="240" w:lineRule="auto"/>
              <w:textAlignment w:val="auto"/>
              <w:rPr>
                <w:color w:val="auto"/>
                <w:sz w:val="16"/>
                <w:szCs w:val="16"/>
              </w:rPr>
            </w:pPr>
          </w:p>
        </w:tc>
        <w:tc>
          <w:tcPr>
            <w:tcW w:w="127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NoParagraphStyle"/>
              <w:spacing w:line="240" w:lineRule="auto"/>
              <w:textAlignment w:val="auto"/>
              <w:rPr>
                <w:color w:val="auto"/>
                <w:sz w:val="16"/>
                <w:szCs w:val="16"/>
              </w:rPr>
            </w:pPr>
          </w:p>
        </w:tc>
        <w:tc>
          <w:tcPr>
            <w:tcW w:w="1275"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NoParagraphStyle"/>
              <w:spacing w:line="240" w:lineRule="auto"/>
              <w:textAlignment w:val="auto"/>
              <w:rPr>
                <w:color w:val="auto"/>
                <w:sz w:val="16"/>
                <w:szCs w:val="16"/>
              </w:rPr>
            </w:pPr>
          </w:p>
        </w:tc>
      </w:tr>
      <w:tr w:rsidRPr="00116C19" w:rsidR="000D6E6A" w:rsidTr="00116C19">
        <w:tblPrEx>
          <w:tblCellMar>
            <w:top w:w="0" w:type="dxa"/>
            <w:left w:w="0" w:type="dxa"/>
            <w:bottom w:w="0" w:type="dxa"/>
            <w:right w:w="0" w:type="dxa"/>
          </w:tblCellMar>
        </w:tblPrEx>
        <w:trPr>
          <w:trHeight w:val="113"/>
        </w:trPr>
        <w:tc>
          <w:tcPr>
            <w:tcW w:w="1778"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NoParagraphStyle"/>
              <w:spacing w:line="240" w:lineRule="auto"/>
              <w:textAlignment w:val="auto"/>
              <w:rPr>
                <w:color w:val="auto"/>
                <w:sz w:val="16"/>
                <w:szCs w:val="16"/>
              </w:rPr>
            </w:pPr>
          </w:p>
        </w:tc>
        <w:tc>
          <w:tcPr>
            <w:tcW w:w="453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pPr>
            <w:r w:rsidRPr="00116C19">
              <w:t>Internal audits</w:t>
            </w:r>
          </w:p>
        </w:tc>
        <w:tc>
          <w:tcPr>
            <w:tcW w:w="127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Not available</w:t>
            </w:r>
            <w:r w:rsidRPr="00116C19">
              <w:rPr>
                <w:rStyle w:val="Superscript"/>
              </w:rPr>
              <w:t>(c)</w:t>
            </w:r>
          </w:p>
        </w:tc>
        <w:tc>
          <w:tcPr>
            <w:tcW w:w="127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Not available</w:t>
            </w:r>
            <w:r w:rsidRPr="00116C19">
              <w:rPr>
                <w:rStyle w:val="Superscript"/>
              </w:rPr>
              <w:t>(c)</w:t>
            </w:r>
            <w:r w:rsidRPr="00116C19">
              <w:t xml:space="preserve"> </w:t>
            </w:r>
          </w:p>
        </w:tc>
        <w:tc>
          <w:tcPr>
            <w:tcW w:w="1275"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Not available</w:t>
            </w:r>
            <w:r w:rsidRPr="00116C19">
              <w:rPr>
                <w:rStyle w:val="Superscript"/>
              </w:rPr>
              <w:t>(d)</w:t>
            </w:r>
          </w:p>
        </w:tc>
      </w:tr>
      <w:tr w:rsidRPr="00116C19" w:rsidR="000D6E6A" w:rsidTr="00116C19">
        <w:tblPrEx>
          <w:tblCellMar>
            <w:top w:w="0" w:type="dxa"/>
            <w:left w:w="0" w:type="dxa"/>
            <w:bottom w:w="0" w:type="dxa"/>
            <w:right w:w="0" w:type="dxa"/>
          </w:tblCellMar>
        </w:tblPrEx>
        <w:trPr>
          <w:trHeight w:val="113"/>
        </w:trPr>
        <w:tc>
          <w:tcPr>
            <w:tcW w:w="1778"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NoParagraphStyle"/>
              <w:spacing w:line="240" w:lineRule="auto"/>
              <w:textAlignment w:val="auto"/>
              <w:rPr>
                <w:color w:val="auto"/>
                <w:sz w:val="16"/>
                <w:szCs w:val="16"/>
              </w:rPr>
            </w:pPr>
          </w:p>
        </w:tc>
        <w:tc>
          <w:tcPr>
            <w:tcW w:w="453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pPr>
            <w:r w:rsidRPr="00116C19">
              <w:t>HSR provisional improvement notices</w:t>
            </w:r>
          </w:p>
        </w:tc>
        <w:tc>
          <w:tcPr>
            <w:tcW w:w="127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100%</w:t>
            </w:r>
          </w:p>
        </w:tc>
        <w:tc>
          <w:tcPr>
            <w:tcW w:w="127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100%</w:t>
            </w:r>
          </w:p>
        </w:tc>
        <w:tc>
          <w:tcPr>
            <w:tcW w:w="1275"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100%</w:t>
            </w:r>
          </w:p>
        </w:tc>
      </w:tr>
      <w:tr w:rsidRPr="00116C19" w:rsidR="000D6E6A" w:rsidTr="00116C19">
        <w:tblPrEx>
          <w:tblCellMar>
            <w:top w:w="0" w:type="dxa"/>
            <w:left w:w="0" w:type="dxa"/>
            <w:bottom w:w="0" w:type="dxa"/>
            <w:right w:w="0" w:type="dxa"/>
          </w:tblCellMar>
        </w:tblPrEx>
        <w:trPr>
          <w:trHeight w:val="113"/>
        </w:trPr>
        <w:tc>
          <w:tcPr>
            <w:tcW w:w="1778" w:type="dxa"/>
            <w:tcBorders>
              <w:top w:val="dotted" w:color="542E8E" w:sz="4" w:space="0"/>
              <w:left w:val="single" w:color="000000" w:sz="6" w:space="0"/>
              <w:bottom w:val="single" w:color="542E8E" w:sz="4" w:space="0"/>
              <w:right w:val="single" w:color="000000" w:sz="6" w:space="0"/>
            </w:tcBorders>
            <w:tcMar>
              <w:top w:w="62" w:type="dxa"/>
              <w:left w:w="57" w:type="dxa"/>
              <w:bottom w:w="57" w:type="dxa"/>
              <w:right w:w="57" w:type="dxa"/>
            </w:tcMar>
          </w:tcPr>
          <w:p w:rsidRPr="00116C19" w:rsidR="000D6E6A" w:rsidRDefault="000D6E6A">
            <w:pPr>
              <w:pStyle w:val="NoParagraphStyle"/>
              <w:spacing w:line="240" w:lineRule="auto"/>
              <w:textAlignment w:val="auto"/>
              <w:rPr>
                <w:color w:val="auto"/>
                <w:sz w:val="16"/>
                <w:szCs w:val="16"/>
              </w:rPr>
            </w:pPr>
          </w:p>
        </w:tc>
        <w:tc>
          <w:tcPr>
            <w:tcW w:w="4536" w:type="dxa"/>
            <w:tcBorders>
              <w:top w:val="dotted" w:color="542E8E" w:sz="4" w:space="0"/>
              <w:left w:val="single" w:color="000000" w:sz="6" w:space="0"/>
              <w:bottom w:val="single" w:color="542E8E" w:sz="4" w:space="0"/>
              <w:right w:val="single" w:color="000000" w:sz="6" w:space="0"/>
            </w:tcBorders>
            <w:tcMar>
              <w:top w:w="62" w:type="dxa"/>
              <w:left w:w="57" w:type="dxa"/>
              <w:bottom w:w="57" w:type="dxa"/>
              <w:right w:w="57" w:type="dxa"/>
            </w:tcMar>
          </w:tcPr>
          <w:p w:rsidRPr="00116C19" w:rsidR="000D6E6A" w:rsidRDefault="000D6E6A">
            <w:pPr>
              <w:pStyle w:val="bodycopytabletable"/>
            </w:pPr>
            <w:r w:rsidRPr="00116C19">
              <w:t>WorkSafe notices.</w:t>
            </w:r>
          </w:p>
        </w:tc>
        <w:tc>
          <w:tcPr>
            <w:tcW w:w="1276" w:type="dxa"/>
            <w:tcBorders>
              <w:top w:val="dotted" w:color="542E8E" w:sz="4" w:space="0"/>
              <w:left w:val="single" w:color="000000" w:sz="6" w:space="0"/>
              <w:bottom w:val="single"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100%</w:t>
            </w:r>
          </w:p>
        </w:tc>
        <w:tc>
          <w:tcPr>
            <w:tcW w:w="1276" w:type="dxa"/>
            <w:tcBorders>
              <w:top w:val="dotted" w:color="542E8E" w:sz="4" w:space="0"/>
              <w:left w:val="single" w:color="000000" w:sz="6" w:space="0"/>
              <w:bottom w:val="single"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100%</w:t>
            </w:r>
          </w:p>
        </w:tc>
        <w:tc>
          <w:tcPr>
            <w:tcW w:w="1275" w:type="dxa"/>
            <w:tcBorders>
              <w:top w:val="dotted" w:color="542E8E" w:sz="4" w:space="0"/>
              <w:left w:val="single" w:color="000000" w:sz="6" w:space="0"/>
              <w:bottom w:val="single"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100%</w:t>
            </w:r>
          </w:p>
        </w:tc>
      </w:tr>
      <w:tr w:rsidRPr="00116C19" w:rsidR="000D6E6A" w:rsidTr="00116C19">
        <w:tblPrEx>
          <w:tblCellMar>
            <w:top w:w="0" w:type="dxa"/>
            <w:left w:w="0" w:type="dxa"/>
            <w:bottom w:w="0" w:type="dxa"/>
            <w:right w:w="0" w:type="dxa"/>
          </w:tblCellMar>
        </w:tblPrEx>
        <w:trPr>
          <w:trHeight w:val="113"/>
        </w:trPr>
        <w:tc>
          <w:tcPr>
            <w:tcW w:w="1778" w:type="dxa"/>
            <w:tcBorders>
              <w:top w:val="single"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pPr>
            <w:r w:rsidRPr="00116C19">
              <w:t xml:space="preserve">Training </w:t>
            </w:r>
            <w:r w:rsidRPr="00116C19">
              <w:rPr>
                <w:rStyle w:val="Superscript"/>
              </w:rPr>
              <w:t>(e)</w:t>
            </w:r>
          </w:p>
        </w:tc>
        <w:tc>
          <w:tcPr>
            <w:tcW w:w="4536" w:type="dxa"/>
            <w:tcBorders>
              <w:top w:val="single"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pPr>
            <w:r w:rsidRPr="00116C19">
              <w:t>Percentage of managers and staff that have received OH&amp;S training:</w:t>
            </w:r>
          </w:p>
        </w:tc>
        <w:tc>
          <w:tcPr>
            <w:tcW w:w="1276" w:type="dxa"/>
            <w:tcBorders>
              <w:top w:val="single"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NoParagraphStyle"/>
              <w:spacing w:line="240" w:lineRule="auto"/>
              <w:textAlignment w:val="auto"/>
              <w:rPr>
                <w:color w:val="auto"/>
                <w:sz w:val="16"/>
                <w:szCs w:val="16"/>
              </w:rPr>
            </w:pPr>
          </w:p>
        </w:tc>
        <w:tc>
          <w:tcPr>
            <w:tcW w:w="1276" w:type="dxa"/>
            <w:tcBorders>
              <w:top w:val="single"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NoParagraphStyle"/>
              <w:spacing w:line="240" w:lineRule="auto"/>
              <w:textAlignment w:val="auto"/>
              <w:rPr>
                <w:color w:val="auto"/>
                <w:sz w:val="16"/>
                <w:szCs w:val="16"/>
              </w:rPr>
            </w:pPr>
          </w:p>
        </w:tc>
        <w:tc>
          <w:tcPr>
            <w:tcW w:w="1275" w:type="dxa"/>
            <w:tcBorders>
              <w:top w:val="single"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NoParagraphStyle"/>
              <w:spacing w:line="240" w:lineRule="auto"/>
              <w:textAlignment w:val="auto"/>
              <w:rPr>
                <w:color w:val="auto"/>
                <w:sz w:val="16"/>
                <w:szCs w:val="16"/>
              </w:rPr>
            </w:pPr>
          </w:p>
        </w:tc>
      </w:tr>
      <w:tr w:rsidRPr="00116C19" w:rsidR="000D6E6A" w:rsidTr="00116C19">
        <w:tblPrEx>
          <w:tblCellMar>
            <w:top w:w="0" w:type="dxa"/>
            <w:left w:w="0" w:type="dxa"/>
            <w:bottom w:w="0" w:type="dxa"/>
            <w:right w:w="0" w:type="dxa"/>
          </w:tblCellMar>
        </w:tblPrEx>
        <w:trPr>
          <w:trHeight w:val="113"/>
        </w:trPr>
        <w:tc>
          <w:tcPr>
            <w:tcW w:w="1778"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NoParagraphStyle"/>
              <w:spacing w:line="240" w:lineRule="auto"/>
              <w:textAlignment w:val="auto"/>
              <w:rPr>
                <w:color w:val="auto"/>
                <w:sz w:val="16"/>
                <w:szCs w:val="16"/>
              </w:rPr>
            </w:pPr>
          </w:p>
        </w:tc>
        <w:tc>
          <w:tcPr>
            <w:tcW w:w="453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pPr>
            <w:r w:rsidRPr="00116C19">
              <w:t>Induction</w:t>
            </w:r>
          </w:p>
        </w:tc>
        <w:tc>
          <w:tcPr>
            <w:tcW w:w="127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Not available</w:t>
            </w:r>
            <w:r w:rsidRPr="00116C19">
              <w:rPr>
                <w:rStyle w:val="Superscript"/>
              </w:rPr>
              <w:t>(c)</w:t>
            </w:r>
          </w:p>
        </w:tc>
        <w:tc>
          <w:tcPr>
            <w:tcW w:w="127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Not available</w:t>
            </w:r>
            <w:r w:rsidRPr="00116C19">
              <w:rPr>
                <w:rStyle w:val="Superscript"/>
              </w:rPr>
              <w:t>(c)</w:t>
            </w:r>
            <w:r w:rsidRPr="00116C19">
              <w:t xml:space="preserve"> </w:t>
            </w:r>
          </w:p>
        </w:tc>
        <w:tc>
          <w:tcPr>
            <w:tcW w:w="1275"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70%</w:t>
            </w:r>
          </w:p>
        </w:tc>
      </w:tr>
      <w:tr w:rsidRPr="00116C19" w:rsidR="000D6E6A" w:rsidTr="00116C19">
        <w:tblPrEx>
          <w:tblCellMar>
            <w:top w:w="0" w:type="dxa"/>
            <w:left w:w="0" w:type="dxa"/>
            <w:bottom w:w="0" w:type="dxa"/>
            <w:right w:w="0" w:type="dxa"/>
          </w:tblCellMar>
        </w:tblPrEx>
        <w:trPr>
          <w:trHeight w:val="113"/>
        </w:trPr>
        <w:tc>
          <w:tcPr>
            <w:tcW w:w="1778"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NoParagraphStyle"/>
              <w:spacing w:line="240" w:lineRule="auto"/>
              <w:textAlignment w:val="auto"/>
              <w:rPr>
                <w:color w:val="auto"/>
                <w:sz w:val="16"/>
                <w:szCs w:val="16"/>
              </w:rPr>
            </w:pPr>
          </w:p>
        </w:tc>
        <w:tc>
          <w:tcPr>
            <w:tcW w:w="453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pPr>
            <w:r w:rsidRPr="00116C19">
              <w:t>management training</w:t>
            </w:r>
          </w:p>
        </w:tc>
        <w:tc>
          <w:tcPr>
            <w:tcW w:w="127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Not available</w:t>
            </w:r>
            <w:r w:rsidRPr="00116C19">
              <w:rPr>
                <w:rStyle w:val="Superscript"/>
              </w:rPr>
              <w:t>(c)</w:t>
            </w:r>
          </w:p>
        </w:tc>
        <w:tc>
          <w:tcPr>
            <w:tcW w:w="127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Not available</w:t>
            </w:r>
            <w:r w:rsidRPr="00116C19">
              <w:rPr>
                <w:rStyle w:val="Superscript"/>
              </w:rPr>
              <w:t>(c)</w:t>
            </w:r>
            <w:r w:rsidRPr="00116C19">
              <w:t xml:space="preserve"> </w:t>
            </w:r>
          </w:p>
        </w:tc>
        <w:tc>
          <w:tcPr>
            <w:tcW w:w="1275"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Not available</w:t>
            </w:r>
            <w:r w:rsidRPr="00116C19">
              <w:rPr>
                <w:rStyle w:val="Superscript"/>
              </w:rPr>
              <w:t>(b)</w:t>
            </w:r>
          </w:p>
        </w:tc>
      </w:tr>
      <w:tr w:rsidRPr="00116C19" w:rsidR="000D6E6A" w:rsidTr="00116C19">
        <w:tblPrEx>
          <w:tblCellMar>
            <w:top w:w="0" w:type="dxa"/>
            <w:left w:w="0" w:type="dxa"/>
            <w:bottom w:w="0" w:type="dxa"/>
            <w:right w:w="0" w:type="dxa"/>
          </w:tblCellMar>
        </w:tblPrEx>
        <w:trPr>
          <w:trHeight w:val="113"/>
        </w:trPr>
        <w:tc>
          <w:tcPr>
            <w:tcW w:w="1778"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NoParagraphStyle"/>
              <w:spacing w:line="240" w:lineRule="auto"/>
              <w:textAlignment w:val="auto"/>
              <w:rPr>
                <w:color w:val="auto"/>
                <w:sz w:val="16"/>
                <w:szCs w:val="16"/>
              </w:rPr>
            </w:pPr>
          </w:p>
        </w:tc>
        <w:tc>
          <w:tcPr>
            <w:tcW w:w="453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pPr>
            <w:r w:rsidRPr="00116C19">
              <w:t>contractors, temporary staff, and visitors.</w:t>
            </w:r>
          </w:p>
        </w:tc>
        <w:tc>
          <w:tcPr>
            <w:tcW w:w="127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Not available</w:t>
            </w:r>
            <w:r w:rsidRPr="00116C19">
              <w:rPr>
                <w:rStyle w:val="Superscript"/>
              </w:rPr>
              <w:t>(c)</w:t>
            </w:r>
          </w:p>
        </w:tc>
        <w:tc>
          <w:tcPr>
            <w:tcW w:w="127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Not available</w:t>
            </w:r>
            <w:r w:rsidRPr="00116C19">
              <w:rPr>
                <w:rStyle w:val="Superscript"/>
              </w:rPr>
              <w:t>(c)</w:t>
            </w:r>
            <w:r w:rsidRPr="00116C19">
              <w:t xml:space="preserve"> </w:t>
            </w:r>
          </w:p>
        </w:tc>
        <w:tc>
          <w:tcPr>
            <w:tcW w:w="1275"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Not available</w:t>
            </w:r>
            <w:r w:rsidRPr="00116C19">
              <w:rPr>
                <w:rStyle w:val="Superscript"/>
              </w:rPr>
              <w:t>(b)</w:t>
            </w:r>
          </w:p>
        </w:tc>
      </w:tr>
      <w:tr w:rsidRPr="00116C19" w:rsidR="000D6E6A" w:rsidTr="00116C19">
        <w:tblPrEx>
          <w:tblCellMar>
            <w:top w:w="0" w:type="dxa"/>
            <w:left w:w="0" w:type="dxa"/>
            <w:bottom w:w="0" w:type="dxa"/>
            <w:right w:w="0" w:type="dxa"/>
          </w:tblCellMar>
        </w:tblPrEx>
        <w:trPr>
          <w:trHeight w:val="113"/>
        </w:trPr>
        <w:tc>
          <w:tcPr>
            <w:tcW w:w="1778"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NoParagraphStyle"/>
              <w:spacing w:line="240" w:lineRule="auto"/>
              <w:textAlignment w:val="auto"/>
              <w:rPr>
                <w:color w:val="auto"/>
                <w:sz w:val="16"/>
                <w:szCs w:val="16"/>
              </w:rPr>
            </w:pPr>
          </w:p>
        </w:tc>
        <w:tc>
          <w:tcPr>
            <w:tcW w:w="453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pPr>
            <w:r w:rsidRPr="00116C19">
              <w:t>Percentage of HSRs trained:</w:t>
            </w:r>
          </w:p>
        </w:tc>
        <w:tc>
          <w:tcPr>
            <w:tcW w:w="127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NoParagraphStyle"/>
              <w:spacing w:line="240" w:lineRule="auto"/>
              <w:textAlignment w:val="auto"/>
              <w:rPr>
                <w:color w:val="auto"/>
                <w:sz w:val="16"/>
                <w:szCs w:val="16"/>
              </w:rPr>
            </w:pPr>
          </w:p>
        </w:tc>
        <w:tc>
          <w:tcPr>
            <w:tcW w:w="127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NoParagraphStyle"/>
              <w:spacing w:line="240" w:lineRule="auto"/>
              <w:textAlignment w:val="auto"/>
              <w:rPr>
                <w:color w:val="auto"/>
                <w:sz w:val="16"/>
                <w:szCs w:val="16"/>
              </w:rPr>
            </w:pPr>
          </w:p>
        </w:tc>
        <w:tc>
          <w:tcPr>
            <w:tcW w:w="1275"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NoParagraphStyle"/>
              <w:spacing w:line="240" w:lineRule="auto"/>
              <w:textAlignment w:val="auto"/>
              <w:rPr>
                <w:color w:val="auto"/>
                <w:sz w:val="16"/>
                <w:szCs w:val="16"/>
              </w:rPr>
            </w:pPr>
          </w:p>
        </w:tc>
      </w:tr>
      <w:tr w:rsidRPr="00116C19" w:rsidR="000D6E6A" w:rsidTr="00116C19">
        <w:tblPrEx>
          <w:tblCellMar>
            <w:top w:w="0" w:type="dxa"/>
            <w:left w:w="0" w:type="dxa"/>
            <w:bottom w:w="0" w:type="dxa"/>
            <w:right w:w="0" w:type="dxa"/>
          </w:tblCellMar>
        </w:tblPrEx>
        <w:trPr>
          <w:trHeight w:val="113"/>
        </w:trPr>
        <w:tc>
          <w:tcPr>
            <w:tcW w:w="1778"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NoParagraphStyle"/>
              <w:spacing w:line="240" w:lineRule="auto"/>
              <w:textAlignment w:val="auto"/>
              <w:rPr>
                <w:color w:val="auto"/>
                <w:sz w:val="16"/>
                <w:szCs w:val="16"/>
              </w:rPr>
            </w:pPr>
          </w:p>
        </w:tc>
        <w:tc>
          <w:tcPr>
            <w:tcW w:w="453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pPr>
            <w:r w:rsidRPr="00116C19">
              <w:t>acceptance of role</w:t>
            </w:r>
          </w:p>
        </w:tc>
        <w:tc>
          <w:tcPr>
            <w:tcW w:w="127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Not available</w:t>
            </w:r>
            <w:r w:rsidRPr="00116C19">
              <w:rPr>
                <w:rStyle w:val="Superscript"/>
              </w:rPr>
              <w:t>(c)</w:t>
            </w:r>
          </w:p>
        </w:tc>
        <w:tc>
          <w:tcPr>
            <w:tcW w:w="127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Not available</w:t>
            </w:r>
            <w:r w:rsidRPr="00116C19">
              <w:rPr>
                <w:rStyle w:val="Superscript"/>
              </w:rPr>
              <w:t>(c)</w:t>
            </w:r>
            <w:r w:rsidRPr="00116C19">
              <w:t xml:space="preserve"> </w:t>
            </w:r>
          </w:p>
        </w:tc>
        <w:tc>
          <w:tcPr>
            <w:tcW w:w="1275"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Not available</w:t>
            </w:r>
            <w:r w:rsidRPr="00116C19">
              <w:rPr>
                <w:rStyle w:val="Superscript"/>
              </w:rPr>
              <w:t>(b)</w:t>
            </w:r>
          </w:p>
        </w:tc>
      </w:tr>
      <w:tr w:rsidRPr="00116C19" w:rsidR="000D6E6A" w:rsidTr="00116C19">
        <w:tblPrEx>
          <w:tblCellMar>
            <w:top w:w="0" w:type="dxa"/>
            <w:left w:w="0" w:type="dxa"/>
            <w:bottom w:w="0" w:type="dxa"/>
            <w:right w:w="0" w:type="dxa"/>
          </w:tblCellMar>
        </w:tblPrEx>
        <w:trPr>
          <w:trHeight w:val="113"/>
        </w:trPr>
        <w:tc>
          <w:tcPr>
            <w:tcW w:w="1778"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NoParagraphStyle"/>
              <w:spacing w:line="240" w:lineRule="auto"/>
              <w:textAlignment w:val="auto"/>
              <w:rPr>
                <w:color w:val="auto"/>
                <w:sz w:val="16"/>
                <w:szCs w:val="16"/>
              </w:rPr>
            </w:pPr>
          </w:p>
        </w:tc>
        <w:tc>
          <w:tcPr>
            <w:tcW w:w="453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pPr>
            <w:r w:rsidRPr="00116C19">
              <w:t>re</w:t>
            </w:r>
            <w:r w:rsidRPr="00116C19">
              <w:rPr>
                <w:rFonts w:ascii="Cambria Math" w:hAnsi="Cambria Math" w:cs="Cambria Math"/>
              </w:rPr>
              <w:t>‑</w:t>
            </w:r>
            <w:r w:rsidRPr="00116C19">
              <w:t>training (refresher)</w:t>
            </w:r>
          </w:p>
        </w:tc>
        <w:tc>
          <w:tcPr>
            <w:tcW w:w="127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Not available</w:t>
            </w:r>
            <w:r w:rsidRPr="00116C19">
              <w:rPr>
                <w:rStyle w:val="Superscript"/>
              </w:rPr>
              <w:t>(c)</w:t>
            </w:r>
          </w:p>
        </w:tc>
        <w:tc>
          <w:tcPr>
            <w:tcW w:w="1276"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Not available</w:t>
            </w:r>
            <w:r w:rsidRPr="00116C19">
              <w:rPr>
                <w:rStyle w:val="Superscript"/>
              </w:rPr>
              <w:t>(c)</w:t>
            </w:r>
            <w:r w:rsidRPr="00116C19">
              <w:t xml:space="preserve"> </w:t>
            </w:r>
          </w:p>
        </w:tc>
        <w:tc>
          <w:tcPr>
            <w:tcW w:w="1275" w:type="dxa"/>
            <w:tcBorders>
              <w:top w:val="dotted" w:color="542E8E" w:sz="4" w:space="0"/>
              <w:left w:val="single" w:color="000000" w:sz="6" w:space="0"/>
              <w:bottom w:val="dotted" w:color="542E8E" w:sz="4" w:space="0"/>
              <w:right w:val="single" w:color="000000" w:sz="6" w:space="0"/>
            </w:tcBorders>
            <w:tcMar>
              <w:top w:w="62" w:type="dxa"/>
              <w:left w:w="57" w:type="dxa"/>
              <w:bottom w:w="57" w:type="dxa"/>
              <w:right w:w="57" w:type="dxa"/>
            </w:tcMar>
          </w:tcPr>
          <w:p w:rsidRPr="00116C19" w:rsidR="000D6E6A" w:rsidRDefault="000D6E6A">
            <w:pPr>
              <w:pStyle w:val="bodycopytabletable"/>
              <w:jc w:val="right"/>
            </w:pPr>
            <w:r w:rsidRPr="00116C19">
              <w:t>Not available</w:t>
            </w:r>
            <w:r w:rsidRPr="00116C19">
              <w:rPr>
                <w:rStyle w:val="Superscript"/>
              </w:rPr>
              <w:t>(b)</w:t>
            </w:r>
          </w:p>
        </w:tc>
      </w:tr>
      <w:tr w:rsidRPr="00116C19" w:rsidR="000D6E6A" w:rsidTr="00116C19">
        <w:tblPrEx>
          <w:tblCellMar>
            <w:top w:w="0" w:type="dxa"/>
            <w:left w:w="0" w:type="dxa"/>
            <w:bottom w:w="0" w:type="dxa"/>
            <w:right w:w="0" w:type="dxa"/>
          </w:tblCellMar>
        </w:tblPrEx>
        <w:trPr>
          <w:trHeight w:val="113"/>
        </w:trPr>
        <w:tc>
          <w:tcPr>
            <w:tcW w:w="1778" w:type="dxa"/>
            <w:tcBorders>
              <w:top w:val="dotted" w:color="542E8E" w:sz="4" w:space="0"/>
              <w:left w:val="single" w:color="000000" w:sz="6" w:space="0"/>
              <w:bottom w:val="single" w:color="542E8E" w:sz="4" w:space="0"/>
              <w:right w:val="single" w:color="000000" w:sz="6" w:space="0"/>
            </w:tcBorders>
            <w:shd w:val="solid" w:color="FFFFFF" w:fill="auto"/>
            <w:tcMar>
              <w:top w:w="62" w:type="dxa"/>
              <w:left w:w="57" w:type="dxa"/>
              <w:bottom w:w="57" w:type="dxa"/>
              <w:right w:w="57" w:type="dxa"/>
            </w:tcMar>
          </w:tcPr>
          <w:p w:rsidRPr="00116C19" w:rsidR="000D6E6A" w:rsidRDefault="000D6E6A">
            <w:pPr>
              <w:pStyle w:val="NoParagraphStyle"/>
              <w:spacing w:line="240" w:lineRule="auto"/>
              <w:textAlignment w:val="auto"/>
              <w:rPr>
                <w:color w:val="auto"/>
                <w:sz w:val="16"/>
                <w:szCs w:val="16"/>
              </w:rPr>
            </w:pPr>
          </w:p>
        </w:tc>
        <w:tc>
          <w:tcPr>
            <w:tcW w:w="4536" w:type="dxa"/>
            <w:tcBorders>
              <w:top w:val="dotted" w:color="542E8E" w:sz="4" w:space="0"/>
              <w:left w:val="single" w:color="000000" w:sz="6" w:space="0"/>
              <w:bottom w:val="single" w:color="542E8E" w:sz="4" w:space="0"/>
              <w:right w:val="single" w:color="000000" w:sz="6" w:space="0"/>
            </w:tcBorders>
            <w:shd w:val="solid" w:color="FFFFFF" w:fill="auto"/>
            <w:tcMar>
              <w:top w:w="62" w:type="dxa"/>
              <w:left w:w="57" w:type="dxa"/>
              <w:bottom w:w="57" w:type="dxa"/>
              <w:right w:w="57" w:type="dxa"/>
            </w:tcMar>
          </w:tcPr>
          <w:p w:rsidRPr="00116C19" w:rsidR="000D6E6A" w:rsidRDefault="000D6E6A">
            <w:pPr>
              <w:pStyle w:val="bodycopytabletable"/>
            </w:pPr>
            <w:r w:rsidRPr="00116C19">
              <w:t>reporting of incidents and injuries.</w:t>
            </w:r>
          </w:p>
        </w:tc>
        <w:tc>
          <w:tcPr>
            <w:tcW w:w="1276" w:type="dxa"/>
            <w:tcBorders>
              <w:top w:val="dotted" w:color="542E8E" w:sz="4" w:space="0"/>
              <w:left w:val="single" w:color="000000" w:sz="6" w:space="0"/>
              <w:bottom w:val="single" w:color="542E8E" w:sz="4" w:space="0"/>
              <w:right w:val="single" w:color="000000" w:sz="6" w:space="0"/>
            </w:tcBorders>
            <w:shd w:val="solid" w:color="FFFFFF" w:fill="auto"/>
            <w:tcMar>
              <w:top w:w="62" w:type="dxa"/>
              <w:left w:w="57" w:type="dxa"/>
              <w:bottom w:w="57" w:type="dxa"/>
              <w:right w:w="57" w:type="dxa"/>
            </w:tcMar>
          </w:tcPr>
          <w:p w:rsidRPr="00116C19" w:rsidR="000D6E6A" w:rsidRDefault="000D6E6A">
            <w:pPr>
              <w:pStyle w:val="bodycopytabletable"/>
              <w:jc w:val="right"/>
            </w:pPr>
            <w:r w:rsidRPr="00116C19">
              <w:t>Not available</w:t>
            </w:r>
            <w:r w:rsidRPr="00116C19">
              <w:rPr>
                <w:rStyle w:val="Superscript"/>
              </w:rPr>
              <w:t>(c)</w:t>
            </w:r>
          </w:p>
        </w:tc>
        <w:tc>
          <w:tcPr>
            <w:tcW w:w="1276" w:type="dxa"/>
            <w:tcBorders>
              <w:top w:val="dotted" w:color="542E8E" w:sz="4" w:space="0"/>
              <w:left w:val="single" w:color="000000" w:sz="6" w:space="0"/>
              <w:bottom w:val="single" w:color="542E8E" w:sz="4" w:space="0"/>
              <w:right w:val="single" w:color="000000" w:sz="6" w:space="0"/>
            </w:tcBorders>
            <w:shd w:val="solid" w:color="FFFFFF" w:fill="auto"/>
            <w:tcMar>
              <w:top w:w="62" w:type="dxa"/>
              <w:left w:w="57" w:type="dxa"/>
              <w:bottom w:w="57" w:type="dxa"/>
              <w:right w:w="57" w:type="dxa"/>
            </w:tcMar>
          </w:tcPr>
          <w:p w:rsidRPr="00116C19" w:rsidR="000D6E6A" w:rsidRDefault="000D6E6A">
            <w:pPr>
              <w:pStyle w:val="bodycopytabletable"/>
              <w:jc w:val="right"/>
            </w:pPr>
            <w:r w:rsidRPr="00116C19">
              <w:t>Not available</w:t>
            </w:r>
            <w:r w:rsidRPr="00116C19">
              <w:rPr>
                <w:rStyle w:val="Superscript"/>
              </w:rPr>
              <w:t>(c)</w:t>
            </w:r>
            <w:r w:rsidRPr="00116C19">
              <w:t xml:space="preserve"> </w:t>
            </w:r>
          </w:p>
        </w:tc>
        <w:tc>
          <w:tcPr>
            <w:tcW w:w="1275" w:type="dxa"/>
            <w:tcBorders>
              <w:top w:val="dotted" w:color="542E8E" w:sz="4" w:space="0"/>
              <w:left w:val="single" w:color="000000" w:sz="6" w:space="0"/>
              <w:bottom w:val="single" w:color="542E8E" w:sz="4" w:space="0"/>
              <w:right w:val="single" w:color="000000" w:sz="6" w:space="0"/>
            </w:tcBorders>
            <w:shd w:val="solid" w:color="FFFFFF" w:fill="auto"/>
            <w:tcMar>
              <w:top w:w="62" w:type="dxa"/>
              <w:left w:w="57" w:type="dxa"/>
              <w:bottom w:w="57" w:type="dxa"/>
              <w:right w:w="57" w:type="dxa"/>
            </w:tcMar>
          </w:tcPr>
          <w:p w:rsidRPr="00116C19" w:rsidR="000D6E6A" w:rsidRDefault="000D6E6A">
            <w:pPr>
              <w:pStyle w:val="bodycopytabletable"/>
              <w:jc w:val="right"/>
            </w:pPr>
            <w:r w:rsidRPr="00116C19">
              <w:t>Not available</w:t>
            </w:r>
            <w:r w:rsidRPr="00116C19">
              <w:rPr>
                <w:rStyle w:val="Superscript"/>
              </w:rPr>
              <w:t>(b)</w:t>
            </w:r>
          </w:p>
        </w:tc>
      </w:tr>
    </w:tbl>
    <w:p w:rsidR="000D6E6A" w:rsidP="00116C19" w:rsidRDefault="000D6E6A">
      <w:pPr>
        <w:pStyle w:val="notestable"/>
        <w:spacing w:before="60"/>
      </w:pPr>
      <w:r>
        <w:t>Notes:</w:t>
      </w:r>
    </w:p>
    <w:p w:rsidR="000D6E6A" w:rsidP="00116C19" w:rsidRDefault="000D6E6A">
      <w:pPr>
        <w:pStyle w:val="notestable"/>
        <w:tabs>
          <w:tab w:val="clear" w:pos="283"/>
        </w:tabs>
        <w:ind w:left="284" w:hanging="284"/>
      </w:pPr>
      <w:r>
        <w:t xml:space="preserve">(a) </w:t>
      </w:r>
      <w:r>
        <w:tab/>
        <w:t xml:space="preserve">Data sourced from Victorian </w:t>
      </w:r>
      <w:proofErr w:type="spellStart"/>
      <w:r>
        <w:t>WorkCover</w:t>
      </w:r>
      <w:proofErr w:type="spellEnd"/>
      <w:r>
        <w:t xml:space="preserve"> Authority, trading as WorkSafe. </w:t>
      </w:r>
    </w:p>
    <w:p w:rsidR="000D6E6A" w:rsidP="00116C19" w:rsidRDefault="000D6E6A">
      <w:pPr>
        <w:pStyle w:val="notestable"/>
        <w:tabs>
          <w:tab w:val="clear" w:pos="283"/>
        </w:tabs>
        <w:ind w:left="284" w:hanging="284"/>
      </w:pPr>
      <w:r>
        <w:t xml:space="preserve">(b) </w:t>
      </w:r>
      <w:r>
        <w:tab/>
        <w:t>Systems are being put in place to capture this information.</w:t>
      </w:r>
    </w:p>
    <w:p w:rsidR="000D6E6A" w:rsidP="00116C19" w:rsidRDefault="000D6E6A">
      <w:pPr>
        <w:pStyle w:val="notestable"/>
        <w:tabs>
          <w:tab w:val="clear" w:pos="283"/>
        </w:tabs>
        <w:ind w:left="284" w:hanging="284"/>
      </w:pPr>
      <w:r>
        <w:t xml:space="preserve">(c) </w:t>
      </w:r>
      <w:r>
        <w:tab/>
        <w:t>Data from prior years was not recorded for reporting purposes.</w:t>
      </w:r>
    </w:p>
    <w:p w:rsidR="000D6E6A" w:rsidP="00116C19" w:rsidRDefault="000D6E6A">
      <w:pPr>
        <w:pStyle w:val="notestable"/>
        <w:tabs>
          <w:tab w:val="clear" w:pos="283"/>
        </w:tabs>
        <w:ind w:left="284" w:hanging="284"/>
      </w:pPr>
      <w:r>
        <w:t xml:space="preserve">(d) </w:t>
      </w:r>
      <w:r>
        <w:tab/>
        <w:t xml:space="preserve">The department undertakes a range of internal OHS audits, however as this is a new reporting metric, a system is being implemented to define the audits which will be monitored and reported on.  </w:t>
      </w:r>
    </w:p>
    <w:p w:rsidR="000D6E6A" w:rsidP="00116C19" w:rsidRDefault="000D6E6A">
      <w:pPr>
        <w:pStyle w:val="notestable"/>
        <w:tabs>
          <w:tab w:val="clear" w:pos="283"/>
        </w:tabs>
        <w:ind w:left="284" w:hanging="284"/>
      </w:pPr>
      <w:r>
        <w:t xml:space="preserve">(e) </w:t>
      </w:r>
      <w:r>
        <w:tab/>
        <w:t xml:space="preserve">The department provides a range of OHS training programs and is currently undertaking an OHS training needs analysis and upgrade of its training programs.  </w:t>
      </w:r>
    </w:p>
    <w:p w:rsidR="00116C19" w:rsidRDefault="00116C19">
      <w:pPr>
        <w:rPr>
          <w:rFonts w:ascii="Arial" w:hAnsi="Arial" w:cs="Arial"/>
          <w:b/>
          <w:bCs/>
          <w:color w:val="542E8E"/>
          <w:sz w:val="27"/>
          <w:szCs w:val="27"/>
          <w:lang w:val="en-GB"/>
        </w:rPr>
      </w:pPr>
      <w:r>
        <w:br w:type="page"/>
      </w:r>
    </w:p>
    <w:p w:rsidR="000D6E6A" w:rsidRDefault="000D6E6A">
      <w:pPr>
        <w:pStyle w:val="H2"/>
      </w:pPr>
      <w:r>
        <w:lastRenderedPageBreak/>
        <w:t>Disability, diversity and inclusion</w:t>
      </w:r>
    </w:p>
    <w:p w:rsidR="000D6E6A" w:rsidRDefault="000D6E6A">
      <w:pPr>
        <w:pStyle w:val="H3"/>
      </w:pPr>
      <w:r>
        <w:t>Initiatives responding to disability</w:t>
      </w:r>
    </w:p>
    <w:p w:rsidR="000D6E6A" w:rsidRDefault="000D6E6A">
      <w:pPr>
        <w:pStyle w:val="Bodycopy"/>
        <w:rPr>
          <w:spacing w:val="-2"/>
        </w:rPr>
      </w:pPr>
      <w:r>
        <w:rPr>
          <w:spacing w:val="-2"/>
        </w:rPr>
        <w:t xml:space="preserve">The primary policy driving departmental activity in relation to disability and the support of Victorians living with disability is the department’s Disability Action Plan (DAP). DAP is a strategic plan which helps an organisation to remove barriers that prevent people with a disability from using the organisation’s goods, services and facilities, and from gaining and keeping employment.  Disability action planning also strives to promote inclusion and participation in the </w:t>
      </w:r>
      <w:proofErr w:type="gramStart"/>
      <w:r>
        <w:rPr>
          <w:spacing w:val="-2"/>
        </w:rPr>
        <w:t>community, and</w:t>
      </w:r>
      <w:proofErr w:type="gramEnd"/>
      <w:r>
        <w:rPr>
          <w:spacing w:val="-2"/>
        </w:rPr>
        <w:t xml:space="preserve"> achieve changes in attitudes and practices that may result in discrimination.</w:t>
      </w:r>
    </w:p>
    <w:p w:rsidR="000D6E6A" w:rsidRDefault="000D6E6A">
      <w:pPr>
        <w:pStyle w:val="Bodycopy"/>
        <w:rPr>
          <w:spacing w:val="-2"/>
        </w:rPr>
      </w:pPr>
      <w:r>
        <w:rPr>
          <w:spacing w:val="-2"/>
        </w:rPr>
        <w:t xml:space="preserve">The Victorian Government’s framework for enabling people with a disability to participate and contribute to the social, economic and civic life of their community comes in the form of Absolutely everyone: state disability plan for 2017–2020.  Over time the government will consider ways to align disability action plans to the state plan.  </w:t>
      </w:r>
    </w:p>
    <w:p w:rsidR="000D6E6A" w:rsidRDefault="000D6E6A">
      <w:pPr>
        <w:pStyle w:val="H3"/>
        <w:rPr>
          <w:i/>
          <w:iCs/>
        </w:rPr>
      </w:pPr>
      <w:r>
        <w:t xml:space="preserve">Compliance with the </w:t>
      </w:r>
      <w:r>
        <w:rPr>
          <w:rStyle w:val="italic"/>
        </w:rPr>
        <w:t>Disability Act 2006</w:t>
      </w:r>
    </w:p>
    <w:p w:rsidR="000D6E6A" w:rsidRDefault="000D6E6A">
      <w:pPr>
        <w:pStyle w:val="Bodycopy"/>
        <w:rPr>
          <w:spacing w:val="-2"/>
        </w:rPr>
      </w:pPr>
      <w:r>
        <w:rPr>
          <w:spacing w:val="-2"/>
        </w:rPr>
        <w:t xml:space="preserve">Consistent with the requirements of the </w:t>
      </w:r>
      <w:r>
        <w:rPr>
          <w:rStyle w:val="italic"/>
          <w:spacing w:val="-2"/>
        </w:rPr>
        <w:t>Disability Act 2006</w:t>
      </w:r>
      <w:r>
        <w:rPr>
          <w:spacing w:val="-2"/>
        </w:rPr>
        <w:t xml:space="preserve"> a summary is provided below, of activities undertaken by the department to respond to the requirements of Victorians living with disability. </w:t>
      </w:r>
    </w:p>
    <w:p w:rsidR="000D6E6A" w:rsidRDefault="000D6E6A">
      <w:pPr>
        <w:pStyle w:val="H4"/>
      </w:pPr>
      <w:r>
        <w:t>Increasing access to goods, services and facilities</w:t>
      </w:r>
    </w:p>
    <w:p w:rsidR="000D6E6A" w:rsidRDefault="000D6E6A">
      <w:pPr>
        <w:pStyle w:val="Bodycopy"/>
        <w:rPr>
          <w:spacing w:val="-2"/>
        </w:rPr>
      </w:pPr>
      <w:r>
        <w:rPr>
          <w:spacing w:val="-2"/>
        </w:rPr>
        <w:t>The department delivered a range of community education activities through its various organisations.  These activities included consumer rights, financial counselling and tenancy information provided through CAV, conflict management education through the DSCV and general infringements management information through IMES.  Such communication and education activities have audiences across diverse communities in Victoria including people living with disability.  They have a strong emphasis on ensuring that our services are accessible and our processes inclusive of all Victorians.</w:t>
      </w:r>
    </w:p>
    <w:p w:rsidR="000D6E6A" w:rsidRDefault="000D6E6A">
      <w:pPr>
        <w:pStyle w:val="H4"/>
      </w:pPr>
      <w:r>
        <w:t>Reducing barriers to employment</w:t>
      </w:r>
    </w:p>
    <w:p w:rsidR="000D6E6A" w:rsidRDefault="000D6E6A">
      <w:pPr>
        <w:pStyle w:val="Bodycopy"/>
      </w:pPr>
      <w:r>
        <w:t>The department administers a one-day best practice recruitment training course for recruiting managers.  The course covers various aspects of the recruitment process including disability-related content.  Across the year, 150 recruiting managers undertook this training.</w:t>
      </w:r>
    </w:p>
    <w:p w:rsidR="000D6E6A" w:rsidRDefault="000D6E6A">
      <w:pPr>
        <w:pStyle w:val="Bodycopy"/>
        <w:rPr>
          <w:color w:val="542E8E"/>
          <w:sz w:val="21"/>
          <w:szCs w:val="21"/>
        </w:rPr>
      </w:pPr>
      <w:r>
        <w:rPr>
          <w:color w:val="542E8E"/>
          <w:sz w:val="21"/>
          <w:szCs w:val="21"/>
        </w:rPr>
        <w:t>Disability Employment Strategy</w:t>
      </w:r>
    </w:p>
    <w:p w:rsidR="000D6E6A" w:rsidRDefault="000D6E6A">
      <w:pPr>
        <w:pStyle w:val="Bodycopy"/>
      </w:pPr>
      <w:r>
        <w:t xml:space="preserve">The department has initiated planning in relation to a disability-specific employment strategy aimed at increasing the number of Victorians living with disability employed within the department.  The strategy aims to enhance departmental branding, vacancy advertising and recruitment processes.  It also seeks to increase the awareness of recruiting managers and staff concerning issues encountered by people living with disability in the employment context, promote awareness of reasonable adjustment principles and embed an organisational culture that encourages workplace flexibility.  </w:t>
      </w:r>
    </w:p>
    <w:p w:rsidR="000D6E6A" w:rsidRDefault="000D6E6A">
      <w:pPr>
        <w:pStyle w:val="Bodycopy"/>
      </w:pPr>
      <w:r>
        <w:t xml:space="preserve">The strategy is consistent </w:t>
      </w:r>
      <w:proofErr w:type="gramStart"/>
      <w:r>
        <w:t>with, and</w:t>
      </w:r>
      <w:proofErr w:type="gramEnd"/>
      <w:r>
        <w:t xml:space="preserve"> works alongside the Victorian Government’s Disability Employment Action Plan contained in Absolutely everyone: state disability plan 2017-2020. Its underpinning principle is to ensure that the department is disability-confident in its employment of and interaction with Victorians living with disability.    </w:t>
      </w:r>
    </w:p>
    <w:p w:rsidR="000D6E6A" w:rsidRDefault="000D6E6A">
      <w:pPr>
        <w:pStyle w:val="H4"/>
      </w:pPr>
      <w:r>
        <w:t>Promoting inclusion and participation of people with a disability</w:t>
      </w:r>
    </w:p>
    <w:p w:rsidR="000D6E6A" w:rsidRDefault="000D6E6A">
      <w:pPr>
        <w:pStyle w:val="H5"/>
        <w:rPr>
          <w:rStyle w:val="italic"/>
          <w:i/>
          <w:iCs/>
        </w:rPr>
      </w:pPr>
      <w:r>
        <w:rPr>
          <w:rStyle w:val="italic"/>
          <w:i/>
          <w:iCs/>
        </w:rPr>
        <w:t>Disability stakeholder forum</w:t>
      </w:r>
    </w:p>
    <w:p w:rsidR="000D6E6A" w:rsidRDefault="000D6E6A">
      <w:pPr>
        <w:pStyle w:val="Bodycopy"/>
      </w:pPr>
      <w:r>
        <w:t xml:space="preserve">The department hosted a disability stakeholder forum providing an opportunity for staff and community members living with disability, representatives of the Victorian disability sector and interested parties to meet and discuss significant disability-related initiatives in the justice portfolio.  The forum featured a presentation by EMV in relation to their diversity and inclusion framework, Respect and Inclusion for All.  The session provided an important opportunity to present the framework and hear from affected parties about critical considerations to be taken into account in planning for the provision of an inclusive emergency service response. </w:t>
      </w:r>
    </w:p>
    <w:p w:rsidR="000D6E6A" w:rsidRDefault="000D6E6A">
      <w:pPr>
        <w:pStyle w:val="H5"/>
        <w:rPr>
          <w:rStyle w:val="italic"/>
          <w:i/>
          <w:iCs/>
        </w:rPr>
      </w:pPr>
      <w:r>
        <w:rPr>
          <w:rStyle w:val="italic"/>
          <w:i/>
          <w:iCs/>
        </w:rPr>
        <w:t>Intermediaries program</w:t>
      </w:r>
    </w:p>
    <w:p w:rsidR="000D6E6A" w:rsidRDefault="000D6E6A">
      <w:pPr>
        <w:pStyle w:val="Bodycopy"/>
      </w:pPr>
      <w:r>
        <w:t xml:space="preserve">In 2017–18, training was provided to 41 recruit intermediaries with qualifications in speech pathology, occupational therapy, social work and psychology. </w:t>
      </w:r>
    </w:p>
    <w:p w:rsidR="000D6E6A" w:rsidRDefault="000D6E6A">
      <w:pPr>
        <w:pStyle w:val="Bodycopy"/>
      </w:pPr>
      <w:r>
        <w:t xml:space="preserve">Further information about the </w:t>
      </w:r>
      <w:proofErr w:type="gramStart"/>
      <w:r>
        <w:t>intermediaries</w:t>
      </w:r>
      <w:proofErr w:type="gramEnd"/>
      <w:r>
        <w:t xml:space="preserve"> program can be found in the section on the victims and community support services in the report of operations.</w:t>
      </w:r>
    </w:p>
    <w:p w:rsidR="000D6E6A" w:rsidRDefault="000D6E6A">
      <w:pPr>
        <w:pStyle w:val="Bodycopy"/>
        <w:rPr>
          <w:rStyle w:val="italic"/>
          <w:color w:val="542E8E"/>
        </w:rPr>
      </w:pPr>
      <w:r>
        <w:rPr>
          <w:rStyle w:val="italic"/>
          <w:color w:val="542E8E"/>
        </w:rPr>
        <w:t>Disability scholarship program</w:t>
      </w:r>
    </w:p>
    <w:p w:rsidR="000D6E6A" w:rsidRDefault="000D6E6A">
      <w:pPr>
        <w:pStyle w:val="Bodycopy"/>
      </w:pPr>
      <w:r>
        <w:t xml:space="preserve">The department received 23 applications for its disability scholarship program. The annual program supports students living with disability who are studying justice-related courses at Victorian universities and tertiary institutions. It includes one major award of $40,000 ($20,000 per year for two years) and two scholarships of $10,000 ($5,000 per year for two years). The disability scholarship program is complemented by a parallel development program for departmental staff with a disability.  The development program provides an amount of up to $5,000 for a staff member to engage in a professional development activity. </w:t>
      </w:r>
    </w:p>
    <w:p w:rsidR="000D6E6A" w:rsidRDefault="000D6E6A">
      <w:pPr>
        <w:pStyle w:val="H4"/>
      </w:pPr>
      <w:r>
        <w:t>Reducing discrimination against people with a disability</w:t>
      </w:r>
    </w:p>
    <w:p w:rsidR="000D6E6A" w:rsidRDefault="000D6E6A">
      <w:pPr>
        <w:pStyle w:val="Bodycopy"/>
      </w:pPr>
      <w:r>
        <w:t>The department continued its delivery of disability and mental health awareness training for staff.  The training (which incorporates the participation of trainers with lived experience of disability) included general awareness of forms of disability, issues presenting to people living with disability and being inclusive and respectful in interacting and communicating with people living with disability.  The department delivered two mental health awareness training sessions reaching 40 participants and six disability awareness sessions reaching 77 participants.</w:t>
      </w:r>
    </w:p>
    <w:p w:rsidR="000D6E6A" w:rsidRDefault="000D6E6A">
      <w:pPr>
        <w:pStyle w:val="Bodycopy"/>
      </w:pPr>
      <w:r>
        <w:lastRenderedPageBreak/>
        <w:t xml:space="preserve">Approximately 250 departmental and VPS staff attended an introductory presentation from corporate and government training provider, Get Skilled Access.  The </w:t>
      </w:r>
      <w:proofErr w:type="gramStart"/>
      <w:r>
        <w:t>two hour</w:t>
      </w:r>
      <w:proofErr w:type="gramEnd"/>
      <w:r>
        <w:t xml:space="preserve"> session delivered by Paralympians Dylan Alcott and Nick Morris focused on raising awareness, demystifying disability, promoting accessibility and inclusion generally, but with an emphasis on the importance of inclusion and participation in employment.  </w:t>
      </w:r>
    </w:p>
    <w:p w:rsidR="000D6E6A" w:rsidRDefault="000D6E6A">
      <w:pPr>
        <w:pStyle w:val="Bodycopy"/>
      </w:pPr>
      <w:r>
        <w:t xml:space="preserve">Staff in the department also undertook respect in the workplace training.  The training includes content on the behavioural expectations of departmental staff in their interactions with various diverse groups, including people living with disability.  </w:t>
      </w:r>
    </w:p>
    <w:p w:rsidR="000D6E6A" w:rsidRDefault="000D6E6A">
      <w:pPr>
        <w:pStyle w:val="H4"/>
      </w:pPr>
      <w:r>
        <w:t>Responding to Victoria’s culturally and linguistically diverse (CALD) and newly-arrived communities</w:t>
      </w:r>
    </w:p>
    <w:p w:rsidR="000D6E6A" w:rsidRDefault="000D6E6A">
      <w:pPr>
        <w:pStyle w:val="Bodycopy"/>
      </w:pPr>
      <w:r>
        <w:t xml:space="preserve">The </w:t>
      </w:r>
      <w:r>
        <w:rPr>
          <w:rStyle w:val="italic"/>
        </w:rPr>
        <w:t>Multicultural Victoria Act 2014</w:t>
      </w:r>
      <w:r>
        <w:t xml:space="preserve"> requires that the department report on activities and initiatives undertaken to engage with CALD and newly arrived Victorians.  In addition, the department reports activities as part of the whole of government report on multicultural affairs, which is tabled in Parliament annually.</w:t>
      </w:r>
    </w:p>
    <w:p w:rsidR="000D6E6A" w:rsidRDefault="000D6E6A">
      <w:pPr>
        <w:pStyle w:val="H5"/>
        <w:rPr>
          <w:rStyle w:val="italic"/>
          <w:i/>
          <w:iCs/>
        </w:rPr>
      </w:pPr>
      <w:r>
        <w:rPr>
          <w:rStyle w:val="italic"/>
          <w:i/>
          <w:iCs/>
        </w:rPr>
        <w:t>Reaching out to communities</w:t>
      </w:r>
    </w:p>
    <w:p w:rsidR="000D6E6A" w:rsidRDefault="000D6E6A">
      <w:pPr>
        <w:pStyle w:val="Bodycopy"/>
      </w:pPr>
      <w:r>
        <w:t>The department has an ongoing role in ensuring that justice services are delivered to the Victorian community in an inclusive and accessible way.  Across the year, service provision—particularly through the Regional Services Network, takes into account and responds to the local community including CALD and newly arrived people.</w:t>
      </w:r>
    </w:p>
    <w:p w:rsidR="000D6E6A" w:rsidRDefault="000D6E6A">
      <w:pPr>
        <w:pStyle w:val="Bodycopy"/>
      </w:pPr>
      <w:r>
        <w:t>In 2017–18, activities have included:</w:t>
      </w:r>
    </w:p>
    <w:p w:rsidR="000D6E6A" w:rsidRDefault="000D6E6A">
      <w:pPr>
        <w:pStyle w:val="BodycopyBullet"/>
      </w:pPr>
      <w:r>
        <w:t>state–wide delivery of consumer education and information through CAV, including programs in relation to rental rights, scam avoidance and other aspects of consumer protection</w:t>
      </w:r>
    </w:p>
    <w:p w:rsidR="000D6E6A" w:rsidRDefault="000D6E6A">
      <w:pPr>
        <w:pStyle w:val="BodycopyBullet"/>
      </w:pPr>
      <w:r>
        <w:rPr>
          <w:spacing w:val="-4"/>
        </w:rPr>
        <w:t>funding by CAV to 13 agencies delivering community financial counselling and 11 agencies proving advocacy and specialist services</w:t>
      </w:r>
    </w:p>
    <w:p w:rsidR="000D6E6A" w:rsidRDefault="000D6E6A">
      <w:pPr>
        <w:pStyle w:val="BodycopyBulletspaceunder"/>
      </w:pPr>
      <w:r>
        <w:t>participation along with other government agencies, service providers and CALD representative community groups in planning for the appropriate delivery of services.</w:t>
      </w:r>
    </w:p>
    <w:p w:rsidR="000D6E6A" w:rsidRDefault="000D6E6A">
      <w:pPr>
        <w:pStyle w:val="H5"/>
        <w:rPr>
          <w:rStyle w:val="italic"/>
          <w:i/>
          <w:iCs/>
        </w:rPr>
      </w:pPr>
      <w:r>
        <w:rPr>
          <w:rStyle w:val="italic"/>
          <w:i/>
          <w:iCs/>
        </w:rPr>
        <w:t>Supporting cultural connections within prison</w:t>
      </w:r>
    </w:p>
    <w:p w:rsidR="000D6E6A" w:rsidRDefault="000D6E6A">
      <w:pPr>
        <w:pStyle w:val="Bodycopy"/>
      </w:pPr>
      <w:r>
        <w:t xml:space="preserve">The department, through Corrections Victoria, ensures that prisoners from CALD backgrounds have the opportunity to honour cultural and religious observances.  In addition to significant observances in the Christian faith, various other festivals and days are observed including annual Ramadan and Eid celebrations, Full Moon and </w:t>
      </w:r>
      <w:r>
        <w:rPr>
          <w:spacing w:val="-1"/>
        </w:rPr>
        <w:t xml:space="preserve">Chinese New Year, Waitangi Day, as well as various </w:t>
      </w:r>
      <w:r>
        <w:t>significant days in the Jewish faith and dates significant to other cultural and religious groups.</w:t>
      </w:r>
    </w:p>
    <w:p w:rsidR="000D6E6A" w:rsidRDefault="000D6E6A">
      <w:pPr>
        <w:pStyle w:val="Bodycopy"/>
      </w:pPr>
      <w:r>
        <w:t xml:space="preserve">The department also provides a range of programs focused on maintaining connections between CALD prisoners, their communities and cultures.  Programs include the Vietnamese Prisoner Support Program; the Bridging Worx Program providing pre and post-release support to Maori and Pacific Islander prisoners; Muslim Connect providing support to Muslim prisoners; and the African visitation and mentoring program matching African prisoners with trained, supported community volunteers for pre and post–release mentoring support.   </w:t>
      </w:r>
    </w:p>
    <w:p w:rsidR="000D6E6A" w:rsidRDefault="000D6E6A">
      <w:pPr>
        <w:pStyle w:val="H5"/>
        <w:rPr>
          <w:rStyle w:val="italic"/>
          <w:i/>
          <w:iCs/>
        </w:rPr>
      </w:pPr>
      <w:r>
        <w:rPr>
          <w:rStyle w:val="italic"/>
          <w:i/>
          <w:iCs/>
        </w:rPr>
        <w:t>Diversity training and education for staff</w:t>
      </w:r>
    </w:p>
    <w:p w:rsidR="000D6E6A" w:rsidRDefault="000D6E6A">
      <w:pPr>
        <w:pStyle w:val="Bodycopy"/>
      </w:pPr>
      <w:r>
        <w:t xml:space="preserve">Consistent with themes contained in recommendation 28 of the Bail Review, approximately 50 volunteer Bail Justices were provided with training on cultural diversity and the criminal justice system.  The training provided an overview of the cultural and linguistic diversity of the Victorian community, issues these for people from CALD and newly arrived backgrounds and protective and risk factors that may predispose people to coming into contact with the justice system.  Training also covered the department’s expectations concerning interactions with people from CALD and newly arrived backgrounds.  </w:t>
      </w:r>
    </w:p>
    <w:p w:rsidRPr="00116C19" w:rsidR="000D6E6A" w:rsidRDefault="000D6E6A">
      <w:pPr>
        <w:pStyle w:val="Bodycopy"/>
        <w:rPr>
          <w:spacing w:val="-2"/>
        </w:rPr>
      </w:pPr>
      <w:r w:rsidRPr="00116C19">
        <w:rPr>
          <w:spacing w:val="-2"/>
        </w:rPr>
        <w:t xml:space="preserve">Diversity training was delivered to approximately 80 trainee court registrars.  This training also focused on the evolving Victorian population and community, an examination of languages, issues for people newly arrived backgrounds and expectations that exist for staff in the justice sector in the context of their interactions with people from Victoria’s CALD communities.  </w:t>
      </w:r>
    </w:p>
    <w:p w:rsidR="000D6E6A" w:rsidRDefault="000D6E6A">
      <w:pPr>
        <w:pStyle w:val="H3"/>
      </w:pPr>
      <w:r>
        <w:t>Koori inclusion and employment</w:t>
      </w:r>
    </w:p>
    <w:p w:rsidR="000D6E6A" w:rsidRDefault="000D6E6A">
      <w:pPr>
        <w:pStyle w:val="H4"/>
      </w:pPr>
      <w:r>
        <w:t>Koori inclusion</w:t>
      </w:r>
    </w:p>
    <w:p w:rsidR="000D6E6A" w:rsidRDefault="000D6E6A">
      <w:pPr>
        <w:pStyle w:val="Bodycopy"/>
      </w:pPr>
      <w:r>
        <w:t xml:space="preserve">The department is a leader in employing Aboriginal and Torres Strait Islander people and engaging with Aboriginal individuals and communities. </w:t>
      </w:r>
    </w:p>
    <w:p w:rsidR="000D6E6A" w:rsidRDefault="000D6E6A">
      <w:pPr>
        <w:pStyle w:val="Bodycopy"/>
      </w:pPr>
      <w:r>
        <w:t xml:space="preserve">Following a comprehensive redevelopment process involving the Aboriginal Justice Caucus and Aboriginal staff within the department, the refreshed Koori Inclusion Action Plan, </w:t>
      </w:r>
      <w:proofErr w:type="spellStart"/>
      <w:r>
        <w:rPr>
          <w:rStyle w:val="italic"/>
        </w:rPr>
        <w:t>Yarrwul</w:t>
      </w:r>
      <w:proofErr w:type="spellEnd"/>
      <w:r>
        <w:rPr>
          <w:rStyle w:val="italic"/>
        </w:rPr>
        <w:t xml:space="preserve"> </w:t>
      </w:r>
      <w:proofErr w:type="spellStart"/>
      <w:r>
        <w:rPr>
          <w:rStyle w:val="italic"/>
        </w:rPr>
        <w:t>Loitjba</w:t>
      </w:r>
      <w:proofErr w:type="spellEnd"/>
      <w:r>
        <w:rPr>
          <w:rStyle w:val="italic"/>
        </w:rPr>
        <w:t xml:space="preserve"> </w:t>
      </w:r>
      <w:proofErr w:type="spellStart"/>
      <w:r>
        <w:rPr>
          <w:rStyle w:val="italic"/>
        </w:rPr>
        <w:t>Yapaneyepuk</w:t>
      </w:r>
      <w:proofErr w:type="spellEnd"/>
      <w:r>
        <w:t xml:space="preserve"> Walk the Talk Together, was launched in late 2017.</w:t>
      </w:r>
    </w:p>
    <w:p w:rsidR="000D6E6A" w:rsidRDefault="000D6E6A">
      <w:pPr>
        <w:pStyle w:val="Bodycopy"/>
      </w:pPr>
      <w:r>
        <w:t xml:space="preserve">The new plan builds on </w:t>
      </w:r>
      <w:proofErr w:type="spellStart"/>
      <w:r>
        <w:rPr>
          <w:rStyle w:val="italic"/>
        </w:rPr>
        <w:t>Mingu</w:t>
      </w:r>
      <w:proofErr w:type="spellEnd"/>
      <w:r>
        <w:rPr>
          <w:rStyle w:val="italic"/>
        </w:rPr>
        <w:t xml:space="preserve"> </w:t>
      </w:r>
      <w:proofErr w:type="spellStart"/>
      <w:r>
        <w:rPr>
          <w:rStyle w:val="italic"/>
        </w:rPr>
        <w:t>Ghadaba</w:t>
      </w:r>
      <w:proofErr w:type="spellEnd"/>
      <w:r>
        <w:rPr>
          <w:rStyle w:val="italic"/>
        </w:rPr>
        <w:t xml:space="preserve"> - Beginning Together </w:t>
      </w:r>
      <w:r>
        <w:t xml:space="preserve">and will continue to ensure that Koori inclusion is an active consideration in the department. </w:t>
      </w:r>
      <w:proofErr w:type="spellStart"/>
      <w:r>
        <w:t>Yarrwul</w:t>
      </w:r>
      <w:proofErr w:type="spellEnd"/>
      <w:r>
        <w:t xml:space="preserve"> </w:t>
      </w:r>
      <w:proofErr w:type="spellStart"/>
      <w:r>
        <w:t>Loitjba</w:t>
      </w:r>
      <w:proofErr w:type="spellEnd"/>
      <w:r>
        <w:t xml:space="preserve"> </w:t>
      </w:r>
      <w:proofErr w:type="spellStart"/>
      <w:r>
        <w:t>Yapaneyepuk</w:t>
      </w:r>
      <w:proofErr w:type="spellEnd"/>
      <w:r>
        <w:t xml:space="preserve"> is built around three key principles focussing on partnerships, incorporating Koori business into everyday business and improving justice outcomes.</w:t>
      </w:r>
    </w:p>
    <w:p w:rsidR="000D6E6A" w:rsidRDefault="000D6E6A">
      <w:pPr>
        <w:pStyle w:val="H4"/>
      </w:pPr>
      <w:r>
        <w:t>Building our Aboriginal workforce</w:t>
      </w:r>
    </w:p>
    <w:p w:rsidR="000D6E6A" w:rsidRDefault="000D6E6A">
      <w:pPr>
        <w:pStyle w:val="Bodycopy"/>
      </w:pPr>
      <w:r>
        <w:t xml:space="preserve">The department has a strong commitment to the attraction and development of its Aboriginal workforce. Under a suite of initiatives managed by the department’s Koori employment team, the department continues to build upon attraction, retention and career development of Aboriginal staff, with the aim of reaching a 2.5 per cent Aboriginal workforce. </w:t>
      </w:r>
    </w:p>
    <w:p w:rsidR="000D6E6A" w:rsidRDefault="000D6E6A">
      <w:pPr>
        <w:pStyle w:val="Bodycopy"/>
      </w:pPr>
      <w:r>
        <w:t xml:space="preserve">The department’s revised </w:t>
      </w:r>
      <w:r>
        <w:rPr>
          <w:rStyle w:val="italic"/>
        </w:rPr>
        <w:t>Koori Employment and Career Strategy 2017-2020</w:t>
      </w:r>
      <w:r>
        <w:t xml:space="preserve"> was launched in December 2017. The strategy reinforces the department’s commitment and increased focus on establishing clear and accessible employment pathways for new and existing Aboriginal staff, delivering stronger career development initiatives for Aboriginal staff and continuing to ensure the workplace is culturally respectful. </w:t>
      </w:r>
    </w:p>
    <w:p w:rsidR="000D6E6A" w:rsidRDefault="000D6E6A">
      <w:pPr>
        <w:pStyle w:val="Bodycopy"/>
      </w:pPr>
      <w:r>
        <w:lastRenderedPageBreak/>
        <w:t>In conjunction with the strategy, the department also launched the Koori Cultural Respect Framework in December 2017. The framework ensures the department’s services are more responsive to the cultural needs of Aboriginal people, with staff having the knowledge and skills to deliver services in culturally appropriate ways. It also ensures work environments are culturally respectful and supportive of the Aboriginal community.</w:t>
      </w:r>
    </w:p>
    <w:p w:rsidR="000D6E6A" w:rsidRDefault="000D6E6A">
      <w:pPr>
        <w:pStyle w:val="Bodycopy"/>
      </w:pPr>
      <w:r>
        <w:t xml:space="preserve">As at June 2018, the department employed 177 staff who identified as Aboriginal, which is 1.86 per cent of the department’s workforce. Sixty-two per cent of the department’s Aboriginal staff are employed in non-identified, mainstream roles. </w:t>
      </w:r>
    </w:p>
    <w:p w:rsidR="000D6E6A" w:rsidRDefault="000D6E6A">
      <w:pPr>
        <w:pStyle w:val="H4"/>
      </w:pPr>
      <w:r>
        <w:t>Aboriginal and Torres Strait Islander Graduate Scheme</w:t>
      </w:r>
    </w:p>
    <w:p w:rsidR="000D6E6A" w:rsidRDefault="000D6E6A">
      <w:pPr>
        <w:pStyle w:val="Bodycopy"/>
      </w:pPr>
      <w:r>
        <w:t>During 2017–18, one Aboriginal graduate was placed in the Aboriginal and Torres Strait Islander Graduate Scheme within the department. Graduates who successfully complete this scheme are offered ongoing VPS Grade 3 roles.</w:t>
      </w:r>
    </w:p>
    <w:p w:rsidR="000D6E6A" w:rsidRDefault="000D6E6A">
      <w:pPr>
        <w:pStyle w:val="H4"/>
      </w:pPr>
      <w:r>
        <w:t xml:space="preserve">Koori Youth Employment Scheme </w:t>
      </w:r>
    </w:p>
    <w:p w:rsidR="000D6E6A" w:rsidRDefault="000D6E6A">
      <w:pPr>
        <w:pStyle w:val="Bodycopy"/>
      </w:pPr>
      <w:r>
        <w:t>The department engaged three Koori Youth Employment Scheme trainees during 2017–18. These trainees are offered ongoing VPS Grade 2 roles following the successful completion of their traineeships.</w:t>
      </w:r>
    </w:p>
    <w:p w:rsidR="000D6E6A" w:rsidRDefault="000D6E6A">
      <w:pPr>
        <w:pStyle w:val="H4"/>
      </w:pPr>
      <w:r>
        <w:t>Aboriginal and Torres Strait Islander Tertiary Pathway Scholarships</w:t>
      </w:r>
    </w:p>
    <w:p w:rsidR="000D6E6A" w:rsidRDefault="000D6E6A">
      <w:pPr>
        <w:pStyle w:val="Bodycopy"/>
      </w:pPr>
      <w:r>
        <w:t xml:space="preserve">The Aboriginal and Torres Strait Islander Tertiary Pathway Scholarships support tertiary students in completing their studies. Aboriginal tertiary students residing in Victoria, and the department’s Aboriginal staff who wish to undertake full time studies are able to apply. During 2017–18 the department provided four students with scholarships.  </w:t>
      </w:r>
    </w:p>
    <w:p w:rsidR="000D6E6A" w:rsidRDefault="000D6E6A">
      <w:pPr>
        <w:pStyle w:val="Bodycopy"/>
        <w:rPr>
          <w:color w:val="542E8E"/>
          <w:sz w:val="21"/>
          <w:szCs w:val="21"/>
        </w:rPr>
      </w:pPr>
      <w:r>
        <w:rPr>
          <w:color w:val="542E8E"/>
          <w:sz w:val="21"/>
          <w:szCs w:val="21"/>
        </w:rPr>
        <w:t>Koori Mentoring Program</w:t>
      </w:r>
    </w:p>
    <w:p w:rsidR="000D6E6A" w:rsidRDefault="000D6E6A">
      <w:pPr>
        <w:pStyle w:val="Bodycopy"/>
      </w:pPr>
      <w:r>
        <w:t xml:space="preserve">The department’s Aboriginal mentoring program is a formal mentoring model that is conducted over 12 months. The program provides a unique opportunity for Aboriginal employees (mentees) to partner with an experienced senior mentor to develop in their roles, both personally and professionally.   </w:t>
      </w:r>
    </w:p>
    <w:p w:rsidR="000D6E6A" w:rsidRDefault="000D6E6A">
      <w:pPr>
        <w:pStyle w:val="Bodycopy"/>
      </w:pPr>
      <w:r>
        <w:t>The tailored program focuses on Aboriginal employees’ aspirations and helps strengthen their career development and progression. Mentors provide one-on-one support to help identify their mentee’s personal and professional goals and skills growth.</w:t>
      </w:r>
    </w:p>
    <w:p w:rsidR="000D6E6A" w:rsidRDefault="000D6E6A">
      <w:pPr>
        <w:pStyle w:val="Bodycopy"/>
        <w:rPr>
          <w:spacing w:val="2"/>
        </w:rPr>
      </w:pPr>
      <w:r>
        <w:rPr>
          <w:spacing w:val="2"/>
        </w:rPr>
        <w:t>The mentoring program has supported the career progression of participating Aboriginal employees both within the department and across the broader VPS. In 2017–18, the program supported 19 new mentoring partnerships.</w:t>
      </w:r>
    </w:p>
    <w:p w:rsidR="000D6E6A" w:rsidRDefault="000D6E6A">
      <w:pPr>
        <w:pStyle w:val="H4"/>
      </w:pPr>
      <w:r>
        <w:t>Annual Koori Staff Network conference</w:t>
      </w:r>
    </w:p>
    <w:p w:rsidR="000D6E6A" w:rsidRDefault="000D6E6A">
      <w:pPr>
        <w:pStyle w:val="Bodycopy"/>
      </w:pPr>
      <w:r>
        <w:t>The department proudly supports cultural inclusion of all Aboriginal employees regardless of cultural background and knowledge. All Aboriginal employees are encouraged to join the department’s Koori Staff Network.</w:t>
      </w:r>
    </w:p>
    <w:p w:rsidR="000D6E6A" w:rsidRDefault="000D6E6A">
      <w:pPr>
        <w:pStyle w:val="Bodycopy"/>
      </w:pPr>
      <w:r>
        <w:t>A major network activity is the annual conference, a gathering of Aboriginal staff from across the department which includes career and cultural activities, men’s and women’s yarning circles, and professional development workshops held over two days.</w:t>
      </w:r>
    </w:p>
    <w:p w:rsidR="000D6E6A" w:rsidRDefault="000D6E6A">
      <w:pPr>
        <w:pStyle w:val="Bodycopy"/>
        <w:rPr>
          <w:spacing w:val="-4"/>
        </w:rPr>
      </w:pPr>
      <w:r>
        <w:rPr>
          <w:spacing w:val="-4"/>
        </w:rPr>
        <w:t xml:space="preserve">The annual conference was held in April 2018 in </w:t>
      </w:r>
      <w:proofErr w:type="gramStart"/>
      <w:r>
        <w:rPr>
          <w:spacing w:val="-4"/>
        </w:rPr>
        <w:t>Bendigo, and</w:t>
      </w:r>
      <w:proofErr w:type="gramEnd"/>
      <w:r>
        <w:rPr>
          <w:spacing w:val="-4"/>
        </w:rPr>
        <w:t xml:space="preserve"> attracted close to 100 Aboriginal staff.</w:t>
      </w:r>
    </w:p>
    <w:p w:rsidR="000D6E6A" w:rsidRDefault="000D6E6A">
      <w:pPr>
        <w:pStyle w:val="H3"/>
      </w:pPr>
      <w:r>
        <w:t>Equality and participation</w:t>
      </w:r>
    </w:p>
    <w:p w:rsidR="000D6E6A" w:rsidRDefault="000D6E6A">
      <w:pPr>
        <w:pStyle w:val="H4"/>
        <w:rPr>
          <w:rStyle w:val="RegularItalic"/>
        </w:rPr>
      </w:pPr>
      <w:r>
        <w:rPr>
          <w:rStyle w:val="RegularItalic"/>
        </w:rPr>
        <w:t>Carers Recognition Act 2012</w:t>
      </w:r>
    </w:p>
    <w:p w:rsidR="000D6E6A" w:rsidRDefault="000D6E6A">
      <w:pPr>
        <w:pStyle w:val="Bodycopy"/>
        <w:rPr>
          <w:spacing w:val="4"/>
        </w:rPr>
      </w:pPr>
      <w:r>
        <w:rPr>
          <w:spacing w:val="4"/>
        </w:rPr>
        <w:t xml:space="preserve">In 2017–18, the department continued to comply with its obligations under the </w:t>
      </w:r>
      <w:r>
        <w:rPr>
          <w:rStyle w:val="italic"/>
          <w:spacing w:val="4"/>
        </w:rPr>
        <w:t>Carers Recognition Act 2012</w:t>
      </w:r>
      <w:r>
        <w:rPr>
          <w:spacing w:val="4"/>
        </w:rPr>
        <w:t xml:space="preserve">. The department recognises the important role carers play in providing daily care, support and assistance to people in need of support due to disability, being older, an ongoing medical condition, or having a mental illness. </w:t>
      </w:r>
    </w:p>
    <w:p w:rsidR="000D6E6A" w:rsidRDefault="000D6E6A">
      <w:pPr>
        <w:pStyle w:val="Bodycopy"/>
      </w:pPr>
      <w:r>
        <w:t xml:space="preserve">The department’s All Roles Flex Guideline and Related Policy (the policy) provides employees with greater opportunities to balance work and personal commitments. Employees who are carers can rely upon the policy to request a change to their work arrangements to align with their caring responsibilities. This includes accessing forms of accrued leave entitlements or considering a wider range of flexible working options and arrangements. </w:t>
      </w:r>
    </w:p>
    <w:p w:rsidR="000D6E6A" w:rsidRDefault="000D6E6A">
      <w:pPr>
        <w:pStyle w:val="Bodycopy"/>
      </w:pPr>
      <w:r>
        <w:t>The department is open and willing to consider reasonable alterations aimed at supporting staff who require a carer to attend the workplaces. This takes into consideration the carer relationship principles and responsibilities set out in the Act.</w:t>
      </w:r>
    </w:p>
    <w:p w:rsidR="000D6E6A" w:rsidRDefault="000D6E6A">
      <w:pPr>
        <w:pStyle w:val="Bodycopy"/>
      </w:pPr>
      <w:r>
        <w:t>The department also provides a range of people management policies that support the guiding principles and responsibilities in the Act. These policies include:</w:t>
      </w:r>
    </w:p>
    <w:p w:rsidR="000D6E6A" w:rsidRDefault="000D6E6A">
      <w:pPr>
        <w:pStyle w:val="BodycopyBullet"/>
      </w:pPr>
      <w:r>
        <w:t xml:space="preserve">Flexible Working Arrangements Guideline and Related Policy </w:t>
      </w:r>
    </w:p>
    <w:p w:rsidR="000D6E6A" w:rsidRDefault="000D6E6A">
      <w:pPr>
        <w:pStyle w:val="BodycopyBullet"/>
      </w:pPr>
      <w:r>
        <w:t>All Roles Flex Guidelines and Related Policy</w:t>
      </w:r>
    </w:p>
    <w:p w:rsidR="000D6E6A" w:rsidRDefault="000D6E6A">
      <w:pPr>
        <w:pStyle w:val="BodycopyBullet"/>
      </w:pPr>
      <w:r>
        <w:t>Hours of Work Guideline and Related Policy</w:t>
      </w:r>
    </w:p>
    <w:p w:rsidR="000D6E6A" w:rsidRDefault="000D6E6A">
      <w:pPr>
        <w:pStyle w:val="BodycopyBullet"/>
      </w:pPr>
      <w:r>
        <w:t xml:space="preserve">Personal/Carer’s Leave Guideline and Related Policy </w:t>
      </w:r>
    </w:p>
    <w:p w:rsidR="000D6E6A" w:rsidRDefault="000D6E6A">
      <w:pPr>
        <w:pStyle w:val="BodycopyBullet"/>
      </w:pPr>
      <w:r>
        <w:t>Purchased Leave Guidelines and Related Policy</w:t>
      </w:r>
    </w:p>
    <w:p w:rsidR="000D6E6A" w:rsidRDefault="000D6E6A">
      <w:pPr>
        <w:pStyle w:val="BodycopyBulletspaceunder"/>
      </w:pPr>
      <w:r>
        <w:t>Respect in the Workplace Policy and Guideline.</w:t>
      </w:r>
    </w:p>
    <w:p w:rsidR="000D6E6A" w:rsidRDefault="000D6E6A">
      <w:pPr>
        <w:pStyle w:val="H4"/>
      </w:pPr>
      <w:r>
        <w:t>Family violence support</w:t>
      </w:r>
    </w:p>
    <w:p w:rsidR="000D6E6A" w:rsidRDefault="000D6E6A">
      <w:pPr>
        <w:pStyle w:val="Bodycopy"/>
      </w:pPr>
      <w:r>
        <w:t xml:space="preserve">The department has continued to focus on assisting staff who are experiencing family violence. In the past year, family violence foundation training has continued to be delivered to staff, which has raised awareness within the workplace. </w:t>
      </w:r>
    </w:p>
    <w:p w:rsidR="000D6E6A" w:rsidRDefault="000D6E6A">
      <w:pPr>
        <w:pStyle w:val="Bodycopy"/>
      </w:pPr>
      <w:r>
        <w:lastRenderedPageBreak/>
        <w:t xml:space="preserve">Family violence leave continues to be accessed and promoted through the intranet, cross-departmental communications from the department’s leaders and in other forums such as program meetings. In the 2017–18 period, 63 employees accessed a total of 358 days of family violence leave. </w:t>
      </w:r>
    </w:p>
    <w:p w:rsidR="000D6E6A" w:rsidRDefault="000D6E6A">
      <w:pPr>
        <w:pStyle w:val="H4"/>
      </w:pPr>
      <w:r>
        <w:t>LGBTI inclusion</w:t>
      </w:r>
    </w:p>
    <w:p w:rsidR="000D6E6A" w:rsidRDefault="000D6E6A">
      <w:pPr>
        <w:pStyle w:val="Bodycopy"/>
      </w:pPr>
      <w:r>
        <w:t xml:space="preserve">In 2017-18, the department continued to implement approaches to increase lesbian, gay, bisexual, trans and gender diverse, and intersex (LGBTI) inclusion. This reflects the department’s commitment to enable the Victorian LGBTI community’s access to government programs and services. </w:t>
      </w:r>
    </w:p>
    <w:p w:rsidR="000D6E6A" w:rsidRDefault="000D6E6A">
      <w:pPr>
        <w:pStyle w:val="Bodycopy"/>
      </w:pPr>
      <w:r>
        <w:t xml:space="preserve">A significant event for the department in 2017-18 was the marriage equality postal survey and the consequential amendments to the </w:t>
      </w:r>
      <w:r>
        <w:rPr>
          <w:rStyle w:val="italic"/>
        </w:rPr>
        <w:t>Marriage Act 1961</w:t>
      </w:r>
      <w:r>
        <w:t xml:space="preserve"> (Commonwealth) which came into effect on 9 December 2017. The Victorian Registry of Births, Deaths and Marriages (BDM), an agency of the department, implemented the required changes to reflect the legislative amendments to the Marriage Act to allow for marriages of same sex couples.</w:t>
      </w:r>
    </w:p>
    <w:p w:rsidR="000D6E6A" w:rsidRDefault="000D6E6A">
      <w:pPr>
        <w:pStyle w:val="Bodycopy"/>
      </w:pPr>
      <w:r>
        <w:t>BDM systems were updated shortly after midnight on 9 December 2017 when the legislation took effect, and additional staff worked on that weekend to take enquiries in person and on the phone and received Victoria’s first notices of intended marriage from same sex couples on that day.</w:t>
      </w:r>
    </w:p>
    <w:p w:rsidR="000D6E6A" w:rsidRDefault="000D6E6A">
      <w:pPr>
        <w:pStyle w:val="Bodycopy"/>
      </w:pPr>
      <w:r>
        <w:t xml:space="preserve">In collaboration with other Victorian </w:t>
      </w:r>
      <w:proofErr w:type="gramStart"/>
      <w:r>
        <w:t>public sector</w:t>
      </w:r>
      <w:proofErr w:type="gramEnd"/>
      <w:r>
        <w:t xml:space="preserve"> bodies, the department introduced a new approach to the way it collects and reports gender information, ensuring diverse gender identities are acknowledged. This means that when it is necessary to collect gender information, individuals can self-determine and specify their identity, rather than choose from limited options which may be incompatible with their identity.</w:t>
      </w:r>
    </w:p>
    <w:p w:rsidR="000D6E6A" w:rsidRDefault="000D6E6A">
      <w:pPr>
        <w:pStyle w:val="Bodycopy"/>
      </w:pPr>
      <w:r>
        <w:t xml:space="preserve">The department consulted with a number of organisations with expertise in LGBTI inclusion, including Transgender Victoria, Minus18 and Pride </w:t>
      </w:r>
      <w:proofErr w:type="gramStart"/>
      <w:r>
        <w:t>In</w:t>
      </w:r>
      <w:proofErr w:type="gramEnd"/>
      <w:r>
        <w:t xml:space="preserve"> Diversity to support its work in building a better workplace and more inclusive practices. In particular, the department collaborated with Transgender Victoria and Pride </w:t>
      </w:r>
      <w:proofErr w:type="gramStart"/>
      <w:r>
        <w:t>In</w:t>
      </w:r>
      <w:proofErr w:type="gramEnd"/>
      <w:r>
        <w:t xml:space="preserve"> Diversity to deliver LGBTI awareness training across the department’s workforce; improved workplace policies and guidelines; and embedding practices that better support staff from the LGBTI community.</w:t>
      </w:r>
    </w:p>
    <w:p w:rsidR="000D6E6A" w:rsidRDefault="000D6E6A">
      <w:pPr>
        <w:pStyle w:val="Bodycopy"/>
      </w:pPr>
    </w:p>
    <w:p w:rsidR="001D6547" w:rsidP="001D6547" w:rsidRDefault="001D6547">
      <w:pPr>
        <w:pStyle w:val="Bodycopy"/>
      </w:pPr>
      <w:r>
        <w:br w:type="page"/>
      </w:r>
    </w:p>
    <w:p w:rsidR="000D6E6A" w:rsidRDefault="000D6E6A">
      <w:pPr>
        <w:pStyle w:val="H1"/>
      </w:pPr>
      <w:bookmarkStart w:id="10" w:name="_Toc525300165"/>
      <w:r>
        <w:lastRenderedPageBreak/>
        <w:t>7. Environmental performance and targets</w:t>
      </w:r>
      <w:bookmarkEnd w:id="10"/>
    </w:p>
    <w:p w:rsidR="000D6E6A" w:rsidRDefault="000D6E6A">
      <w:pPr>
        <w:pStyle w:val="Bodycopy"/>
      </w:pPr>
      <w:r>
        <w:t xml:space="preserve">An Environmental Management System (EMS) is in place to reduce the department’s impact on the environment and to meet government requirements, including the </w:t>
      </w:r>
      <w:r>
        <w:rPr>
          <w:rStyle w:val="italic"/>
        </w:rPr>
        <w:t>Commissioner for Environmental Sustainability Act 2003.</w:t>
      </w:r>
      <w:r>
        <w:t xml:space="preserve"> The key objectives of the EMS are to:</w:t>
      </w:r>
    </w:p>
    <w:p w:rsidR="000D6E6A" w:rsidRDefault="000D6E6A">
      <w:pPr>
        <w:pStyle w:val="BodycopyBullet"/>
      </w:pPr>
      <w:r>
        <w:t>manage environmental impacts and associated risks</w:t>
      </w:r>
    </w:p>
    <w:p w:rsidR="000D6E6A" w:rsidRDefault="000D6E6A">
      <w:pPr>
        <w:pStyle w:val="BodycopyBullet"/>
      </w:pPr>
      <w:r>
        <w:t>take actions to avoid, reduce or mitigate adverse environmental impacts associated with operations</w:t>
      </w:r>
    </w:p>
    <w:p w:rsidR="000D6E6A" w:rsidRDefault="000D6E6A">
      <w:pPr>
        <w:pStyle w:val="BodycopyBulletspaceunder"/>
      </w:pPr>
      <w:r>
        <w:t>improve efficiency, and where possible, achieve financial savings by reducing the use of resources.</w:t>
      </w:r>
    </w:p>
    <w:p w:rsidR="000D6E6A" w:rsidRDefault="000D6E6A">
      <w:pPr>
        <w:pStyle w:val="Bodycopy"/>
      </w:pPr>
      <w:r>
        <w:t xml:space="preserve">The EMS framework includes: </w:t>
      </w:r>
    </w:p>
    <w:p w:rsidR="000D6E6A" w:rsidRDefault="000D6E6A">
      <w:pPr>
        <w:pStyle w:val="BodycopyBullet"/>
      </w:pPr>
      <w:r>
        <w:t>an Environment Management and Sustainability policy that includes operational activities</w:t>
      </w:r>
    </w:p>
    <w:p w:rsidR="000D6E6A" w:rsidRDefault="000D6E6A">
      <w:pPr>
        <w:pStyle w:val="BodycopyBullet"/>
      </w:pPr>
      <w:r>
        <w:t>an Environmental Management Plan (EMP), consisting of projects and targets focused on meeting the key objectives of the EMS. The implementation of the EMP is supported by Regional Environmental Action Plans (REAPs)</w:t>
      </w:r>
    </w:p>
    <w:p w:rsidR="000D6E6A" w:rsidRDefault="000D6E6A">
      <w:pPr>
        <w:pStyle w:val="BodycopyBulletspaceunder"/>
      </w:pPr>
      <w:r>
        <w:t>a communications plan, comprised of activities such as staff training; posters; intranet articles; events; environmental compliance site visits and staff awards.</w:t>
      </w:r>
    </w:p>
    <w:p w:rsidR="000D6E6A" w:rsidRDefault="000D6E6A">
      <w:pPr>
        <w:pStyle w:val="Bodycopy"/>
      </w:pPr>
      <w:r>
        <w:t>Key achievements of 2017–18:</w:t>
      </w:r>
    </w:p>
    <w:p w:rsidR="000D6E6A" w:rsidRDefault="000D6E6A">
      <w:pPr>
        <w:pStyle w:val="BodycopyBullet"/>
      </w:pPr>
      <w:r>
        <w:t>The independent audit of the department’s EMS found that the department has a mature EMS supported by senior portfolio holders. It was found that staff from across the department were enthusiastic and supportive of the environment team. There were no critical recommendations.</w:t>
      </w:r>
    </w:p>
    <w:p w:rsidR="000D6E6A" w:rsidRDefault="000D6E6A">
      <w:pPr>
        <w:pStyle w:val="BodycopyBullet"/>
        <w:rPr>
          <w:spacing w:val="1"/>
        </w:rPr>
      </w:pPr>
      <w:r>
        <w:rPr>
          <w:spacing w:val="1"/>
        </w:rPr>
        <w:t>Inclusion of the department’s Environmentally Sustainable Design scorecard for prisons in nine construction projects.</w:t>
      </w:r>
    </w:p>
    <w:p w:rsidR="000D6E6A" w:rsidRDefault="000D6E6A">
      <w:pPr>
        <w:pStyle w:val="BodycopyBullet"/>
      </w:pPr>
      <w:r>
        <w:t>Reuse and recycling of prison waste, including food waste, cooking oil, cardboard, steel and wood.</w:t>
      </w:r>
    </w:p>
    <w:p w:rsidR="000D6E6A" w:rsidRDefault="000D6E6A">
      <w:pPr>
        <w:pStyle w:val="BodycopyBullet"/>
      </w:pPr>
      <w:r>
        <w:t xml:space="preserve">Outputs of the </w:t>
      </w:r>
      <w:proofErr w:type="spellStart"/>
      <w:r>
        <w:t>Landmate</w:t>
      </w:r>
      <w:proofErr w:type="spellEnd"/>
      <w:r>
        <w:t xml:space="preserve"> program, resulting in approximately 720 prisoner crew days from five prison sites focusing on environmental projects. This included 20 disaster recovery days, and an estimated 15,720 trees planted and 20.5 </w:t>
      </w:r>
      <w:proofErr w:type="spellStart"/>
      <w:r>
        <w:t>kilometers</w:t>
      </w:r>
      <w:proofErr w:type="spellEnd"/>
      <w:r>
        <w:t xml:space="preserve"> of fencing erected.</w:t>
      </w:r>
    </w:p>
    <w:p w:rsidR="000D6E6A" w:rsidRDefault="000D6E6A">
      <w:pPr>
        <w:pStyle w:val="BodycopyBullet"/>
        <w:rPr>
          <w:spacing w:val="2"/>
        </w:rPr>
      </w:pPr>
      <w:r>
        <w:rPr>
          <w:spacing w:val="2"/>
        </w:rPr>
        <w:t xml:space="preserve">Delivery of environment projects, including: </w:t>
      </w:r>
    </w:p>
    <w:p w:rsidR="000D6E6A" w:rsidRDefault="000D6E6A">
      <w:pPr>
        <w:pStyle w:val="BodycopybulletL2"/>
      </w:pPr>
      <w:r>
        <w:t xml:space="preserve">utilising food waste from Dame Phyllis Frost Centre to generate fertiliser </w:t>
      </w:r>
    </w:p>
    <w:p w:rsidR="000D6E6A" w:rsidRDefault="000D6E6A">
      <w:pPr>
        <w:pStyle w:val="BodycopybulletL2"/>
      </w:pPr>
      <w:r>
        <w:t xml:space="preserve">construction of five hot houses and planting of native trees at Langi </w:t>
      </w:r>
      <w:proofErr w:type="spellStart"/>
      <w:r>
        <w:t>Kal</w:t>
      </w:r>
      <w:proofErr w:type="spellEnd"/>
      <w:r>
        <w:t xml:space="preserve"> </w:t>
      </w:r>
      <w:proofErr w:type="spellStart"/>
      <w:r>
        <w:t>Kal</w:t>
      </w:r>
      <w:proofErr w:type="spellEnd"/>
      <w:r>
        <w:t xml:space="preserve"> Prison</w:t>
      </w:r>
    </w:p>
    <w:p w:rsidR="000D6E6A" w:rsidRDefault="000D6E6A">
      <w:pPr>
        <w:pStyle w:val="BodycopybulletL2"/>
      </w:pPr>
      <w:r>
        <w:t xml:space="preserve">commencement of the orchard project at </w:t>
      </w:r>
      <w:proofErr w:type="spellStart"/>
      <w:r>
        <w:t>Wulggungo</w:t>
      </w:r>
      <w:proofErr w:type="spellEnd"/>
      <w:r>
        <w:t xml:space="preserve"> </w:t>
      </w:r>
      <w:proofErr w:type="spellStart"/>
      <w:r>
        <w:t>Ngalu</w:t>
      </w:r>
      <w:proofErr w:type="spellEnd"/>
      <w:r>
        <w:t xml:space="preserve"> Learning Place, which aims to improve knowledge and awareness of nutrition and horticultural practice.</w:t>
      </w:r>
    </w:p>
    <w:p w:rsidR="000D6E6A" w:rsidRDefault="000D6E6A">
      <w:pPr>
        <w:pStyle w:val="BodycopyBulletspaceunder"/>
      </w:pPr>
      <w:r>
        <w:t xml:space="preserve">Eight years of leadership and direction from the executive Environment Committee, on behalf of the Secretary. The Committee oversees compliance with legislative and reporting requirements and monitors the department’s environmental performance. </w:t>
      </w:r>
    </w:p>
    <w:p w:rsidR="000D6E6A" w:rsidRDefault="000D6E6A">
      <w:pPr>
        <w:pStyle w:val="H2"/>
      </w:pPr>
      <w:r>
        <w:t>Environmental performance</w:t>
      </w:r>
    </w:p>
    <w:p w:rsidR="000D6E6A" w:rsidRDefault="000D6E6A">
      <w:pPr>
        <w:pStyle w:val="Bodycopy"/>
      </w:pPr>
      <w:r>
        <w:t>This section is in accordance with the G4 Global Reporting Initiative (GRI) environmental indicators (EN):</w:t>
      </w:r>
    </w:p>
    <w:p w:rsidR="000D6E6A" w:rsidRDefault="000D6E6A">
      <w:pPr>
        <w:pStyle w:val="BodycopyBullet"/>
        <w:tabs>
          <w:tab w:val="clear" w:pos="283"/>
          <w:tab w:val="left" w:pos="840"/>
        </w:tabs>
      </w:pPr>
      <w:r>
        <w:t xml:space="preserve">EN5 </w:t>
      </w:r>
      <w:r>
        <w:tab/>
        <w:t xml:space="preserve">Energy intensity </w:t>
      </w:r>
    </w:p>
    <w:p w:rsidR="000D6E6A" w:rsidRDefault="000D6E6A">
      <w:pPr>
        <w:pStyle w:val="BodycopyBullet"/>
        <w:tabs>
          <w:tab w:val="clear" w:pos="283"/>
          <w:tab w:val="left" w:pos="840"/>
        </w:tabs>
      </w:pPr>
      <w:r>
        <w:t xml:space="preserve">EN16 </w:t>
      </w:r>
      <w:r>
        <w:tab/>
        <w:t xml:space="preserve">Energy indirect greenhouse gas (GHG) emissions (scope 2) </w:t>
      </w:r>
    </w:p>
    <w:p w:rsidR="000D6E6A" w:rsidRDefault="000D6E6A">
      <w:pPr>
        <w:pStyle w:val="BodycopyBullet"/>
        <w:tabs>
          <w:tab w:val="clear" w:pos="283"/>
          <w:tab w:val="left" w:pos="840"/>
        </w:tabs>
      </w:pPr>
      <w:r>
        <w:t xml:space="preserve">EN18 </w:t>
      </w:r>
      <w:r>
        <w:tab/>
        <w:t>GHG emissions intensity</w:t>
      </w:r>
    </w:p>
    <w:p w:rsidR="000D6E6A" w:rsidRDefault="000D6E6A">
      <w:pPr>
        <w:pStyle w:val="BodycopyBulletspaceunder"/>
        <w:tabs>
          <w:tab w:val="clear" w:pos="283"/>
          <w:tab w:val="left" w:pos="840"/>
        </w:tabs>
      </w:pPr>
      <w:r>
        <w:t xml:space="preserve">EN29 </w:t>
      </w:r>
      <w:r>
        <w:tab/>
        <w:t xml:space="preserve">Monetary value of significant fines and total number of non-monetary sanctions for non-compliance with environmental laws and regulations. </w:t>
      </w:r>
    </w:p>
    <w:p w:rsidR="000D6E6A" w:rsidRDefault="000D6E6A">
      <w:pPr>
        <w:pStyle w:val="Bodycopy"/>
      </w:pPr>
      <w:r>
        <w:t>Note: the new GRI standards will phase out the current G4 reporting standards by 1 July 2018.</w:t>
      </w:r>
    </w:p>
    <w:p w:rsidR="000D6E6A" w:rsidRDefault="000D6E6A">
      <w:pPr>
        <w:pStyle w:val="H3"/>
      </w:pPr>
      <w:r>
        <w:t>Changes to scope of reporting</w:t>
      </w:r>
    </w:p>
    <w:p w:rsidR="000D6E6A" w:rsidRDefault="000D6E6A">
      <w:pPr>
        <w:pStyle w:val="Bodycopy"/>
      </w:pPr>
      <w:r>
        <w:t>All consumption data is from 1 April 2017 to 31 March 2018. The department’s EMP is updated biennially, with environment targets that span two years, from 2017 to 2019.</w:t>
      </w:r>
    </w:p>
    <w:p w:rsidR="000D6E6A" w:rsidRDefault="000D6E6A">
      <w:pPr>
        <w:pStyle w:val="Bodycopy"/>
        <w:rPr>
          <w:spacing w:val="2"/>
        </w:rPr>
      </w:pPr>
      <w:r>
        <w:rPr>
          <w:spacing w:val="2"/>
        </w:rPr>
        <w:t xml:space="preserve">Environmental performance was previously reported in two categories: ‘Correctional Centre’ and ‘Office’. Since April 2017, the department is responsible for the statutory supervision of young people in the criminal justice system. Therefore, environmental data has been revised to include custodial facilities and Youth Justice staff. The reporting categories have been revised to: ‘Correctional centres and custodial facilities’ and ‘Office’. The custodial facilities are the </w:t>
      </w:r>
      <w:proofErr w:type="spellStart"/>
      <w:r>
        <w:rPr>
          <w:spacing w:val="2"/>
        </w:rPr>
        <w:t>Malmsbury</w:t>
      </w:r>
      <w:proofErr w:type="spellEnd"/>
      <w:r>
        <w:rPr>
          <w:spacing w:val="2"/>
        </w:rPr>
        <w:t xml:space="preserve"> Youth Justice Precinct and Parkville Youth Justice Precinct.</w:t>
      </w:r>
    </w:p>
    <w:p w:rsidR="001D6547" w:rsidRDefault="001D6547">
      <w:pPr>
        <w:rPr>
          <w:rStyle w:val="RegularItalic"/>
          <w:rFonts w:ascii="Arial" w:hAnsi="Arial" w:cs="Arial"/>
          <w:sz w:val="18"/>
          <w:szCs w:val="18"/>
          <w:lang w:val="en-GB"/>
        </w:rPr>
      </w:pPr>
      <w:r>
        <w:rPr>
          <w:rStyle w:val="RegularItalic"/>
          <w:i w:val="false"/>
          <w:iCs w:val="false"/>
        </w:rPr>
        <w:br w:type="page"/>
      </w:r>
    </w:p>
    <w:p w:rsidR="000D6E6A" w:rsidRDefault="000D6E6A">
      <w:pPr>
        <w:pStyle w:val="Bodycopyspan"/>
        <w:rPr>
          <w:rStyle w:val="RegularItalic"/>
          <w:i/>
          <w:iCs/>
        </w:rPr>
      </w:pPr>
      <w:r>
        <w:rPr>
          <w:rStyle w:val="RegularItalic"/>
          <w:i/>
          <w:iCs/>
        </w:rPr>
        <w:lastRenderedPageBreak/>
        <w:t>Summary trend report</w:t>
      </w:r>
    </w:p>
    <w:tbl>
      <w:tblPr>
        <w:tblW w:w="0" w:type="auto"/>
        <w:tblInd w:w="57" w:type="dxa"/>
        <w:tblLayout w:type="fixed"/>
        <w:tblCellMar>
          <w:left w:w="0" w:type="dxa"/>
          <w:right w:w="0" w:type="dxa"/>
        </w:tblCellMar>
        <w:tblLook w:firstRow="0" w:lastRow="0" w:firstColumn="0" w:lastColumn="0" w:noHBand="0" w:noVBand="0" w:val="0000"/>
      </w:tblPr>
      <w:tblGrid>
        <w:gridCol w:w="2268"/>
        <w:gridCol w:w="1701"/>
        <w:gridCol w:w="1700"/>
        <w:gridCol w:w="1701"/>
        <w:gridCol w:w="2071"/>
      </w:tblGrid>
      <w:tr w:rsidRPr="001D6547" w:rsidR="000D6E6A" w:rsidTr="001D6547">
        <w:tblPrEx>
          <w:tblCellMar>
            <w:top w:w="0" w:type="dxa"/>
            <w:left w:w="0" w:type="dxa"/>
            <w:bottom w:w="0" w:type="dxa"/>
            <w:right w:w="0" w:type="dxa"/>
          </w:tblCellMar>
        </w:tblPrEx>
        <w:trPr>
          <w:trHeight w:val="113"/>
          <w:tblHeader/>
        </w:trPr>
        <w:tc>
          <w:tcPr>
            <w:tcW w:w="2268"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1D6547" w:rsidR="000D6E6A" w:rsidRDefault="000D6E6A">
            <w:pPr>
              <w:pStyle w:val="NoParagraphStyle"/>
              <w:spacing w:line="240" w:lineRule="auto"/>
              <w:textAlignment w:val="auto"/>
              <w:rPr>
                <w:color w:val="auto"/>
                <w:sz w:val="16"/>
                <w:szCs w:val="16"/>
              </w:rPr>
            </w:pPr>
          </w:p>
        </w:tc>
        <w:tc>
          <w:tcPr>
            <w:tcW w:w="1701"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1D6547" w:rsidR="000D6E6A" w:rsidP="001D6547" w:rsidRDefault="000D6E6A">
            <w:pPr>
              <w:pStyle w:val="bodycopytabletable"/>
              <w:jc w:val="right"/>
            </w:pPr>
            <w:r w:rsidRPr="001D6547">
              <w:rPr>
                <w:rStyle w:val="mediumpurple"/>
                <w:b/>
                <w:bCs/>
              </w:rPr>
              <w:t>2015-16</w:t>
            </w:r>
          </w:p>
        </w:tc>
        <w:tc>
          <w:tcPr>
            <w:tcW w:w="1700"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1D6547" w:rsidR="000D6E6A" w:rsidP="001D6547" w:rsidRDefault="000D6E6A">
            <w:pPr>
              <w:pStyle w:val="bodycopytabletable"/>
              <w:jc w:val="right"/>
            </w:pPr>
            <w:r w:rsidRPr="001D6547">
              <w:rPr>
                <w:rStyle w:val="mediumpurple"/>
                <w:b/>
                <w:bCs/>
              </w:rPr>
              <w:t>2016–17</w:t>
            </w:r>
          </w:p>
        </w:tc>
        <w:tc>
          <w:tcPr>
            <w:tcW w:w="1701"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1D6547" w:rsidR="000D6E6A" w:rsidP="001D6547" w:rsidRDefault="000D6E6A">
            <w:pPr>
              <w:pStyle w:val="bodycopytabletable"/>
              <w:jc w:val="right"/>
            </w:pPr>
            <w:r w:rsidRPr="001D6547">
              <w:rPr>
                <w:rStyle w:val="mediumpurple"/>
                <w:b/>
                <w:bCs/>
              </w:rPr>
              <w:t>2017–18</w:t>
            </w:r>
          </w:p>
        </w:tc>
        <w:tc>
          <w:tcPr>
            <w:tcW w:w="2071"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1D6547" w:rsidR="000D6E6A" w:rsidP="001D6547" w:rsidRDefault="000D6E6A">
            <w:pPr>
              <w:pStyle w:val="bodycopytabletable"/>
              <w:jc w:val="right"/>
            </w:pPr>
            <w:r w:rsidRPr="001D6547">
              <w:rPr>
                <w:rStyle w:val="mediumpurple"/>
                <w:b/>
                <w:bCs/>
                <w:spacing w:val="-3"/>
              </w:rPr>
              <w:t xml:space="preserve">2017–18 trend </w:t>
            </w:r>
            <w:r w:rsidR="001D6547">
              <w:rPr>
                <w:rStyle w:val="mediumpurple"/>
                <w:b/>
                <w:bCs/>
                <w:spacing w:val="-3"/>
              </w:rPr>
              <w:br/>
            </w:r>
            <w:r w:rsidRPr="001D6547">
              <w:rPr>
                <w:rStyle w:val="mediumpurple"/>
                <w:b/>
                <w:bCs/>
                <w:spacing w:val="-3"/>
              </w:rPr>
              <w:t xml:space="preserve">compared to 2016–17 </w:t>
            </w:r>
            <w:r w:rsidRPr="001D6547">
              <w:rPr>
                <w:rStyle w:val="mediumpurple"/>
                <w:b/>
                <w:bCs/>
                <w:spacing w:val="-3"/>
              </w:rPr>
              <w:br/>
              <w:t>(per cent)</w:t>
            </w:r>
          </w:p>
        </w:tc>
      </w:tr>
      <w:tr w:rsidRPr="001D6547" w:rsidR="000D6E6A" w:rsidTr="001D6547">
        <w:tblPrEx>
          <w:tblCellMar>
            <w:top w:w="0" w:type="dxa"/>
            <w:left w:w="0" w:type="dxa"/>
            <w:bottom w:w="0" w:type="dxa"/>
            <w:right w:w="0" w:type="dxa"/>
          </w:tblCellMar>
        </w:tblPrEx>
        <w:trPr>
          <w:trHeight w:val="113"/>
        </w:trPr>
        <w:tc>
          <w:tcPr>
            <w:tcW w:w="2268" w:type="dxa"/>
            <w:tcBorders>
              <w:top w:val="dotted" w:color="542E8E" w:sz="4" w:space="0"/>
              <w:left w:val="nil"/>
              <w:bottom w:val="dotted" w:color="542E8E" w:sz="4" w:space="0"/>
              <w:right w:val="nil"/>
            </w:tcBorders>
            <w:tcMar>
              <w:top w:w="57" w:type="dxa"/>
              <w:left w:w="57" w:type="dxa"/>
              <w:bottom w:w="57" w:type="dxa"/>
              <w:right w:w="57" w:type="dxa"/>
            </w:tcMar>
            <w:vAlign w:val="center"/>
          </w:tcPr>
          <w:p w:rsidRPr="001D6547" w:rsidR="000D6E6A" w:rsidP="001D6547" w:rsidRDefault="000D6E6A">
            <w:pPr>
              <w:pStyle w:val="bodycopytabletable"/>
            </w:pPr>
            <w:r w:rsidRPr="001D6547">
              <w:t>Energy (MJ/m</w:t>
            </w:r>
            <w:r w:rsidRPr="001D6547">
              <w:rPr>
                <w:rStyle w:val="Superscript"/>
              </w:rPr>
              <w:t>2</w:t>
            </w:r>
            <w:r w:rsidRPr="001D6547">
              <w:t>)</w:t>
            </w:r>
          </w:p>
        </w:tc>
        <w:tc>
          <w:tcPr>
            <w:tcW w:w="1701" w:type="dxa"/>
            <w:tcBorders>
              <w:top w:val="dotted" w:color="542E8E" w:sz="4" w:space="0"/>
              <w:left w:val="nil"/>
              <w:bottom w:val="dotted" w:color="542E8E" w:sz="4" w:space="0"/>
              <w:right w:val="nil"/>
            </w:tcBorders>
            <w:tcMar>
              <w:top w:w="57" w:type="dxa"/>
              <w:left w:w="57" w:type="dxa"/>
              <w:bottom w:w="57" w:type="dxa"/>
              <w:right w:w="57" w:type="dxa"/>
            </w:tcMar>
            <w:vAlign w:val="center"/>
          </w:tcPr>
          <w:p w:rsidRPr="001D6547" w:rsidR="000D6E6A" w:rsidP="001D6547" w:rsidRDefault="000D6E6A">
            <w:pPr>
              <w:pStyle w:val="bodycopytabletable"/>
              <w:jc w:val="right"/>
            </w:pPr>
            <w:r w:rsidRPr="001D6547">
              <w:t>1,015</w:t>
            </w:r>
          </w:p>
          <w:p w:rsidRPr="001D6547" w:rsidR="000D6E6A" w:rsidP="001D6547" w:rsidRDefault="000D6E6A">
            <w:pPr>
              <w:pStyle w:val="bodycopytabletable"/>
              <w:jc w:val="right"/>
            </w:pPr>
            <w:r w:rsidRPr="001D6547">
              <w:t>(</w:t>
            </w:r>
            <w:proofErr w:type="gramStart"/>
            <w:r w:rsidRPr="001D6547">
              <w:t>352)*</w:t>
            </w:r>
            <w:proofErr w:type="gramEnd"/>
          </w:p>
        </w:tc>
        <w:tc>
          <w:tcPr>
            <w:tcW w:w="1700" w:type="dxa"/>
            <w:tcBorders>
              <w:top w:val="dotted" w:color="542E8E" w:sz="4" w:space="0"/>
              <w:left w:val="nil"/>
              <w:bottom w:val="dotted" w:color="542E8E" w:sz="4" w:space="0"/>
              <w:right w:val="nil"/>
            </w:tcBorders>
            <w:tcMar>
              <w:top w:w="57" w:type="dxa"/>
              <w:left w:w="57" w:type="dxa"/>
              <w:bottom w:w="57" w:type="dxa"/>
              <w:right w:w="57" w:type="dxa"/>
            </w:tcMar>
            <w:vAlign w:val="center"/>
          </w:tcPr>
          <w:p w:rsidRPr="001D6547" w:rsidR="000D6E6A" w:rsidP="001D6547" w:rsidRDefault="000D6E6A">
            <w:pPr>
              <w:pStyle w:val="bodycopytabletable"/>
              <w:jc w:val="right"/>
            </w:pPr>
            <w:r w:rsidRPr="001D6547">
              <w:t>1,014</w:t>
            </w:r>
          </w:p>
          <w:p w:rsidRPr="001D6547" w:rsidR="000D6E6A" w:rsidP="001D6547" w:rsidRDefault="000D6E6A">
            <w:pPr>
              <w:pStyle w:val="bodycopytabletable"/>
              <w:jc w:val="right"/>
            </w:pPr>
            <w:r w:rsidRPr="001D6547">
              <w:t>(</w:t>
            </w:r>
            <w:proofErr w:type="gramStart"/>
            <w:r w:rsidRPr="001D6547">
              <w:t>337)*</w:t>
            </w:r>
            <w:proofErr w:type="gramEnd"/>
          </w:p>
        </w:tc>
        <w:tc>
          <w:tcPr>
            <w:tcW w:w="1701" w:type="dxa"/>
            <w:tcBorders>
              <w:top w:val="dotted" w:color="542E8E" w:sz="4" w:space="0"/>
              <w:left w:val="nil"/>
              <w:bottom w:val="dotted" w:color="542E8E" w:sz="4" w:space="0"/>
              <w:right w:val="nil"/>
            </w:tcBorders>
            <w:tcMar>
              <w:top w:w="57" w:type="dxa"/>
              <w:left w:w="57" w:type="dxa"/>
              <w:bottom w:w="57" w:type="dxa"/>
              <w:right w:w="57" w:type="dxa"/>
            </w:tcMar>
            <w:vAlign w:val="center"/>
          </w:tcPr>
          <w:p w:rsidRPr="001D6547" w:rsidR="000D6E6A" w:rsidP="001D6547" w:rsidRDefault="000D6E6A">
            <w:pPr>
              <w:pStyle w:val="bodycopytabletable"/>
              <w:jc w:val="right"/>
            </w:pPr>
            <w:r w:rsidRPr="001D6547">
              <w:t>1,016</w:t>
            </w:r>
          </w:p>
          <w:p w:rsidRPr="001D6547" w:rsidR="000D6E6A" w:rsidP="001D6547" w:rsidRDefault="000D6E6A">
            <w:pPr>
              <w:pStyle w:val="bodycopytabletable"/>
              <w:jc w:val="right"/>
            </w:pPr>
            <w:r w:rsidRPr="001D6547">
              <w:t>(</w:t>
            </w:r>
            <w:proofErr w:type="gramStart"/>
            <w:r w:rsidRPr="001D6547">
              <w:t>367)*</w:t>
            </w:r>
            <w:proofErr w:type="gramEnd"/>
          </w:p>
        </w:tc>
        <w:tc>
          <w:tcPr>
            <w:tcW w:w="2071" w:type="dxa"/>
            <w:tcBorders>
              <w:top w:val="dotted" w:color="542E8E" w:sz="4" w:space="0"/>
              <w:left w:val="nil"/>
              <w:bottom w:val="dotted" w:color="542E8E" w:sz="4" w:space="0"/>
              <w:right w:val="nil"/>
            </w:tcBorders>
            <w:tcMar>
              <w:top w:w="57" w:type="dxa"/>
              <w:left w:w="57" w:type="dxa"/>
              <w:bottom w:w="57" w:type="dxa"/>
              <w:right w:w="57" w:type="dxa"/>
            </w:tcMar>
            <w:vAlign w:val="center"/>
          </w:tcPr>
          <w:p w:rsidRPr="001D6547" w:rsidR="000D6E6A" w:rsidP="001D6547" w:rsidRDefault="000D6E6A">
            <w:pPr>
              <w:pStyle w:val="bodycopytabletable"/>
              <w:jc w:val="right"/>
            </w:pPr>
            <w:r w:rsidRPr="001D6547">
              <w:t>0%</w:t>
            </w:r>
          </w:p>
          <w:p w:rsidRPr="001D6547" w:rsidR="000D6E6A" w:rsidP="001D6547" w:rsidRDefault="000D6E6A">
            <w:pPr>
              <w:pStyle w:val="bodycopytabletable"/>
              <w:jc w:val="right"/>
            </w:pPr>
            <w:r w:rsidRPr="001D6547">
              <w:t>(9%)*</w:t>
            </w:r>
          </w:p>
        </w:tc>
      </w:tr>
      <w:tr w:rsidRPr="001D6547" w:rsidR="000D6E6A" w:rsidTr="001D6547">
        <w:tblPrEx>
          <w:tblCellMar>
            <w:top w:w="0" w:type="dxa"/>
            <w:left w:w="0" w:type="dxa"/>
            <w:bottom w:w="0" w:type="dxa"/>
            <w:right w:w="0" w:type="dxa"/>
          </w:tblCellMar>
        </w:tblPrEx>
        <w:trPr>
          <w:trHeight w:val="113"/>
        </w:trPr>
        <w:tc>
          <w:tcPr>
            <w:tcW w:w="2268" w:type="dxa"/>
            <w:tcBorders>
              <w:top w:val="dotted" w:color="542E8E" w:sz="4" w:space="0"/>
              <w:left w:val="nil"/>
              <w:bottom w:val="dotted" w:color="542E8E" w:sz="4" w:space="0"/>
              <w:right w:val="nil"/>
            </w:tcBorders>
            <w:tcMar>
              <w:top w:w="57" w:type="dxa"/>
              <w:left w:w="57" w:type="dxa"/>
              <w:bottom w:w="57" w:type="dxa"/>
              <w:right w:w="57" w:type="dxa"/>
            </w:tcMar>
            <w:vAlign w:val="center"/>
          </w:tcPr>
          <w:p w:rsidRPr="001D6547" w:rsidR="000D6E6A" w:rsidP="001D6547" w:rsidRDefault="000D6E6A">
            <w:pPr>
              <w:pStyle w:val="bodycopytabletable"/>
            </w:pPr>
            <w:r w:rsidRPr="001D6547">
              <w:t>Waste (kg/FTE)</w:t>
            </w:r>
          </w:p>
        </w:tc>
        <w:tc>
          <w:tcPr>
            <w:tcW w:w="1701" w:type="dxa"/>
            <w:tcBorders>
              <w:top w:val="dotted" w:color="542E8E" w:sz="4" w:space="0"/>
              <w:left w:val="nil"/>
              <w:bottom w:val="dotted" w:color="542E8E" w:sz="4" w:space="0"/>
              <w:right w:val="nil"/>
            </w:tcBorders>
            <w:tcMar>
              <w:top w:w="57" w:type="dxa"/>
              <w:left w:w="57" w:type="dxa"/>
              <w:bottom w:w="57" w:type="dxa"/>
              <w:right w:w="57" w:type="dxa"/>
            </w:tcMar>
            <w:vAlign w:val="center"/>
          </w:tcPr>
          <w:p w:rsidRPr="001D6547" w:rsidR="000D6E6A" w:rsidP="001D6547" w:rsidRDefault="000D6E6A">
            <w:pPr>
              <w:pStyle w:val="bodycopytabletable"/>
              <w:jc w:val="right"/>
            </w:pPr>
            <w:r w:rsidRPr="001D6547">
              <w:t>69</w:t>
            </w:r>
          </w:p>
        </w:tc>
        <w:tc>
          <w:tcPr>
            <w:tcW w:w="1700" w:type="dxa"/>
            <w:tcBorders>
              <w:top w:val="dotted" w:color="542E8E" w:sz="4" w:space="0"/>
              <w:left w:val="nil"/>
              <w:bottom w:val="dotted" w:color="542E8E" w:sz="4" w:space="0"/>
              <w:right w:val="nil"/>
            </w:tcBorders>
            <w:tcMar>
              <w:top w:w="57" w:type="dxa"/>
              <w:left w:w="57" w:type="dxa"/>
              <w:bottom w:w="57" w:type="dxa"/>
              <w:right w:w="57" w:type="dxa"/>
            </w:tcMar>
            <w:vAlign w:val="center"/>
          </w:tcPr>
          <w:p w:rsidRPr="001D6547" w:rsidR="000D6E6A" w:rsidP="001D6547" w:rsidRDefault="000D6E6A">
            <w:pPr>
              <w:pStyle w:val="bodycopytabletable"/>
              <w:jc w:val="right"/>
            </w:pPr>
            <w:r w:rsidRPr="001D6547">
              <w:t>60</w:t>
            </w:r>
          </w:p>
        </w:tc>
        <w:tc>
          <w:tcPr>
            <w:tcW w:w="1701" w:type="dxa"/>
            <w:tcBorders>
              <w:top w:val="dotted" w:color="542E8E" w:sz="4" w:space="0"/>
              <w:left w:val="nil"/>
              <w:bottom w:val="dotted" w:color="542E8E" w:sz="4" w:space="0"/>
              <w:right w:val="nil"/>
            </w:tcBorders>
            <w:tcMar>
              <w:top w:w="57" w:type="dxa"/>
              <w:left w:w="57" w:type="dxa"/>
              <w:bottom w:w="57" w:type="dxa"/>
              <w:right w:w="57" w:type="dxa"/>
            </w:tcMar>
            <w:vAlign w:val="center"/>
          </w:tcPr>
          <w:p w:rsidRPr="001D6547" w:rsidR="000D6E6A" w:rsidP="001D6547" w:rsidRDefault="000D6E6A">
            <w:pPr>
              <w:pStyle w:val="bodycopytabletable"/>
              <w:jc w:val="right"/>
            </w:pPr>
            <w:r w:rsidRPr="001D6547">
              <w:t>55</w:t>
            </w:r>
          </w:p>
        </w:tc>
        <w:tc>
          <w:tcPr>
            <w:tcW w:w="2071" w:type="dxa"/>
            <w:tcBorders>
              <w:top w:val="dotted" w:color="542E8E" w:sz="4" w:space="0"/>
              <w:left w:val="nil"/>
              <w:bottom w:val="dotted" w:color="542E8E" w:sz="4" w:space="0"/>
              <w:right w:val="nil"/>
            </w:tcBorders>
            <w:tcMar>
              <w:top w:w="57" w:type="dxa"/>
              <w:left w:w="57" w:type="dxa"/>
              <w:bottom w:w="57" w:type="dxa"/>
              <w:right w:w="57" w:type="dxa"/>
            </w:tcMar>
            <w:vAlign w:val="center"/>
          </w:tcPr>
          <w:p w:rsidRPr="001D6547" w:rsidR="000D6E6A" w:rsidP="001D6547" w:rsidRDefault="000D6E6A">
            <w:pPr>
              <w:pStyle w:val="bodycopytabletable"/>
              <w:jc w:val="right"/>
            </w:pPr>
            <w:r w:rsidRPr="001D6547">
              <w:t>-8%</w:t>
            </w:r>
          </w:p>
        </w:tc>
      </w:tr>
      <w:tr w:rsidRPr="001D6547" w:rsidR="000D6E6A" w:rsidTr="001D6547">
        <w:tblPrEx>
          <w:tblCellMar>
            <w:top w:w="0" w:type="dxa"/>
            <w:left w:w="0" w:type="dxa"/>
            <w:bottom w:w="0" w:type="dxa"/>
            <w:right w:w="0" w:type="dxa"/>
          </w:tblCellMar>
        </w:tblPrEx>
        <w:trPr>
          <w:trHeight w:val="113"/>
        </w:trPr>
        <w:tc>
          <w:tcPr>
            <w:tcW w:w="2268" w:type="dxa"/>
            <w:tcBorders>
              <w:top w:val="dotted" w:color="542E8E" w:sz="4" w:space="0"/>
              <w:left w:val="nil"/>
              <w:bottom w:val="dotted" w:color="542E8E" w:sz="4" w:space="0"/>
              <w:right w:val="nil"/>
            </w:tcBorders>
            <w:tcMar>
              <w:top w:w="57" w:type="dxa"/>
              <w:left w:w="57" w:type="dxa"/>
              <w:bottom w:w="57" w:type="dxa"/>
              <w:right w:w="57" w:type="dxa"/>
            </w:tcMar>
            <w:vAlign w:val="center"/>
          </w:tcPr>
          <w:p w:rsidRPr="001D6547" w:rsidR="000D6E6A" w:rsidP="001D6547" w:rsidRDefault="000D6E6A">
            <w:pPr>
              <w:pStyle w:val="bodycopytabletable"/>
            </w:pPr>
            <w:r w:rsidRPr="001D6547">
              <w:t>Paper (reams/FTE)</w:t>
            </w:r>
          </w:p>
        </w:tc>
        <w:tc>
          <w:tcPr>
            <w:tcW w:w="1701" w:type="dxa"/>
            <w:tcBorders>
              <w:top w:val="dotted" w:color="542E8E" w:sz="4" w:space="0"/>
              <w:left w:val="nil"/>
              <w:bottom w:val="dotted" w:color="542E8E" w:sz="4" w:space="0"/>
              <w:right w:val="nil"/>
            </w:tcBorders>
            <w:tcMar>
              <w:top w:w="57" w:type="dxa"/>
              <w:left w:w="57" w:type="dxa"/>
              <w:bottom w:w="57" w:type="dxa"/>
              <w:right w:w="57" w:type="dxa"/>
            </w:tcMar>
            <w:vAlign w:val="center"/>
          </w:tcPr>
          <w:p w:rsidRPr="001D6547" w:rsidR="000D6E6A" w:rsidP="001D6547" w:rsidRDefault="000D6E6A">
            <w:pPr>
              <w:pStyle w:val="bodycopytabletable"/>
              <w:jc w:val="right"/>
            </w:pPr>
            <w:r w:rsidRPr="001D6547">
              <w:t>14</w:t>
            </w:r>
          </w:p>
        </w:tc>
        <w:tc>
          <w:tcPr>
            <w:tcW w:w="1700" w:type="dxa"/>
            <w:tcBorders>
              <w:top w:val="dotted" w:color="542E8E" w:sz="4" w:space="0"/>
              <w:left w:val="nil"/>
              <w:bottom w:val="dotted" w:color="542E8E" w:sz="4" w:space="0"/>
              <w:right w:val="nil"/>
            </w:tcBorders>
            <w:tcMar>
              <w:top w:w="57" w:type="dxa"/>
              <w:left w:w="57" w:type="dxa"/>
              <w:bottom w:w="57" w:type="dxa"/>
              <w:right w:w="57" w:type="dxa"/>
            </w:tcMar>
            <w:vAlign w:val="center"/>
          </w:tcPr>
          <w:p w:rsidRPr="001D6547" w:rsidR="000D6E6A" w:rsidP="001D6547" w:rsidRDefault="000D6E6A">
            <w:pPr>
              <w:pStyle w:val="bodycopytabletable"/>
              <w:jc w:val="right"/>
            </w:pPr>
            <w:r w:rsidRPr="001D6547">
              <w:t>13</w:t>
            </w:r>
          </w:p>
        </w:tc>
        <w:tc>
          <w:tcPr>
            <w:tcW w:w="1701" w:type="dxa"/>
            <w:tcBorders>
              <w:top w:val="dotted" w:color="542E8E" w:sz="4" w:space="0"/>
              <w:left w:val="nil"/>
              <w:bottom w:val="dotted" w:color="542E8E" w:sz="4" w:space="0"/>
              <w:right w:val="nil"/>
            </w:tcBorders>
            <w:tcMar>
              <w:top w:w="57" w:type="dxa"/>
              <w:left w:w="57" w:type="dxa"/>
              <w:bottom w:w="57" w:type="dxa"/>
              <w:right w:w="57" w:type="dxa"/>
            </w:tcMar>
            <w:vAlign w:val="center"/>
          </w:tcPr>
          <w:p w:rsidRPr="001D6547" w:rsidR="000D6E6A" w:rsidP="001D6547" w:rsidRDefault="000D6E6A">
            <w:pPr>
              <w:pStyle w:val="bodycopytabletable"/>
              <w:jc w:val="right"/>
            </w:pPr>
            <w:r w:rsidRPr="001D6547">
              <w:t>12</w:t>
            </w:r>
          </w:p>
        </w:tc>
        <w:tc>
          <w:tcPr>
            <w:tcW w:w="2071" w:type="dxa"/>
            <w:tcBorders>
              <w:top w:val="dotted" w:color="542E8E" w:sz="4" w:space="0"/>
              <w:left w:val="nil"/>
              <w:bottom w:val="dotted" w:color="542E8E" w:sz="4" w:space="0"/>
              <w:right w:val="nil"/>
            </w:tcBorders>
            <w:tcMar>
              <w:top w:w="57" w:type="dxa"/>
              <w:left w:w="57" w:type="dxa"/>
              <w:bottom w:w="57" w:type="dxa"/>
              <w:right w:w="57" w:type="dxa"/>
            </w:tcMar>
            <w:vAlign w:val="center"/>
          </w:tcPr>
          <w:p w:rsidRPr="001D6547" w:rsidR="000D6E6A" w:rsidP="001D6547" w:rsidRDefault="000D6E6A">
            <w:pPr>
              <w:pStyle w:val="bodycopytabletable"/>
              <w:jc w:val="right"/>
            </w:pPr>
            <w:r w:rsidRPr="001D6547">
              <w:t>-8%</w:t>
            </w:r>
          </w:p>
        </w:tc>
      </w:tr>
      <w:tr w:rsidRPr="001D6547" w:rsidR="000D6E6A" w:rsidTr="001D6547">
        <w:tblPrEx>
          <w:tblCellMar>
            <w:top w:w="0" w:type="dxa"/>
            <w:left w:w="0" w:type="dxa"/>
            <w:bottom w:w="0" w:type="dxa"/>
            <w:right w:w="0" w:type="dxa"/>
          </w:tblCellMar>
        </w:tblPrEx>
        <w:trPr>
          <w:trHeight w:val="113"/>
        </w:trPr>
        <w:tc>
          <w:tcPr>
            <w:tcW w:w="2268" w:type="dxa"/>
            <w:tcBorders>
              <w:top w:val="dotted" w:color="542E8E" w:sz="4" w:space="0"/>
              <w:left w:val="nil"/>
              <w:bottom w:val="dotted" w:color="542E8E" w:sz="4" w:space="0"/>
              <w:right w:val="nil"/>
            </w:tcBorders>
            <w:tcMar>
              <w:top w:w="57" w:type="dxa"/>
              <w:left w:w="57" w:type="dxa"/>
              <w:bottom w:w="57" w:type="dxa"/>
              <w:right w:w="57" w:type="dxa"/>
            </w:tcMar>
            <w:vAlign w:val="center"/>
          </w:tcPr>
          <w:p w:rsidRPr="001D6547" w:rsidR="000D6E6A" w:rsidP="001D6547" w:rsidRDefault="000D6E6A">
            <w:pPr>
              <w:pStyle w:val="bodycopytabletable"/>
            </w:pPr>
            <w:r w:rsidRPr="001D6547">
              <w:t>Water (</w:t>
            </w:r>
            <w:proofErr w:type="spellStart"/>
            <w:r w:rsidRPr="001D6547">
              <w:t>kL</w:t>
            </w:r>
            <w:proofErr w:type="spellEnd"/>
            <w:r w:rsidRPr="001D6547">
              <w:t>/m</w:t>
            </w:r>
            <w:r w:rsidRPr="001D6547">
              <w:rPr>
                <w:rStyle w:val="Superscript"/>
              </w:rPr>
              <w:t>2</w:t>
            </w:r>
            <w:r w:rsidRPr="001D6547">
              <w:t>)</w:t>
            </w:r>
          </w:p>
        </w:tc>
        <w:tc>
          <w:tcPr>
            <w:tcW w:w="1701" w:type="dxa"/>
            <w:tcBorders>
              <w:top w:val="dotted" w:color="542E8E" w:sz="4" w:space="0"/>
              <w:left w:val="nil"/>
              <w:bottom w:val="dotted" w:color="542E8E" w:sz="4" w:space="0"/>
              <w:right w:val="nil"/>
            </w:tcBorders>
            <w:tcMar>
              <w:top w:w="57" w:type="dxa"/>
              <w:left w:w="57" w:type="dxa"/>
              <w:bottom w:w="57" w:type="dxa"/>
              <w:right w:w="57" w:type="dxa"/>
            </w:tcMar>
            <w:vAlign w:val="center"/>
          </w:tcPr>
          <w:p w:rsidRPr="001D6547" w:rsidR="000D6E6A" w:rsidP="001D6547" w:rsidRDefault="000D6E6A">
            <w:pPr>
              <w:pStyle w:val="bodycopytabletable"/>
              <w:jc w:val="right"/>
            </w:pPr>
            <w:r w:rsidRPr="001D6547">
              <w:t>1.8</w:t>
            </w:r>
          </w:p>
          <w:p w:rsidRPr="001D6547" w:rsidR="000D6E6A" w:rsidP="001D6547" w:rsidRDefault="000D6E6A">
            <w:pPr>
              <w:pStyle w:val="bodycopytabletable"/>
              <w:jc w:val="right"/>
            </w:pPr>
            <w:r w:rsidRPr="001D6547">
              <w:t>(</w:t>
            </w:r>
            <w:proofErr w:type="gramStart"/>
            <w:r w:rsidRPr="001D6547">
              <w:t>0.6)*</w:t>
            </w:r>
            <w:proofErr w:type="gramEnd"/>
          </w:p>
        </w:tc>
        <w:tc>
          <w:tcPr>
            <w:tcW w:w="1700" w:type="dxa"/>
            <w:tcBorders>
              <w:top w:val="dotted" w:color="542E8E" w:sz="4" w:space="0"/>
              <w:left w:val="nil"/>
              <w:bottom w:val="dotted" w:color="542E8E" w:sz="4" w:space="0"/>
              <w:right w:val="nil"/>
            </w:tcBorders>
            <w:tcMar>
              <w:top w:w="57" w:type="dxa"/>
              <w:left w:w="57" w:type="dxa"/>
              <w:bottom w:w="57" w:type="dxa"/>
              <w:right w:w="57" w:type="dxa"/>
            </w:tcMar>
            <w:vAlign w:val="center"/>
          </w:tcPr>
          <w:p w:rsidRPr="001D6547" w:rsidR="000D6E6A" w:rsidP="001D6547" w:rsidRDefault="000D6E6A">
            <w:pPr>
              <w:pStyle w:val="bodycopytabletable"/>
              <w:jc w:val="right"/>
            </w:pPr>
            <w:r w:rsidRPr="001D6547">
              <w:t>2.0</w:t>
            </w:r>
          </w:p>
          <w:p w:rsidRPr="001D6547" w:rsidR="000D6E6A" w:rsidP="001D6547" w:rsidRDefault="000D6E6A">
            <w:pPr>
              <w:pStyle w:val="bodycopytabletable"/>
              <w:jc w:val="right"/>
            </w:pPr>
            <w:r w:rsidRPr="001D6547">
              <w:t>(</w:t>
            </w:r>
            <w:proofErr w:type="gramStart"/>
            <w:r w:rsidRPr="001D6547">
              <w:t>0.5)*</w:t>
            </w:r>
            <w:proofErr w:type="gramEnd"/>
          </w:p>
        </w:tc>
        <w:tc>
          <w:tcPr>
            <w:tcW w:w="1701" w:type="dxa"/>
            <w:tcBorders>
              <w:top w:val="dotted" w:color="542E8E" w:sz="4" w:space="0"/>
              <w:left w:val="nil"/>
              <w:bottom w:val="dotted" w:color="542E8E" w:sz="4" w:space="0"/>
              <w:right w:val="nil"/>
            </w:tcBorders>
            <w:tcMar>
              <w:top w:w="57" w:type="dxa"/>
              <w:left w:w="57" w:type="dxa"/>
              <w:bottom w:w="57" w:type="dxa"/>
              <w:right w:w="57" w:type="dxa"/>
            </w:tcMar>
            <w:vAlign w:val="center"/>
          </w:tcPr>
          <w:p w:rsidRPr="001D6547" w:rsidR="000D6E6A" w:rsidP="001D6547" w:rsidRDefault="000D6E6A">
            <w:pPr>
              <w:pStyle w:val="bodycopytabletable"/>
              <w:jc w:val="right"/>
            </w:pPr>
            <w:r w:rsidRPr="001D6547">
              <w:t xml:space="preserve">2.0 </w:t>
            </w:r>
          </w:p>
          <w:p w:rsidRPr="001D6547" w:rsidR="000D6E6A" w:rsidP="001D6547" w:rsidRDefault="000D6E6A">
            <w:pPr>
              <w:pStyle w:val="bodycopytabletable"/>
              <w:jc w:val="right"/>
            </w:pPr>
            <w:r w:rsidRPr="001D6547">
              <w:t>(</w:t>
            </w:r>
            <w:proofErr w:type="gramStart"/>
            <w:r w:rsidRPr="001D6547">
              <w:t>0.5)*</w:t>
            </w:r>
            <w:proofErr w:type="gramEnd"/>
          </w:p>
        </w:tc>
        <w:tc>
          <w:tcPr>
            <w:tcW w:w="2071" w:type="dxa"/>
            <w:tcBorders>
              <w:top w:val="dotted" w:color="542E8E" w:sz="4" w:space="0"/>
              <w:left w:val="nil"/>
              <w:bottom w:val="dotted" w:color="542E8E" w:sz="4" w:space="0"/>
              <w:right w:val="nil"/>
            </w:tcBorders>
            <w:tcMar>
              <w:top w:w="57" w:type="dxa"/>
              <w:left w:w="57" w:type="dxa"/>
              <w:bottom w:w="57" w:type="dxa"/>
              <w:right w:w="57" w:type="dxa"/>
            </w:tcMar>
            <w:vAlign w:val="center"/>
          </w:tcPr>
          <w:p w:rsidRPr="001D6547" w:rsidR="000D6E6A" w:rsidP="001D6547" w:rsidRDefault="000D6E6A">
            <w:pPr>
              <w:pStyle w:val="bodycopytabletable"/>
              <w:jc w:val="right"/>
            </w:pPr>
            <w:r w:rsidRPr="001D6547">
              <w:t>0%</w:t>
            </w:r>
          </w:p>
          <w:p w:rsidRPr="001D6547" w:rsidR="000D6E6A" w:rsidP="001D6547" w:rsidRDefault="000D6E6A">
            <w:pPr>
              <w:pStyle w:val="bodycopytabletable"/>
              <w:jc w:val="right"/>
            </w:pPr>
            <w:r w:rsidRPr="001D6547">
              <w:t>(0%)*</w:t>
            </w:r>
          </w:p>
        </w:tc>
      </w:tr>
      <w:tr w:rsidRPr="001D6547" w:rsidR="000D6E6A" w:rsidTr="001D6547">
        <w:tblPrEx>
          <w:tblCellMar>
            <w:top w:w="0" w:type="dxa"/>
            <w:left w:w="0" w:type="dxa"/>
            <w:bottom w:w="0" w:type="dxa"/>
            <w:right w:w="0" w:type="dxa"/>
          </w:tblCellMar>
        </w:tblPrEx>
        <w:trPr>
          <w:trHeight w:val="113"/>
        </w:trPr>
        <w:tc>
          <w:tcPr>
            <w:tcW w:w="2268"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vAlign w:val="center"/>
          </w:tcPr>
          <w:p w:rsidRPr="001D6547" w:rsidR="000D6E6A" w:rsidP="001D6547" w:rsidRDefault="000D6E6A">
            <w:pPr>
              <w:pStyle w:val="bodycopytabletable"/>
            </w:pPr>
            <w:r w:rsidRPr="001D6547">
              <w:t>Transportation fleet</w:t>
            </w:r>
            <w:r w:rsidRPr="001D6547">
              <w:br/>
              <w:t>(tonnes CO</w:t>
            </w:r>
            <w:r w:rsidRPr="001D6547">
              <w:rPr>
                <w:vertAlign w:val="subscript"/>
              </w:rPr>
              <w:t>2</w:t>
            </w:r>
            <w:r w:rsidRPr="001D6547">
              <w:t>e/1,000km)</w:t>
            </w:r>
          </w:p>
        </w:tc>
        <w:tc>
          <w:tcPr>
            <w:tcW w:w="1701"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vAlign w:val="center"/>
          </w:tcPr>
          <w:p w:rsidRPr="001D6547" w:rsidR="000D6E6A" w:rsidP="001D6547" w:rsidRDefault="000D6E6A">
            <w:pPr>
              <w:pStyle w:val="bodycopytabletable"/>
              <w:jc w:val="right"/>
            </w:pPr>
            <w:r w:rsidRPr="001D6547">
              <w:t>0.18</w:t>
            </w:r>
          </w:p>
        </w:tc>
        <w:tc>
          <w:tcPr>
            <w:tcW w:w="1700"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vAlign w:val="center"/>
          </w:tcPr>
          <w:p w:rsidRPr="001D6547" w:rsidR="000D6E6A" w:rsidP="001D6547" w:rsidRDefault="000D6E6A">
            <w:pPr>
              <w:pStyle w:val="bodycopytabletable"/>
              <w:jc w:val="right"/>
            </w:pPr>
            <w:r w:rsidRPr="001D6547">
              <w:t>0.22</w:t>
            </w:r>
          </w:p>
        </w:tc>
        <w:tc>
          <w:tcPr>
            <w:tcW w:w="1701"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vAlign w:val="center"/>
          </w:tcPr>
          <w:p w:rsidRPr="001D6547" w:rsidR="000D6E6A" w:rsidP="001D6547" w:rsidRDefault="000D6E6A">
            <w:pPr>
              <w:pStyle w:val="bodycopytabletable"/>
              <w:jc w:val="right"/>
            </w:pPr>
            <w:r w:rsidRPr="001D6547">
              <w:t>0.24</w:t>
            </w:r>
          </w:p>
        </w:tc>
        <w:tc>
          <w:tcPr>
            <w:tcW w:w="2071"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vAlign w:val="center"/>
          </w:tcPr>
          <w:p w:rsidRPr="001D6547" w:rsidR="000D6E6A" w:rsidP="001D6547" w:rsidRDefault="000D6E6A">
            <w:pPr>
              <w:pStyle w:val="bodycopytabletable"/>
              <w:jc w:val="right"/>
            </w:pPr>
            <w:r w:rsidRPr="001D6547">
              <w:t>9%</w:t>
            </w:r>
          </w:p>
        </w:tc>
      </w:tr>
    </w:tbl>
    <w:p w:rsidR="000D6E6A" w:rsidP="001D6547" w:rsidRDefault="000D6E6A">
      <w:pPr>
        <w:pStyle w:val="notesspantable"/>
        <w:spacing w:before="60"/>
      </w:pPr>
      <w:r>
        <w:t>Notes:</w:t>
      </w:r>
    </w:p>
    <w:p w:rsidR="000D6E6A" w:rsidRDefault="000D6E6A">
      <w:pPr>
        <w:pStyle w:val="notesspantable"/>
      </w:pPr>
      <w:r>
        <w:t xml:space="preserve">MJ – Megajoule; kg – kilogram; ream – 500 sheets of paper; </w:t>
      </w:r>
      <w:proofErr w:type="spellStart"/>
      <w:r>
        <w:t>kL</w:t>
      </w:r>
      <w:proofErr w:type="spellEnd"/>
      <w:r>
        <w:t xml:space="preserve"> – kilolitre; tonne – 1,000 kilograms; CO2e –  carbon dioxide equivalent; m2 – square metre; FTE – Full Time Equivalent (staff).</w:t>
      </w:r>
    </w:p>
    <w:p w:rsidR="000D6E6A" w:rsidRDefault="000D6E6A">
      <w:pPr>
        <w:pStyle w:val="notesspantable"/>
      </w:pPr>
      <w:r>
        <w:t>Data for sites where a complete year of bills is not available has been extrapolated as per FRD 24C guidelines.</w:t>
      </w:r>
    </w:p>
    <w:p w:rsidR="000D6E6A" w:rsidRDefault="000D6E6A">
      <w:pPr>
        <w:pStyle w:val="notesspantable"/>
      </w:pPr>
      <w:r>
        <w:t>The emission factor for carbon dioxide equivalent is sourced from National Greenhouse Accounts Factor, July 2017.</w:t>
      </w:r>
    </w:p>
    <w:p w:rsidR="000D6E6A" w:rsidRDefault="000D6E6A">
      <w:pPr>
        <w:pStyle w:val="notesspantable"/>
      </w:pPr>
      <w:r>
        <w:t xml:space="preserve">Office energy used per square meter has increased in part due to an increase in FTE associated with the expansion of Community Correction Services and addition of Youth Justice. </w:t>
      </w:r>
    </w:p>
    <w:p w:rsidR="000D6E6A" w:rsidRDefault="000D6E6A">
      <w:pPr>
        <w:pStyle w:val="notesspantable"/>
      </w:pPr>
      <w:r>
        <w:t>The commercial fleet has seen an increase in diesel usage for operational purposes over the period.</w:t>
      </w:r>
    </w:p>
    <w:p w:rsidR="000D6E6A" w:rsidRDefault="000D6E6A">
      <w:pPr>
        <w:pStyle w:val="notesspanlastrowtable"/>
      </w:pPr>
      <w:r>
        <w:t>* This figure represents office-based data only to allow for direct comparison with other government departments, as required by the Commissioner for Environmental Sustainability. It excludes correctional centres and custodial facilities.</w:t>
      </w:r>
    </w:p>
    <w:p w:rsidR="000D6E6A" w:rsidRDefault="000D6E6A">
      <w:pPr>
        <w:pStyle w:val="H3"/>
      </w:pPr>
      <w:r>
        <w:t>Energy</w:t>
      </w:r>
    </w:p>
    <w:p w:rsidR="000D6E6A" w:rsidRDefault="000D6E6A">
      <w:pPr>
        <w:pStyle w:val="Bodycopy"/>
      </w:pPr>
      <w:r>
        <w:t xml:space="preserve">Correctional centres and custodial facilities account for 90 per cent of the department’s energy footprint. Electricity is the primary source of energy for lighting, heating, industry operations and construction works. Natural gas and liquefied petroleum gas (LPG) are used largely for heating and cooling. Since August 2017, Dame Phyllis Frost Centre has transferred to natural gas from bottled gas. Within offices, energy is used for lighting, heating and cooling. </w:t>
      </w:r>
    </w:p>
    <w:p w:rsidR="000D6E6A" w:rsidRDefault="000D6E6A">
      <w:pPr>
        <w:pStyle w:val="Bodycopy"/>
      </w:pPr>
      <w:r>
        <w:t xml:space="preserve">A number of energy reduction projects were implemented during 2017–18, including: </w:t>
      </w:r>
    </w:p>
    <w:p w:rsidR="000D6E6A" w:rsidRDefault="000D6E6A">
      <w:pPr>
        <w:pStyle w:val="BodycopyBullet"/>
      </w:pPr>
      <w:r>
        <w:t>replacement of halogen and incandescent lighting with light emitting diode (LED) lights, pump replacements and repairs of solar hot water systems</w:t>
      </w:r>
    </w:p>
    <w:p w:rsidR="000D6E6A" w:rsidRDefault="000D6E6A">
      <w:pPr>
        <w:pStyle w:val="BodycopyBullet"/>
      </w:pPr>
      <w:r>
        <w:t>participation in Earth Hour, by switching off non-essential lights in the office over a weekend and to promote office energy efficiency</w:t>
      </w:r>
    </w:p>
    <w:p w:rsidR="000D6E6A" w:rsidRDefault="000D6E6A">
      <w:pPr>
        <w:pStyle w:val="BodycopyBullet"/>
      </w:pPr>
      <w:r>
        <w:t>the awarding of a tender for the design and installation of over 1200kW of photovoltaic solar across a number of correctional centres. Detailed design is currently underway with the installation set to commence in the second half of the year.</w:t>
      </w:r>
    </w:p>
    <w:p w:rsidR="000D6E6A" w:rsidRDefault="000D6E6A">
      <w:pPr>
        <w:pStyle w:val="Bodycopy"/>
      </w:pPr>
      <w:r>
        <w:t>The largest tenancy, 121 Exhibition Street, Melbourne, has a National Australian Built Environment Rating System energy rating of 4.5 out of five stars.</w:t>
      </w:r>
    </w:p>
    <w:p w:rsidR="000D6E6A" w:rsidRDefault="000D6E6A">
      <w:pPr>
        <w:pStyle w:val="OutputheaderOutputs"/>
      </w:pPr>
      <w:r>
        <w:t>2017–18 energy target</w:t>
      </w:r>
    </w:p>
    <w:p w:rsidR="000D6E6A" w:rsidRDefault="000D6E6A">
      <w:pPr>
        <w:pStyle w:val="PurpleTextunderlineOutputs"/>
      </w:pPr>
      <w:r>
        <w:t>Reduce energy demand from the grid by installing at least 1200 kilowatts of renewable energy across a number of departmental locations</w:t>
      </w:r>
    </w:p>
    <w:p w:rsidR="000D6E6A" w:rsidRDefault="000D6E6A">
      <w:pPr>
        <w:pStyle w:val="Bodycopyspan"/>
        <w:rPr>
          <w:rStyle w:val="RegularItalic"/>
          <w:i/>
          <w:iCs/>
        </w:rPr>
      </w:pPr>
      <w:r>
        <w:rPr>
          <w:rStyle w:val="RegularItalic"/>
          <w:i/>
          <w:iCs/>
        </w:rPr>
        <w:t>Energy use 2017–18</w:t>
      </w:r>
    </w:p>
    <w:tbl>
      <w:tblPr>
        <w:tblW w:w="0" w:type="auto"/>
        <w:tblInd w:w="57" w:type="dxa"/>
        <w:tblLayout w:type="fixed"/>
        <w:tblCellMar>
          <w:left w:w="0" w:type="dxa"/>
          <w:right w:w="0" w:type="dxa"/>
        </w:tblCellMar>
        <w:tblLook w:firstRow="0" w:lastRow="0" w:firstColumn="0" w:lastColumn="0" w:noHBand="0" w:noVBand="0" w:val="0000"/>
      </w:tblPr>
      <w:tblGrid>
        <w:gridCol w:w="3118"/>
        <w:gridCol w:w="1984"/>
        <w:gridCol w:w="1985"/>
        <w:gridCol w:w="1984"/>
      </w:tblGrid>
      <w:tr w:rsidRPr="00B51F57" w:rsidR="000D6E6A" w:rsidTr="00B51F57">
        <w:tblPrEx>
          <w:tblCellMar>
            <w:top w:w="0" w:type="dxa"/>
            <w:left w:w="0" w:type="dxa"/>
            <w:bottom w:w="0" w:type="dxa"/>
            <w:right w:w="0" w:type="dxa"/>
          </w:tblCellMar>
        </w:tblPrEx>
        <w:trPr>
          <w:trHeight w:val="113"/>
          <w:tblHeader/>
        </w:trPr>
        <w:tc>
          <w:tcPr>
            <w:tcW w:w="9071" w:type="dxa"/>
            <w:gridSpan w:val="4"/>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B51F57" w:rsidR="000D6E6A" w:rsidRDefault="000D6E6A">
            <w:pPr>
              <w:pStyle w:val="bodycopytabletable"/>
            </w:pPr>
            <w:r w:rsidRPr="00B51F57">
              <w:rPr>
                <w:rStyle w:val="mediumpurple"/>
                <w:b/>
                <w:bCs/>
              </w:rPr>
              <w:t>Total energy usage segmented by primary source — megajoules (MJ)</w:t>
            </w:r>
          </w:p>
        </w:tc>
      </w:tr>
      <w:tr w:rsidRPr="00B51F57" w:rsidR="000D6E6A" w:rsidTr="00B51F57">
        <w:tblPrEx>
          <w:tblCellMar>
            <w:top w:w="0" w:type="dxa"/>
            <w:left w:w="0" w:type="dxa"/>
            <w:bottom w:w="0" w:type="dxa"/>
            <w:right w:w="0" w:type="dxa"/>
          </w:tblCellMar>
        </w:tblPrEx>
        <w:trPr>
          <w:trHeight w:val="113"/>
          <w:tblHeader/>
        </w:trPr>
        <w:tc>
          <w:tcPr>
            <w:tcW w:w="3118"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B51F57" w:rsidR="000D6E6A" w:rsidRDefault="000D6E6A">
            <w:pPr>
              <w:pStyle w:val="NoParagraphStyle"/>
              <w:spacing w:line="240" w:lineRule="auto"/>
              <w:textAlignment w:val="auto"/>
              <w:rPr>
                <w:color w:val="auto"/>
                <w:sz w:val="16"/>
                <w:szCs w:val="16"/>
              </w:rPr>
            </w:pPr>
          </w:p>
        </w:tc>
        <w:tc>
          <w:tcPr>
            <w:tcW w:w="1984"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tcPr>
          <w:p w:rsidRPr="00B51F57" w:rsidR="000D6E6A" w:rsidRDefault="000D6E6A">
            <w:pPr>
              <w:pStyle w:val="bodycopytabletable"/>
              <w:jc w:val="right"/>
            </w:pPr>
            <w:r w:rsidRPr="00B51F57">
              <w:rPr>
                <w:rStyle w:val="mediumpurple"/>
                <w:b/>
                <w:bCs/>
              </w:rPr>
              <w:t>Correctional centres and custodial facilities</w:t>
            </w:r>
          </w:p>
        </w:tc>
        <w:tc>
          <w:tcPr>
            <w:tcW w:w="1985"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tcPr>
          <w:p w:rsidRPr="00B51F57" w:rsidR="000D6E6A" w:rsidRDefault="000D6E6A">
            <w:pPr>
              <w:pStyle w:val="bodycopytabletable"/>
              <w:jc w:val="right"/>
            </w:pPr>
            <w:r w:rsidRPr="00B51F57">
              <w:rPr>
                <w:rStyle w:val="mediumpurple"/>
                <w:b/>
                <w:bCs/>
              </w:rPr>
              <w:t>Office</w:t>
            </w:r>
          </w:p>
        </w:tc>
        <w:tc>
          <w:tcPr>
            <w:tcW w:w="1984"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tcPr>
          <w:p w:rsidRPr="00B51F57" w:rsidR="000D6E6A" w:rsidRDefault="000D6E6A">
            <w:pPr>
              <w:pStyle w:val="bodycopytabletable"/>
              <w:jc w:val="right"/>
            </w:pPr>
            <w:r w:rsidRPr="00B51F57">
              <w:rPr>
                <w:rStyle w:val="mediumpurple"/>
                <w:b/>
                <w:bCs/>
              </w:rPr>
              <w:t>Total</w:t>
            </w:r>
          </w:p>
        </w:tc>
      </w:tr>
      <w:tr w:rsidRPr="00B51F57" w:rsidR="000D6E6A" w:rsidTr="00B51F57">
        <w:tblPrEx>
          <w:tblCellMar>
            <w:top w:w="0" w:type="dxa"/>
            <w:left w:w="0" w:type="dxa"/>
            <w:bottom w:w="0" w:type="dxa"/>
            <w:right w:w="0" w:type="dxa"/>
          </w:tblCellMar>
        </w:tblPrEx>
        <w:trPr>
          <w:trHeight w:val="113"/>
        </w:trPr>
        <w:tc>
          <w:tcPr>
            <w:tcW w:w="3118"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pPr>
            <w:r w:rsidRPr="00B51F57">
              <w:t>Electricity</w:t>
            </w:r>
          </w:p>
        </w:tc>
        <w:tc>
          <w:tcPr>
            <w:tcW w:w="1984"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t>150,952,990</w:t>
            </w:r>
          </w:p>
        </w:tc>
        <w:tc>
          <w:tcPr>
            <w:tcW w:w="1985"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t>33,580,757</w:t>
            </w:r>
          </w:p>
        </w:tc>
        <w:tc>
          <w:tcPr>
            <w:tcW w:w="1984"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t>184,533,747</w:t>
            </w:r>
          </w:p>
        </w:tc>
      </w:tr>
      <w:tr w:rsidRPr="00B51F57" w:rsidR="000D6E6A" w:rsidTr="00B51F57">
        <w:tblPrEx>
          <w:tblCellMar>
            <w:top w:w="0" w:type="dxa"/>
            <w:left w:w="0" w:type="dxa"/>
            <w:bottom w:w="0" w:type="dxa"/>
            <w:right w:w="0" w:type="dxa"/>
          </w:tblCellMar>
        </w:tblPrEx>
        <w:trPr>
          <w:trHeight w:val="113"/>
        </w:trPr>
        <w:tc>
          <w:tcPr>
            <w:tcW w:w="3118"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pPr>
            <w:r w:rsidRPr="00B51F57">
              <w:t>Electricity (green power)</w:t>
            </w:r>
          </w:p>
        </w:tc>
        <w:tc>
          <w:tcPr>
            <w:tcW w:w="1984"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t xml:space="preserve"> -   </w:t>
            </w:r>
          </w:p>
        </w:tc>
        <w:tc>
          <w:tcPr>
            <w:tcW w:w="1985"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t>-</w:t>
            </w:r>
          </w:p>
        </w:tc>
        <w:tc>
          <w:tcPr>
            <w:tcW w:w="1984"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t xml:space="preserve"> -   </w:t>
            </w:r>
          </w:p>
        </w:tc>
      </w:tr>
      <w:tr w:rsidRPr="00B51F57" w:rsidR="000D6E6A" w:rsidTr="00B51F57">
        <w:tblPrEx>
          <w:tblCellMar>
            <w:top w:w="0" w:type="dxa"/>
            <w:left w:w="0" w:type="dxa"/>
            <w:bottom w:w="0" w:type="dxa"/>
            <w:right w:w="0" w:type="dxa"/>
          </w:tblCellMar>
        </w:tblPrEx>
        <w:trPr>
          <w:trHeight w:val="113"/>
        </w:trPr>
        <w:tc>
          <w:tcPr>
            <w:tcW w:w="3118"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pPr>
            <w:r w:rsidRPr="00B51F57">
              <w:t>Natural gas</w:t>
            </w:r>
          </w:p>
        </w:tc>
        <w:tc>
          <w:tcPr>
            <w:tcW w:w="1984"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t>167,219,269</w:t>
            </w:r>
          </w:p>
        </w:tc>
        <w:tc>
          <w:tcPr>
            <w:tcW w:w="1985"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t>4,888,375</w:t>
            </w:r>
          </w:p>
        </w:tc>
        <w:tc>
          <w:tcPr>
            <w:tcW w:w="1984"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t>172,107,644</w:t>
            </w:r>
          </w:p>
        </w:tc>
      </w:tr>
      <w:tr w:rsidRPr="00B51F57" w:rsidR="000D6E6A" w:rsidTr="00B51F57">
        <w:tblPrEx>
          <w:tblCellMar>
            <w:top w:w="0" w:type="dxa"/>
            <w:left w:w="0" w:type="dxa"/>
            <w:bottom w:w="0" w:type="dxa"/>
            <w:right w:w="0" w:type="dxa"/>
          </w:tblCellMar>
        </w:tblPrEx>
        <w:trPr>
          <w:trHeight w:val="113"/>
        </w:trPr>
        <w:tc>
          <w:tcPr>
            <w:tcW w:w="3118"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pPr>
            <w:r w:rsidRPr="00B51F57">
              <w:t>LPG</w:t>
            </w:r>
          </w:p>
        </w:tc>
        <w:tc>
          <w:tcPr>
            <w:tcW w:w="1984"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t>29,124,185</w:t>
            </w:r>
          </w:p>
        </w:tc>
        <w:tc>
          <w:tcPr>
            <w:tcW w:w="1985"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t>148,842</w:t>
            </w:r>
          </w:p>
        </w:tc>
        <w:tc>
          <w:tcPr>
            <w:tcW w:w="1984"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t>29,273,027</w:t>
            </w:r>
          </w:p>
        </w:tc>
      </w:tr>
      <w:tr w:rsidRPr="00B51F57" w:rsidR="000D6E6A" w:rsidTr="00B51F57">
        <w:tblPrEx>
          <w:tblCellMar>
            <w:top w:w="0" w:type="dxa"/>
            <w:left w:w="0" w:type="dxa"/>
            <w:bottom w:w="0" w:type="dxa"/>
            <w:right w:w="0" w:type="dxa"/>
          </w:tblCellMar>
        </w:tblPrEx>
        <w:trPr>
          <w:trHeight w:val="113"/>
        </w:trPr>
        <w:tc>
          <w:tcPr>
            <w:tcW w:w="3118" w:type="dxa"/>
            <w:tcBorders>
              <w:top w:val="dotted" w:color="542E8E" w:sz="4" w:space="0"/>
              <w:left w:val="nil"/>
              <w:bottom w:val="single" w:color="542E8E" w:sz="4" w:space="0"/>
              <w:right w:val="nil"/>
            </w:tcBorders>
            <w:tcMar>
              <w:top w:w="57" w:type="dxa"/>
              <w:left w:w="57" w:type="dxa"/>
              <w:bottom w:w="57" w:type="dxa"/>
              <w:right w:w="57" w:type="dxa"/>
            </w:tcMar>
          </w:tcPr>
          <w:p w:rsidRPr="00B51F57" w:rsidR="000D6E6A" w:rsidRDefault="000D6E6A">
            <w:pPr>
              <w:pStyle w:val="bodycopytabletable"/>
            </w:pPr>
            <w:r w:rsidRPr="00B51F57">
              <w:rPr>
                <w:rStyle w:val="medium"/>
                <w:b/>
                <w:bCs/>
              </w:rPr>
              <w:t>Total</w:t>
            </w:r>
          </w:p>
        </w:tc>
        <w:tc>
          <w:tcPr>
            <w:tcW w:w="1984" w:type="dxa"/>
            <w:tcBorders>
              <w:top w:val="dotted" w:color="542E8E" w:sz="4" w:space="0"/>
              <w:left w:val="nil"/>
              <w:bottom w:val="single"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rPr>
                <w:rStyle w:val="medium"/>
                <w:b/>
                <w:bCs/>
              </w:rPr>
              <w:t>347,296,444</w:t>
            </w:r>
          </w:p>
        </w:tc>
        <w:tc>
          <w:tcPr>
            <w:tcW w:w="1985" w:type="dxa"/>
            <w:tcBorders>
              <w:top w:val="dotted" w:color="542E8E" w:sz="4" w:space="0"/>
              <w:left w:val="nil"/>
              <w:bottom w:val="single"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rPr>
                <w:rStyle w:val="medium"/>
                <w:b/>
                <w:bCs/>
              </w:rPr>
              <w:t>38,617,974</w:t>
            </w:r>
          </w:p>
        </w:tc>
        <w:tc>
          <w:tcPr>
            <w:tcW w:w="1984" w:type="dxa"/>
            <w:tcBorders>
              <w:top w:val="dotted" w:color="542E8E" w:sz="4" w:space="0"/>
              <w:left w:val="nil"/>
              <w:bottom w:val="single"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rPr>
                <w:rStyle w:val="medium"/>
                <w:b/>
                <w:bCs/>
              </w:rPr>
              <w:t>385,914,418</w:t>
            </w:r>
          </w:p>
        </w:tc>
      </w:tr>
      <w:tr w:rsidRPr="00B51F57" w:rsidR="000D6E6A" w:rsidTr="00B51F57">
        <w:tblPrEx>
          <w:tblCellMar>
            <w:top w:w="0" w:type="dxa"/>
            <w:left w:w="0" w:type="dxa"/>
            <w:bottom w:w="0" w:type="dxa"/>
            <w:right w:w="0" w:type="dxa"/>
          </w:tblCellMar>
        </w:tblPrEx>
        <w:trPr>
          <w:trHeight w:val="113"/>
        </w:trPr>
        <w:tc>
          <w:tcPr>
            <w:tcW w:w="9071" w:type="dxa"/>
            <w:gridSpan w:val="4"/>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B51F57" w:rsidR="000D6E6A" w:rsidRDefault="000D6E6A">
            <w:pPr>
              <w:pStyle w:val="bodycopytabletable"/>
            </w:pPr>
            <w:r w:rsidRPr="00B51F57">
              <w:rPr>
                <w:rStyle w:val="mediumpurple"/>
                <w:b/>
                <w:bCs/>
              </w:rPr>
              <w:t>Total greenhouse gas emissions segmented by primary source (tonnes of CO2e)</w:t>
            </w:r>
          </w:p>
        </w:tc>
      </w:tr>
      <w:tr w:rsidRPr="00B51F57" w:rsidR="000D6E6A" w:rsidTr="00B51F57">
        <w:tblPrEx>
          <w:tblCellMar>
            <w:top w:w="0" w:type="dxa"/>
            <w:left w:w="0" w:type="dxa"/>
            <w:bottom w:w="0" w:type="dxa"/>
            <w:right w:w="0" w:type="dxa"/>
          </w:tblCellMar>
        </w:tblPrEx>
        <w:trPr>
          <w:trHeight w:val="113"/>
        </w:trPr>
        <w:tc>
          <w:tcPr>
            <w:tcW w:w="3118" w:type="dxa"/>
            <w:tcBorders>
              <w:top w:val="single"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pPr>
            <w:r w:rsidRPr="00B51F57">
              <w:t>Electricity</w:t>
            </w:r>
          </w:p>
        </w:tc>
        <w:tc>
          <w:tcPr>
            <w:tcW w:w="1984" w:type="dxa"/>
            <w:tcBorders>
              <w:top w:val="single"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t>52,834</w:t>
            </w:r>
          </w:p>
        </w:tc>
        <w:tc>
          <w:tcPr>
            <w:tcW w:w="1985" w:type="dxa"/>
            <w:tcBorders>
              <w:top w:val="single"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t>11,753</w:t>
            </w:r>
          </w:p>
        </w:tc>
        <w:tc>
          <w:tcPr>
            <w:tcW w:w="1984" w:type="dxa"/>
            <w:tcBorders>
              <w:top w:val="single"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t>64,587</w:t>
            </w:r>
          </w:p>
        </w:tc>
      </w:tr>
      <w:tr w:rsidRPr="00B51F57" w:rsidR="000D6E6A" w:rsidTr="00B51F57">
        <w:tblPrEx>
          <w:tblCellMar>
            <w:top w:w="0" w:type="dxa"/>
            <w:left w:w="0" w:type="dxa"/>
            <w:bottom w:w="0" w:type="dxa"/>
            <w:right w:w="0" w:type="dxa"/>
          </w:tblCellMar>
        </w:tblPrEx>
        <w:trPr>
          <w:trHeight w:val="113"/>
        </w:trPr>
        <w:tc>
          <w:tcPr>
            <w:tcW w:w="3118"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pPr>
            <w:r w:rsidRPr="00B51F57">
              <w:t>Electricity (green power)</w:t>
            </w:r>
          </w:p>
        </w:tc>
        <w:tc>
          <w:tcPr>
            <w:tcW w:w="1984"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t xml:space="preserve"> -   </w:t>
            </w:r>
          </w:p>
        </w:tc>
        <w:tc>
          <w:tcPr>
            <w:tcW w:w="1985"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t>-</w:t>
            </w:r>
          </w:p>
        </w:tc>
        <w:tc>
          <w:tcPr>
            <w:tcW w:w="1984"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t xml:space="preserve"> -   </w:t>
            </w:r>
          </w:p>
        </w:tc>
      </w:tr>
      <w:tr w:rsidRPr="00B51F57" w:rsidR="000D6E6A" w:rsidTr="00B51F57">
        <w:tblPrEx>
          <w:tblCellMar>
            <w:top w:w="0" w:type="dxa"/>
            <w:left w:w="0" w:type="dxa"/>
            <w:bottom w:w="0" w:type="dxa"/>
            <w:right w:w="0" w:type="dxa"/>
          </w:tblCellMar>
        </w:tblPrEx>
        <w:trPr>
          <w:trHeight w:val="113"/>
        </w:trPr>
        <w:tc>
          <w:tcPr>
            <w:tcW w:w="3118"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pPr>
            <w:r w:rsidRPr="00B51F57">
              <w:t>Natural gas</w:t>
            </w:r>
          </w:p>
        </w:tc>
        <w:tc>
          <w:tcPr>
            <w:tcW w:w="1984"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t>8,617</w:t>
            </w:r>
          </w:p>
        </w:tc>
        <w:tc>
          <w:tcPr>
            <w:tcW w:w="1985"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t>251</w:t>
            </w:r>
          </w:p>
        </w:tc>
        <w:tc>
          <w:tcPr>
            <w:tcW w:w="1984"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t>8,868</w:t>
            </w:r>
          </w:p>
        </w:tc>
      </w:tr>
      <w:tr w:rsidRPr="00B51F57" w:rsidR="000D6E6A" w:rsidTr="00B51F57">
        <w:tblPrEx>
          <w:tblCellMar>
            <w:top w:w="0" w:type="dxa"/>
            <w:left w:w="0" w:type="dxa"/>
            <w:bottom w:w="0" w:type="dxa"/>
            <w:right w:w="0" w:type="dxa"/>
          </w:tblCellMar>
        </w:tblPrEx>
        <w:trPr>
          <w:trHeight w:val="113"/>
        </w:trPr>
        <w:tc>
          <w:tcPr>
            <w:tcW w:w="3118"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B51F57" w:rsidR="000D6E6A" w:rsidRDefault="000D6E6A">
            <w:pPr>
              <w:pStyle w:val="bodycopytabletable"/>
            </w:pPr>
            <w:r w:rsidRPr="00B51F57">
              <w:t>LPG</w:t>
            </w:r>
          </w:p>
        </w:tc>
        <w:tc>
          <w:tcPr>
            <w:tcW w:w="1984"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B51F57" w:rsidR="000D6E6A" w:rsidRDefault="000D6E6A">
            <w:pPr>
              <w:pStyle w:val="bodycopytabletable"/>
              <w:jc w:val="right"/>
            </w:pPr>
            <w:r w:rsidRPr="00B51F57">
              <w:t>1,765</w:t>
            </w:r>
          </w:p>
        </w:tc>
        <w:tc>
          <w:tcPr>
            <w:tcW w:w="1985"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B51F57" w:rsidR="000D6E6A" w:rsidRDefault="000D6E6A">
            <w:pPr>
              <w:pStyle w:val="bodycopytabletable"/>
              <w:jc w:val="right"/>
            </w:pPr>
            <w:r w:rsidRPr="00B51F57">
              <w:t>9</w:t>
            </w:r>
          </w:p>
        </w:tc>
        <w:tc>
          <w:tcPr>
            <w:tcW w:w="1984"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B51F57" w:rsidR="000D6E6A" w:rsidRDefault="000D6E6A">
            <w:pPr>
              <w:pStyle w:val="bodycopytabletable"/>
              <w:jc w:val="right"/>
            </w:pPr>
            <w:r w:rsidRPr="00B51F57">
              <w:t>1,774</w:t>
            </w:r>
          </w:p>
        </w:tc>
      </w:tr>
    </w:tbl>
    <w:p w:rsidR="000D6E6A" w:rsidP="00B51F57" w:rsidRDefault="000D6E6A">
      <w:pPr>
        <w:pStyle w:val="notesspantable"/>
        <w:spacing w:before="60"/>
      </w:pPr>
      <w:r>
        <w:t>Notes</w:t>
      </w:r>
    </w:p>
    <w:p w:rsidR="000D6E6A" w:rsidRDefault="000D6E6A">
      <w:pPr>
        <w:pStyle w:val="notesspantable"/>
      </w:pPr>
      <w:r>
        <w:t>MJ – Megajoule; CO</w:t>
      </w:r>
      <w:r>
        <w:rPr>
          <w:vertAlign w:val="subscript"/>
        </w:rPr>
        <w:t>2</w:t>
      </w:r>
      <w:r>
        <w:t>e – carbon dioxide equivalent; FTE – Full Time Equivalent (staff); m</w:t>
      </w:r>
      <w:r>
        <w:rPr>
          <w:rStyle w:val="Superscript"/>
        </w:rPr>
        <w:t>2</w:t>
      </w:r>
      <w:r>
        <w:t xml:space="preserve"> – square metre.</w:t>
      </w:r>
    </w:p>
    <w:p w:rsidR="000D6E6A" w:rsidRDefault="000D6E6A">
      <w:pPr>
        <w:pStyle w:val="notesspanlastrowtable"/>
        <w:rPr>
          <w:spacing w:val="-2"/>
        </w:rPr>
      </w:pPr>
      <w:r>
        <w:rPr>
          <w:spacing w:val="-2"/>
        </w:rPr>
        <w:t xml:space="preserve">Office-based energy data represents 53 per cent of the department’s total FTE and 16 per cent of the department’s total facility footprint. </w:t>
      </w:r>
    </w:p>
    <w:p w:rsidR="000D6E6A" w:rsidRDefault="000D6E6A">
      <w:pPr>
        <w:pStyle w:val="Bodycopyspan"/>
        <w:rPr>
          <w:rStyle w:val="RegularItalic"/>
          <w:i/>
          <w:iCs/>
        </w:rPr>
      </w:pPr>
      <w:r>
        <w:rPr>
          <w:rStyle w:val="RegularItalic"/>
          <w:i/>
          <w:iCs/>
        </w:rPr>
        <w:lastRenderedPageBreak/>
        <w:t>Energy intensity 2017–18</w:t>
      </w:r>
    </w:p>
    <w:tbl>
      <w:tblPr>
        <w:tblW w:w="0" w:type="auto"/>
        <w:tblInd w:w="57" w:type="dxa"/>
        <w:tblLayout w:type="fixed"/>
        <w:tblCellMar>
          <w:left w:w="0" w:type="dxa"/>
          <w:right w:w="0" w:type="dxa"/>
        </w:tblCellMar>
        <w:tblLook w:firstRow="0" w:lastRow="0" w:firstColumn="0" w:lastColumn="0" w:noHBand="0" w:noVBand="0" w:val="0000"/>
      </w:tblPr>
      <w:tblGrid>
        <w:gridCol w:w="3118"/>
        <w:gridCol w:w="1984"/>
        <w:gridCol w:w="1985"/>
        <w:gridCol w:w="1984"/>
      </w:tblGrid>
      <w:tr w:rsidRPr="00B51F57" w:rsidR="000D6E6A" w:rsidTr="00B51F57">
        <w:tblPrEx>
          <w:tblCellMar>
            <w:top w:w="0" w:type="dxa"/>
            <w:left w:w="0" w:type="dxa"/>
            <w:bottom w:w="0" w:type="dxa"/>
            <w:right w:w="0" w:type="dxa"/>
          </w:tblCellMar>
        </w:tblPrEx>
        <w:trPr>
          <w:trHeight w:val="113"/>
          <w:tblHeader/>
        </w:trPr>
        <w:tc>
          <w:tcPr>
            <w:tcW w:w="9071" w:type="dxa"/>
            <w:gridSpan w:val="4"/>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B51F57" w:rsidR="000D6E6A" w:rsidRDefault="000D6E6A">
            <w:pPr>
              <w:pStyle w:val="bodycopytabletable"/>
            </w:pPr>
            <w:r w:rsidRPr="00B51F57">
              <w:rPr>
                <w:rStyle w:val="mediumpurple"/>
                <w:b/>
                <w:bCs/>
              </w:rPr>
              <w:t>Total energy usage segmented by primary source — megajoules (MJ)</w:t>
            </w:r>
          </w:p>
        </w:tc>
      </w:tr>
      <w:tr w:rsidRPr="00B51F57" w:rsidR="000D6E6A" w:rsidTr="00B51F57">
        <w:tblPrEx>
          <w:tblCellMar>
            <w:top w:w="0" w:type="dxa"/>
            <w:left w:w="0" w:type="dxa"/>
            <w:bottom w:w="0" w:type="dxa"/>
            <w:right w:w="0" w:type="dxa"/>
          </w:tblCellMar>
        </w:tblPrEx>
        <w:trPr>
          <w:trHeight w:val="113"/>
          <w:tblHeader/>
        </w:trPr>
        <w:tc>
          <w:tcPr>
            <w:tcW w:w="3118"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tcPr>
          <w:p w:rsidRPr="00B51F57" w:rsidR="000D6E6A" w:rsidRDefault="000D6E6A">
            <w:pPr>
              <w:pStyle w:val="NoParagraphStyle"/>
              <w:spacing w:line="240" w:lineRule="auto"/>
              <w:textAlignment w:val="auto"/>
              <w:rPr>
                <w:color w:val="auto"/>
                <w:sz w:val="16"/>
                <w:szCs w:val="16"/>
              </w:rPr>
            </w:pPr>
          </w:p>
        </w:tc>
        <w:tc>
          <w:tcPr>
            <w:tcW w:w="1984"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tcPr>
          <w:p w:rsidRPr="00B51F57" w:rsidR="000D6E6A" w:rsidRDefault="000D6E6A">
            <w:pPr>
              <w:pStyle w:val="bodycopytabletable"/>
              <w:jc w:val="right"/>
            </w:pPr>
            <w:r w:rsidRPr="00B51F57">
              <w:rPr>
                <w:rStyle w:val="mediumpurple"/>
                <w:b/>
                <w:bCs/>
              </w:rPr>
              <w:t>Correctional centres and custodial facilities</w:t>
            </w:r>
          </w:p>
        </w:tc>
        <w:tc>
          <w:tcPr>
            <w:tcW w:w="1985"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tcPr>
          <w:p w:rsidRPr="00B51F57" w:rsidR="000D6E6A" w:rsidRDefault="000D6E6A">
            <w:pPr>
              <w:pStyle w:val="bodycopytabletable"/>
              <w:jc w:val="right"/>
            </w:pPr>
            <w:r w:rsidRPr="00B51F57">
              <w:rPr>
                <w:rStyle w:val="mediumpurple"/>
                <w:b/>
                <w:bCs/>
              </w:rPr>
              <w:t>Office</w:t>
            </w:r>
          </w:p>
        </w:tc>
        <w:tc>
          <w:tcPr>
            <w:tcW w:w="1984"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tcPr>
          <w:p w:rsidRPr="00B51F57" w:rsidR="000D6E6A" w:rsidRDefault="000D6E6A">
            <w:pPr>
              <w:pStyle w:val="bodycopytabletable"/>
              <w:jc w:val="right"/>
            </w:pPr>
            <w:r w:rsidRPr="00B51F57">
              <w:rPr>
                <w:rStyle w:val="mediumpurple"/>
                <w:b/>
                <w:bCs/>
              </w:rPr>
              <w:t>Average</w:t>
            </w:r>
          </w:p>
        </w:tc>
      </w:tr>
      <w:tr w:rsidRPr="00B51F57" w:rsidR="000D6E6A" w:rsidTr="00B51F57">
        <w:tblPrEx>
          <w:tblCellMar>
            <w:top w:w="0" w:type="dxa"/>
            <w:left w:w="0" w:type="dxa"/>
            <w:bottom w:w="0" w:type="dxa"/>
            <w:right w:w="0" w:type="dxa"/>
          </w:tblCellMar>
        </w:tblPrEx>
        <w:trPr>
          <w:trHeight w:val="113"/>
        </w:trPr>
        <w:tc>
          <w:tcPr>
            <w:tcW w:w="3118"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pPr>
            <w:r w:rsidRPr="00B51F57">
              <w:t>Energy used per person (MJ/FTE)</w:t>
            </w:r>
          </w:p>
        </w:tc>
        <w:tc>
          <w:tcPr>
            <w:tcW w:w="1984"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t>-</w:t>
            </w:r>
          </w:p>
        </w:tc>
        <w:tc>
          <w:tcPr>
            <w:tcW w:w="1985"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t>7,933*</w:t>
            </w:r>
          </w:p>
        </w:tc>
        <w:tc>
          <w:tcPr>
            <w:tcW w:w="1984"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t>-</w:t>
            </w:r>
          </w:p>
        </w:tc>
      </w:tr>
      <w:tr w:rsidRPr="00B51F57" w:rsidR="000D6E6A" w:rsidTr="00B51F57">
        <w:tblPrEx>
          <w:tblCellMar>
            <w:top w:w="0" w:type="dxa"/>
            <w:left w:w="0" w:type="dxa"/>
            <w:bottom w:w="0" w:type="dxa"/>
            <w:right w:w="0" w:type="dxa"/>
          </w:tblCellMar>
        </w:tblPrEx>
        <w:trPr>
          <w:trHeight w:val="113"/>
        </w:trPr>
        <w:tc>
          <w:tcPr>
            <w:tcW w:w="3118"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B51F57" w:rsidR="000D6E6A" w:rsidRDefault="000D6E6A">
            <w:pPr>
              <w:pStyle w:val="bodycopytabletable"/>
            </w:pPr>
            <w:r w:rsidRPr="00B51F57">
              <w:t>Energy used per unit of space (MJ/m2)</w:t>
            </w:r>
          </w:p>
        </w:tc>
        <w:tc>
          <w:tcPr>
            <w:tcW w:w="1984"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B51F57" w:rsidR="000D6E6A" w:rsidRDefault="000D6E6A">
            <w:pPr>
              <w:pStyle w:val="bodycopytabletable"/>
              <w:jc w:val="right"/>
            </w:pPr>
            <w:r w:rsidRPr="00B51F57">
              <w:t>1,266</w:t>
            </w:r>
          </w:p>
        </w:tc>
        <w:tc>
          <w:tcPr>
            <w:tcW w:w="1985"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B51F57" w:rsidR="000D6E6A" w:rsidRDefault="000D6E6A">
            <w:pPr>
              <w:pStyle w:val="bodycopytabletable"/>
              <w:jc w:val="right"/>
            </w:pPr>
            <w:r w:rsidRPr="00B51F57">
              <w:t>367</w:t>
            </w:r>
          </w:p>
        </w:tc>
        <w:tc>
          <w:tcPr>
            <w:tcW w:w="1984"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B51F57" w:rsidR="000D6E6A" w:rsidRDefault="000D6E6A">
            <w:pPr>
              <w:pStyle w:val="bodycopytabletable"/>
              <w:jc w:val="right"/>
            </w:pPr>
            <w:r w:rsidRPr="00B51F57">
              <w:t>1,016**</w:t>
            </w:r>
          </w:p>
        </w:tc>
      </w:tr>
    </w:tbl>
    <w:p w:rsidR="000D6E6A" w:rsidP="00B51F57" w:rsidRDefault="000D6E6A">
      <w:pPr>
        <w:pStyle w:val="notesspantable"/>
        <w:spacing w:before="60"/>
      </w:pPr>
      <w:r>
        <w:t>Notes:</w:t>
      </w:r>
    </w:p>
    <w:p w:rsidR="000D6E6A" w:rsidRDefault="000D6E6A">
      <w:pPr>
        <w:pStyle w:val="notesspantable"/>
      </w:pPr>
      <w:r>
        <w:t>MJ – Megajoule; FTE – Full Time Equivalent (staff); m</w:t>
      </w:r>
      <w:r>
        <w:rPr>
          <w:rStyle w:val="Superscript"/>
        </w:rPr>
        <w:t>2</w:t>
      </w:r>
      <w:r>
        <w:t xml:space="preserve"> – square metre.</w:t>
      </w:r>
    </w:p>
    <w:p w:rsidR="000D6E6A" w:rsidRDefault="000D6E6A">
      <w:pPr>
        <w:pStyle w:val="notesspantable"/>
      </w:pPr>
      <w:r>
        <w:t>*Energy used per FTE (MJ/FTE) is applicable only to office-based buildings; usage for operational facilities cannot be apportioned against FTE use only.</w:t>
      </w:r>
    </w:p>
    <w:p w:rsidR="000D6E6A" w:rsidRDefault="000D6E6A">
      <w:pPr>
        <w:pStyle w:val="notesspanlastrowtable"/>
      </w:pPr>
      <w:r>
        <w:t>**This reflects the average MJ consumed per m</w:t>
      </w:r>
      <w:r>
        <w:rPr>
          <w:rStyle w:val="Superscript"/>
        </w:rPr>
        <w:t>2</w:t>
      </w:r>
      <w:r>
        <w:t xml:space="preserve"> across the department (correctional centres, custodial facilities and offices).</w:t>
      </w:r>
    </w:p>
    <w:p w:rsidR="000D6E6A" w:rsidRDefault="000D6E6A">
      <w:pPr>
        <w:pStyle w:val="H3"/>
      </w:pPr>
      <w:r>
        <w:t>Water</w:t>
      </w:r>
    </w:p>
    <w:p w:rsidR="000D6E6A" w:rsidRDefault="000D6E6A">
      <w:pPr>
        <w:pStyle w:val="Bodycopy"/>
      </w:pPr>
      <w:r>
        <w:t xml:space="preserve">Water usage at correctional centres and custodial facilities accounts for 94 per cent of the department’s total water consumption. Primary areas for water consumption are prison industries, kitchen operations and bathrooms. </w:t>
      </w:r>
    </w:p>
    <w:p w:rsidR="000D6E6A" w:rsidRDefault="000D6E6A">
      <w:pPr>
        <w:pStyle w:val="Bodycopy"/>
      </w:pPr>
      <w:r>
        <w:t>For offices, water is largely used for cooling towers, bathroom/kitchen amenity and consumption. The largest tenancy, 121 Exhibition Street, Melbourne, has a National Australian Built Environment Rating System water rating of three out of five stars.</w:t>
      </w:r>
    </w:p>
    <w:p w:rsidR="000D6E6A" w:rsidRDefault="000D6E6A">
      <w:pPr>
        <w:pStyle w:val="Bodycopy"/>
      </w:pPr>
      <w:r>
        <w:t>Departmental water reduction projects include:</w:t>
      </w:r>
    </w:p>
    <w:p w:rsidR="000D6E6A" w:rsidRDefault="000D6E6A">
      <w:pPr>
        <w:pStyle w:val="BodycopyBullet"/>
      </w:pPr>
      <w:r>
        <w:t>increasing the department’s water harvesting tank capacity to over 7,000kL</w:t>
      </w:r>
    </w:p>
    <w:p w:rsidR="000D6E6A" w:rsidRDefault="000D6E6A">
      <w:pPr>
        <w:pStyle w:val="BodycopyBulletspaceunder"/>
      </w:pPr>
      <w:r>
        <w:t xml:space="preserve">site preparation works for the installation of a pipe and riser irrigation system at </w:t>
      </w:r>
      <w:proofErr w:type="spellStart"/>
      <w:r>
        <w:t>Dhurringile</w:t>
      </w:r>
      <w:proofErr w:type="spellEnd"/>
      <w:r>
        <w:t xml:space="preserve"> Prison, replacing the outdated and inefficient open channel irrigation, which is expected to save 396,000kL of water annually.</w:t>
      </w:r>
    </w:p>
    <w:p w:rsidR="000D6E6A" w:rsidRDefault="000D6E6A">
      <w:pPr>
        <w:pStyle w:val="Bodycopy"/>
      </w:pPr>
      <w:r>
        <w:t xml:space="preserve">The department is developing landscape guides for each correctional </w:t>
      </w:r>
      <w:proofErr w:type="gramStart"/>
      <w:r>
        <w:t>centres</w:t>
      </w:r>
      <w:proofErr w:type="gramEnd"/>
      <w:r>
        <w:t xml:space="preserve"> to establish and maintain green spaces to use less water. These guides have been assessed against security and plant toxicology standards. It is anticipated that the landscape guides will be finalised by the end of the year.</w:t>
      </w:r>
    </w:p>
    <w:p w:rsidR="000D6E6A" w:rsidRDefault="000D6E6A">
      <w:pPr>
        <w:pStyle w:val="OutputheaderOutputs"/>
      </w:pPr>
      <w:r>
        <w:t xml:space="preserve">2017–19 water target </w:t>
      </w:r>
    </w:p>
    <w:p w:rsidR="000D6E6A" w:rsidRDefault="000D6E6A">
      <w:pPr>
        <w:pStyle w:val="PurpleTextunderlineOutputs"/>
      </w:pPr>
      <w:r>
        <w:t>Improve water management practices across the department through landscaping and harvested water irrigation measures.</w:t>
      </w:r>
    </w:p>
    <w:p w:rsidR="000D6E6A" w:rsidRDefault="000D6E6A">
      <w:pPr>
        <w:pStyle w:val="Bodycopyspan"/>
        <w:rPr>
          <w:rStyle w:val="RegularItalic"/>
          <w:i/>
          <w:iCs/>
        </w:rPr>
      </w:pPr>
      <w:r>
        <w:rPr>
          <w:rStyle w:val="RegularItalic"/>
          <w:i/>
          <w:iCs/>
        </w:rPr>
        <w:t>Total department potable water usage 2017–18</w:t>
      </w:r>
    </w:p>
    <w:tbl>
      <w:tblPr>
        <w:tblW w:w="0" w:type="auto"/>
        <w:tblInd w:w="57" w:type="dxa"/>
        <w:tblLayout w:type="fixed"/>
        <w:tblCellMar>
          <w:left w:w="0" w:type="dxa"/>
          <w:right w:w="0" w:type="dxa"/>
        </w:tblCellMar>
        <w:tblLook w:firstRow="0" w:lastRow="0" w:firstColumn="0" w:lastColumn="0" w:noHBand="0" w:noVBand="0" w:val="0000"/>
      </w:tblPr>
      <w:tblGrid>
        <w:gridCol w:w="3118"/>
        <w:gridCol w:w="1984"/>
        <w:gridCol w:w="1985"/>
        <w:gridCol w:w="1984"/>
      </w:tblGrid>
      <w:tr w:rsidRPr="00B51F57" w:rsidR="000D6E6A">
        <w:tblPrEx>
          <w:tblCellMar>
            <w:top w:w="0" w:type="dxa"/>
            <w:left w:w="0" w:type="dxa"/>
            <w:bottom w:w="0" w:type="dxa"/>
            <w:right w:w="0" w:type="dxa"/>
          </w:tblCellMar>
        </w:tblPrEx>
        <w:trPr>
          <w:trHeight w:val="62"/>
          <w:tblHeader/>
        </w:trPr>
        <w:tc>
          <w:tcPr>
            <w:tcW w:w="3118" w:type="dxa"/>
            <w:tcBorders>
              <w:top w:val="dotted" w:color="000000" w:sz="6" w:space="0"/>
              <w:left w:val="nil"/>
              <w:bottom w:val="single" w:color="542E8E" w:sz="6" w:space="0"/>
              <w:right w:val="nil"/>
            </w:tcBorders>
            <w:shd w:val="solid" w:color="FFFFFF" w:fill="auto"/>
            <w:tcMar>
              <w:top w:w="68" w:type="dxa"/>
              <w:left w:w="57" w:type="dxa"/>
              <w:bottom w:w="68" w:type="dxa"/>
              <w:right w:w="57" w:type="dxa"/>
            </w:tcMar>
            <w:vAlign w:val="bottom"/>
          </w:tcPr>
          <w:p w:rsidRPr="00B51F57" w:rsidR="000D6E6A" w:rsidRDefault="000D6E6A">
            <w:pPr>
              <w:pStyle w:val="NoParagraphStyle"/>
              <w:spacing w:line="240" w:lineRule="auto"/>
              <w:textAlignment w:val="auto"/>
              <w:rPr>
                <w:color w:val="auto"/>
                <w:sz w:val="16"/>
                <w:szCs w:val="16"/>
              </w:rPr>
            </w:pPr>
          </w:p>
        </w:tc>
        <w:tc>
          <w:tcPr>
            <w:tcW w:w="1984" w:type="dxa"/>
            <w:tcBorders>
              <w:top w:val="dotted" w:color="000000" w:sz="6" w:space="0"/>
              <w:left w:val="nil"/>
              <w:bottom w:val="single" w:color="542E8E" w:sz="6" w:space="0"/>
              <w:right w:val="nil"/>
            </w:tcBorders>
            <w:shd w:val="solid" w:color="FFFFFF" w:fill="auto"/>
            <w:tcMar>
              <w:top w:w="68" w:type="dxa"/>
              <w:left w:w="57" w:type="dxa"/>
              <w:bottom w:w="68" w:type="dxa"/>
              <w:right w:w="57" w:type="dxa"/>
            </w:tcMar>
            <w:vAlign w:val="bottom"/>
          </w:tcPr>
          <w:p w:rsidRPr="00B51F57" w:rsidR="000D6E6A" w:rsidRDefault="000D6E6A">
            <w:pPr>
              <w:pStyle w:val="bodycopytabletable"/>
              <w:jc w:val="right"/>
            </w:pPr>
            <w:r w:rsidRPr="00B51F57">
              <w:rPr>
                <w:rStyle w:val="mediumpurple"/>
                <w:b/>
                <w:bCs/>
              </w:rPr>
              <w:t>Correctional centres and custodial facilities</w:t>
            </w:r>
          </w:p>
        </w:tc>
        <w:tc>
          <w:tcPr>
            <w:tcW w:w="1985" w:type="dxa"/>
            <w:tcBorders>
              <w:top w:val="dotted" w:color="000000" w:sz="6" w:space="0"/>
              <w:left w:val="nil"/>
              <w:bottom w:val="single" w:color="542E8E" w:sz="6" w:space="0"/>
              <w:right w:val="nil"/>
            </w:tcBorders>
            <w:shd w:val="solid" w:color="FFFFFF" w:fill="auto"/>
            <w:tcMar>
              <w:top w:w="68" w:type="dxa"/>
              <w:left w:w="57" w:type="dxa"/>
              <w:bottom w:w="68" w:type="dxa"/>
              <w:right w:w="57" w:type="dxa"/>
            </w:tcMar>
            <w:vAlign w:val="bottom"/>
          </w:tcPr>
          <w:p w:rsidRPr="00B51F57" w:rsidR="000D6E6A" w:rsidRDefault="000D6E6A">
            <w:pPr>
              <w:pStyle w:val="bodycopytabletable"/>
              <w:jc w:val="right"/>
            </w:pPr>
            <w:r w:rsidRPr="00B51F57">
              <w:rPr>
                <w:rStyle w:val="mediumpurple"/>
                <w:b/>
                <w:bCs/>
              </w:rPr>
              <w:t>Office</w:t>
            </w:r>
          </w:p>
        </w:tc>
        <w:tc>
          <w:tcPr>
            <w:tcW w:w="1984" w:type="dxa"/>
            <w:tcBorders>
              <w:top w:val="dotted" w:color="000000" w:sz="6" w:space="0"/>
              <w:left w:val="nil"/>
              <w:bottom w:val="single" w:color="542E8E" w:sz="6" w:space="0"/>
              <w:right w:val="nil"/>
            </w:tcBorders>
            <w:shd w:val="solid" w:color="FFFFFF" w:fill="auto"/>
            <w:tcMar>
              <w:top w:w="68" w:type="dxa"/>
              <w:left w:w="57" w:type="dxa"/>
              <w:bottom w:w="68" w:type="dxa"/>
              <w:right w:w="57" w:type="dxa"/>
            </w:tcMar>
            <w:vAlign w:val="bottom"/>
          </w:tcPr>
          <w:p w:rsidRPr="00B51F57" w:rsidR="000D6E6A" w:rsidRDefault="000D6E6A">
            <w:pPr>
              <w:pStyle w:val="bodycopytabletable"/>
              <w:jc w:val="right"/>
            </w:pPr>
            <w:r w:rsidRPr="00B51F57">
              <w:rPr>
                <w:rStyle w:val="mediumpurple"/>
                <w:b/>
                <w:bCs/>
              </w:rPr>
              <w:t>Total</w:t>
            </w:r>
          </w:p>
        </w:tc>
      </w:tr>
      <w:tr w:rsidRPr="00B51F57" w:rsidR="000D6E6A">
        <w:tblPrEx>
          <w:tblCellMar>
            <w:top w:w="0" w:type="dxa"/>
            <w:left w:w="0" w:type="dxa"/>
            <w:bottom w:w="0" w:type="dxa"/>
            <w:right w:w="0" w:type="dxa"/>
          </w:tblCellMar>
        </w:tblPrEx>
        <w:trPr>
          <w:trHeight w:val="90"/>
        </w:trPr>
        <w:tc>
          <w:tcPr>
            <w:tcW w:w="3118" w:type="dxa"/>
            <w:tcBorders>
              <w:top w:val="dotted" w:color="542E8E" w:sz="4" w:space="0"/>
              <w:left w:val="nil"/>
              <w:bottom w:val="single" w:color="542E8E" w:sz="4" w:space="0"/>
              <w:right w:val="nil"/>
            </w:tcBorders>
            <w:shd w:val="solid" w:color="FFFFFF" w:fill="auto"/>
            <w:tcMar>
              <w:top w:w="68" w:type="dxa"/>
              <w:left w:w="57" w:type="dxa"/>
              <w:bottom w:w="68" w:type="dxa"/>
              <w:right w:w="57" w:type="dxa"/>
            </w:tcMar>
            <w:vAlign w:val="center"/>
          </w:tcPr>
          <w:p w:rsidRPr="00B51F57" w:rsidR="000D6E6A" w:rsidRDefault="000D6E6A">
            <w:pPr>
              <w:pStyle w:val="bodycopytabletable"/>
            </w:pPr>
            <w:r w:rsidRPr="00B51F57">
              <w:t>Kilolitres</w:t>
            </w:r>
          </w:p>
        </w:tc>
        <w:tc>
          <w:tcPr>
            <w:tcW w:w="1984" w:type="dxa"/>
            <w:tcBorders>
              <w:top w:val="dotted" w:color="542E8E" w:sz="4" w:space="0"/>
              <w:left w:val="nil"/>
              <w:bottom w:val="single" w:color="542E8E" w:sz="4" w:space="0"/>
              <w:right w:val="nil"/>
            </w:tcBorders>
            <w:shd w:val="solid" w:color="FFFFFF" w:fill="auto"/>
            <w:tcMar>
              <w:top w:w="68" w:type="dxa"/>
              <w:left w:w="57" w:type="dxa"/>
              <w:bottom w:w="68" w:type="dxa"/>
              <w:right w:w="57" w:type="dxa"/>
            </w:tcMar>
            <w:vAlign w:val="center"/>
          </w:tcPr>
          <w:p w:rsidRPr="00B51F57" w:rsidR="000D6E6A" w:rsidRDefault="000D6E6A">
            <w:pPr>
              <w:pStyle w:val="bodycopytabletable"/>
              <w:jc w:val="right"/>
            </w:pPr>
            <w:r w:rsidRPr="00B51F57">
              <w:t>711,096</w:t>
            </w:r>
          </w:p>
        </w:tc>
        <w:tc>
          <w:tcPr>
            <w:tcW w:w="1985" w:type="dxa"/>
            <w:tcBorders>
              <w:top w:val="dotted" w:color="542E8E" w:sz="4" w:space="0"/>
              <w:left w:val="nil"/>
              <w:bottom w:val="single" w:color="542E8E" w:sz="4" w:space="0"/>
              <w:right w:val="nil"/>
            </w:tcBorders>
            <w:shd w:val="solid" w:color="FFFFFF" w:fill="auto"/>
            <w:tcMar>
              <w:top w:w="68" w:type="dxa"/>
              <w:left w:w="57" w:type="dxa"/>
              <w:bottom w:w="68" w:type="dxa"/>
              <w:right w:w="57" w:type="dxa"/>
            </w:tcMar>
            <w:vAlign w:val="center"/>
          </w:tcPr>
          <w:p w:rsidRPr="00B51F57" w:rsidR="000D6E6A" w:rsidRDefault="000D6E6A">
            <w:pPr>
              <w:pStyle w:val="bodycopytabletable"/>
              <w:jc w:val="right"/>
            </w:pPr>
            <w:r w:rsidRPr="00B51F57">
              <w:t>49,054</w:t>
            </w:r>
          </w:p>
        </w:tc>
        <w:tc>
          <w:tcPr>
            <w:tcW w:w="1984" w:type="dxa"/>
            <w:tcBorders>
              <w:top w:val="dotted" w:color="542E8E" w:sz="4" w:space="0"/>
              <w:left w:val="nil"/>
              <w:bottom w:val="single" w:color="542E8E" w:sz="4" w:space="0"/>
              <w:right w:val="nil"/>
            </w:tcBorders>
            <w:shd w:val="solid" w:color="FFFFFF" w:fill="auto"/>
            <w:tcMar>
              <w:top w:w="68" w:type="dxa"/>
              <w:left w:w="57" w:type="dxa"/>
              <w:bottom w:w="68" w:type="dxa"/>
              <w:right w:w="57" w:type="dxa"/>
            </w:tcMar>
            <w:vAlign w:val="center"/>
          </w:tcPr>
          <w:p w:rsidRPr="00B51F57" w:rsidR="000D6E6A" w:rsidRDefault="000D6E6A">
            <w:pPr>
              <w:pStyle w:val="bodycopytabletable"/>
              <w:jc w:val="right"/>
            </w:pPr>
            <w:r w:rsidRPr="00B51F57">
              <w:t>760,150</w:t>
            </w:r>
          </w:p>
        </w:tc>
      </w:tr>
    </w:tbl>
    <w:p w:rsidR="000D6E6A" w:rsidP="00B51F57" w:rsidRDefault="000D6E6A">
      <w:pPr>
        <w:pStyle w:val="notesspantable"/>
        <w:spacing w:before="60"/>
      </w:pPr>
      <w:r>
        <w:t>Notes:</w:t>
      </w:r>
    </w:p>
    <w:p w:rsidR="000D6E6A" w:rsidRDefault="000D6E6A">
      <w:pPr>
        <w:pStyle w:val="notesspantable"/>
      </w:pPr>
      <w:r>
        <w:t>Potable water – water that is safe or suitable for drinking. Consumption relates to metered and billed supplies only.</w:t>
      </w:r>
    </w:p>
    <w:p w:rsidR="000D6E6A" w:rsidRDefault="000D6E6A">
      <w:pPr>
        <w:pStyle w:val="notesspanlastrowtable"/>
      </w:pPr>
      <w:r>
        <w:t>Office water data covers 53 per cent of the department’s total FTE and 6 per cent of the department’s total facility footprint.</w:t>
      </w:r>
    </w:p>
    <w:p w:rsidR="000D6E6A" w:rsidRDefault="000D6E6A">
      <w:pPr>
        <w:pStyle w:val="Bodycopyspan"/>
        <w:rPr>
          <w:rStyle w:val="RegularItalic"/>
          <w:i/>
          <w:iCs/>
        </w:rPr>
      </w:pPr>
      <w:r>
        <w:rPr>
          <w:rStyle w:val="RegularItalic"/>
          <w:i/>
          <w:iCs/>
        </w:rPr>
        <w:t>Potable water usage intensity 2017–18</w:t>
      </w:r>
    </w:p>
    <w:tbl>
      <w:tblPr>
        <w:tblW w:w="0" w:type="auto"/>
        <w:tblInd w:w="57" w:type="dxa"/>
        <w:tblLayout w:type="fixed"/>
        <w:tblCellMar>
          <w:left w:w="0" w:type="dxa"/>
          <w:right w:w="0" w:type="dxa"/>
        </w:tblCellMar>
        <w:tblLook w:firstRow="0" w:lastRow="0" w:firstColumn="0" w:lastColumn="0" w:noHBand="0" w:noVBand="0" w:val="0000"/>
      </w:tblPr>
      <w:tblGrid>
        <w:gridCol w:w="3118"/>
        <w:gridCol w:w="1984"/>
        <w:gridCol w:w="1985"/>
        <w:gridCol w:w="1984"/>
      </w:tblGrid>
      <w:tr w:rsidRPr="00B51F57" w:rsidR="000D6E6A">
        <w:tblPrEx>
          <w:tblCellMar>
            <w:top w:w="0" w:type="dxa"/>
            <w:left w:w="0" w:type="dxa"/>
            <w:bottom w:w="0" w:type="dxa"/>
            <w:right w:w="0" w:type="dxa"/>
          </w:tblCellMar>
        </w:tblPrEx>
        <w:trPr>
          <w:trHeight w:val="62"/>
          <w:tblHeader/>
        </w:trPr>
        <w:tc>
          <w:tcPr>
            <w:tcW w:w="3118" w:type="dxa"/>
            <w:tcBorders>
              <w:top w:val="dotted" w:color="000000" w:sz="6" w:space="0"/>
              <w:left w:val="nil"/>
              <w:bottom w:val="single" w:color="542E8E" w:sz="6" w:space="0"/>
              <w:right w:val="nil"/>
            </w:tcBorders>
            <w:shd w:val="solid" w:color="FFFFFF" w:fill="auto"/>
            <w:tcMar>
              <w:top w:w="68" w:type="dxa"/>
              <w:left w:w="57" w:type="dxa"/>
              <w:bottom w:w="68" w:type="dxa"/>
              <w:right w:w="57" w:type="dxa"/>
            </w:tcMar>
            <w:vAlign w:val="bottom"/>
          </w:tcPr>
          <w:p w:rsidRPr="00B51F57" w:rsidR="000D6E6A" w:rsidRDefault="000D6E6A">
            <w:pPr>
              <w:pStyle w:val="NoParagraphStyle"/>
              <w:spacing w:line="240" w:lineRule="auto"/>
              <w:textAlignment w:val="auto"/>
              <w:rPr>
                <w:color w:val="auto"/>
                <w:sz w:val="12"/>
                <w:szCs w:val="12"/>
              </w:rPr>
            </w:pPr>
          </w:p>
        </w:tc>
        <w:tc>
          <w:tcPr>
            <w:tcW w:w="1984" w:type="dxa"/>
            <w:tcBorders>
              <w:top w:val="dotted" w:color="000000" w:sz="6" w:space="0"/>
              <w:left w:val="nil"/>
              <w:bottom w:val="single" w:color="542E8E" w:sz="6" w:space="0"/>
              <w:right w:val="nil"/>
            </w:tcBorders>
            <w:shd w:val="solid" w:color="FFFFFF" w:fill="auto"/>
            <w:tcMar>
              <w:top w:w="68" w:type="dxa"/>
              <w:left w:w="57" w:type="dxa"/>
              <w:bottom w:w="68" w:type="dxa"/>
              <w:right w:w="57" w:type="dxa"/>
            </w:tcMar>
            <w:vAlign w:val="bottom"/>
          </w:tcPr>
          <w:p w:rsidRPr="00B51F57" w:rsidR="000D6E6A" w:rsidRDefault="000D6E6A">
            <w:pPr>
              <w:pStyle w:val="bodycopytabletable"/>
              <w:jc w:val="right"/>
              <w:rPr>
                <w:sz w:val="12"/>
                <w:szCs w:val="12"/>
              </w:rPr>
            </w:pPr>
            <w:r w:rsidRPr="00B51F57">
              <w:rPr>
                <w:rStyle w:val="mediumpurple"/>
                <w:b/>
                <w:bCs/>
                <w:sz w:val="12"/>
                <w:szCs w:val="12"/>
              </w:rPr>
              <w:t>Correctional centres and custodial facilities</w:t>
            </w:r>
          </w:p>
        </w:tc>
        <w:tc>
          <w:tcPr>
            <w:tcW w:w="1985" w:type="dxa"/>
            <w:tcBorders>
              <w:top w:val="dotted" w:color="000000" w:sz="6" w:space="0"/>
              <w:left w:val="nil"/>
              <w:bottom w:val="single" w:color="542E8E" w:sz="6" w:space="0"/>
              <w:right w:val="nil"/>
            </w:tcBorders>
            <w:shd w:val="solid" w:color="FFFFFF" w:fill="auto"/>
            <w:tcMar>
              <w:top w:w="68" w:type="dxa"/>
              <w:left w:w="57" w:type="dxa"/>
              <w:bottom w:w="68" w:type="dxa"/>
              <w:right w:w="57" w:type="dxa"/>
            </w:tcMar>
            <w:vAlign w:val="bottom"/>
          </w:tcPr>
          <w:p w:rsidRPr="00B51F57" w:rsidR="000D6E6A" w:rsidRDefault="000D6E6A">
            <w:pPr>
              <w:pStyle w:val="bodycopytabletable"/>
              <w:jc w:val="right"/>
              <w:rPr>
                <w:sz w:val="12"/>
                <w:szCs w:val="12"/>
              </w:rPr>
            </w:pPr>
            <w:r w:rsidRPr="00B51F57">
              <w:rPr>
                <w:rStyle w:val="mediumpurple"/>
                <w:b/>
                <w:bCs/>
                <w:sz w:val="12"/>
                <w:szCs w:val="12"/>
              </w:rPr>
              <w:t>Office</w:t>
            </w:r>
          </w:p>
        </w:tc>
        <w:tc>
          <w:tcPr>
            <w:tcW w:w="1984" w:type="dxa"/>
            <w:tcBorders>
              <w:top w:val="dotted" w:color="000000" w:sz="6" w:space="0"/>
              <w:left w:val="nil"/>
              <w:bottom w:val="single" w:color="542E8E" w:sz="6" w:space="0"/>
              <w:right w:val="nil"/>
            </w:tcBorders>
            <w:shd w:val="solid" w:color="FFFFFF" w:fill="auto"/>
            <w:tcMar>
              <w:top w:w="68" w:type="dxa"/>
              <w:left w:w="57" w:type="dxa"/>
              <w:bottom w:w="68" w:type="dxa"/>
              <w:right w:w="57" w:type="dxa"/>
            </w:tcMar>
            <w:vAlign w:val="bottom"/>
          </w:tcPr>
          <w:p w:rsidRPr="00B51F57" w:rsidR="000D6E6A" w:rsidRDefault="000D6E6A">
            <w:pPr>
              <w:pStyle w:val="bodycopytabletable"/>
              <w:jc w:val="right"/>
              <w:rPr>
                <w:sz w:val="12"/>
                <w:szCs w:val="12"/>
              </w:rPr>
            </w:pPr>
            <w:r w:rsidRPr="00B51F57">
              <w:rPr>
                <w:rStyle w:val="mediumpurple"/>
                <w:b/>
                <w:bCs/>
                <w:sz w:val="12"/>
                <w:szCs w:val="12"/>
              </w:rPr>
              <w:t>Average</w:t>
            </w:r>
          </w:p>
        </w:tc>
      </w:tr>
      <w:tr w:rsidRPr="00B51F57" w:rsidR="000D6E6A">
        <w:tblPrEx>
          <w:tblCellMar>
            <w:top w:w="0" w:type="dxa"/>
            <w:left w:w="0" w:type="dxa"/>
            <w:bottom w:w="0" w:type="dxa"/>
            <w:right w:w="0" w:type="dxa"/>
          </w:tblCellMar>
        </w:tblPrEx>
        <w:trPr>
          <w:trHeight w:val="90"/>
        </w:trPr>
        <w:tc>
          <w:tcPr>
            <w:tcW w:w="3118" w:type="dxa"/>
            <w:tcBorders>
              <w:top w:val="dotted" w:color="542E8E" w:sz="4" w:space="0"/>
              <w:left w:val="nil"/>
              <w:bottom w:val="dotted" w:color="542E8E" w:sz="4" w:space="0"/>
              <w:right w:val="nil"/>
            </w:tcBorders>
            <w:tcMar>
              <w:top w:w="68" w:type="dxa"/>
              <w:left w:w="57" w:type="dxa"/>
              <w:bottom w:w="68" w:type="dxa"/>
              <w:right w:w="57" w:type="dxa"/>
            </w:tcMar>
          </w:tcPr>
          <w:p w:rsidRPr="00B51F57" w:rsidR="000D6E6A" w:rsidRDefault="000D6E6A">
            <w:pPr>
              <w:pStyle w:val="bodycopytabletable"/>
              <w:rPr>
                <w:sz w:val="12"/>
                <w:szCs w:val="12"/>
              </w:rPr>
            </w:pPr>
            <w:r w:rsidRPr="00B51F57">
              <w:rPr>
                <w:sz w:val="12"/>
                <w:szCs w:val="12"/>
              </w:rPr>
              <w:t>Water used per person (</w:t>
            </w:r>
            <w:proofErr w:type="spellStart"/>
            <w:r w:rsidRPr="00B51F57">
              <w:rPr>
                <w:sz w:val="12"/>
                <w:szCs w:val="12"/>
              </w:rPr>
              <w:t>kL</w:t>
            </w:r>
            <w:proofErr w:type="spellEnd"/>
            <w:r w:rsidRPr="00B51F57">
              <w:rPr>
                <w:sz w:val="12"/>
                <w:szCs w:val="12"/>
              </w:rPr>
              <w:t>/FTE)</w:t>
            </w:r>
          </w:p>
        </w:tc>
        <w:tc>
          <w:tcPr>
            <w:tcW w:w="1984" w:type="dxa"/>
            <w:tcBorders>
              <w:top w:val="dotted" w:color="542E8E" w:sz="4" w:space="0"/>
              <w:left w:val="nil"/>
              <w:bottom w:val="dotted" w:color="542E8E" w:sz="4" w:space="0"/>
              <w:right w:val="nil"/>
            </w:tcBorders>
            <w:tcMar>
              <w:top w:w="68" w:type="dxa"/>
              <w:left w:w="57" w:type="dxa"/>
              <w:bottom w:w="68" w:type="dxa"/>
              <w:right w:w="57" w:type="dxa"/>
            </w:tcMar>
          </w:tcPr>
          <w:p w:rsidRPr="00B51F57" w:rsidR="000D6E6A" w:rsidRDefault="000D6E6A">
            <w:pPr>
              <w:pStyle w:val="bodycopytabletable"/>
              <w:jc w:val="right"/>
              <w:rPr>
                <w:sz w:val="12"/>
                <w:szCs w:val="12"/>
              </w:rPr>
            </w:pPr>
            <w:r w:rsidRPr="00B51F57">
              <w:rPr>
                <w:sz w:val="12"/>
                <w:szCs w:val="12"/>
              </w:rPr>
              <w:t>-</w:t>
            </w:r>
          </w:p>
        </w:tc>
        <w:tc>
          <w:tcPr>
            <w:tcW w:w="1985" w:type="dxa"/>
            <w:tcBorders>
              <w:top w:val="dotted" w:color="542E8E" w:sz="4" w:space="0"/>
              <w:left w:val="nil"/>
              <w:bottom w:val="dotted" w:color="542E8E" w:sz="4" w:space="0"/>
              <w:right w:val="nil"/>
            </w:tcBorders>
            <w:tcMar>
              <w:top w:w="68" w:type="dxa"/>
              <w:left w:w="57" w:type="dxa"/>
              <w:bottom w:w="68" w:type="dxa"/>
              <w:right w:w="57" w:type="dxa"/>
            </w:tcMar>
          </w:tcPr>
          <w:p w:rsidRPr="00B51F57" w:rsidR="000D6E6A" w:rsidRDefault="000D6E6A">
            <w:pPr>
              <w:pStyle w:val="bodycopytabletable"/>
              <w:jc w:val="right"/>
              <w:rPr>
                <w:sz w:val="12"/>
                <w:szCs w:val="12"/>
              </w:rPr>
            </w:pPr>
            <w:r w:rsidRPr="00B51F57">
              <w:rPr>
                <w:sz w:val="12"/>
                <w:szCs w:val="12"/>
              </w:rPr>
              <w:t>10.1</w:t>
            </w:r>
          </w:p>
        </w:tc>
        <w:tc>
          <w:tcPr>
            <w:tcW w:w="1984" w:type="dxa"/>
            <w:tcBorders>
              <w:top w:val="dotted" w:color="542E8E" w:sz="4" w:space="0"/>
              <w:left w:val="nil"/>
              <w:bottom w:val="dotted" w:color="542E8E" w:sz="4" w:space="0"/>
              <w:right w:val="nil"/>
            </w:tcBorders>
            <w:tcMar>
              <w:top w:w="68" w:type="dxa"/>
              <w:left w:w="57" w:type="dxa"/>
              <w:bottom w:w="68" w:type="dxa"/>
              <w:right w:w="57" w:type="dxa"/>
            </w:tcMar>
          </w:tcPr>
          <w:p w:rsidRPr="00B51F57" w:rsidR="000D6E6A" w:rsidRDefault="000D6E6A">
            <w:pPr>
              <w:pStyle w:val="bodycopytabletable"/>
              <w:jc w:val="right"/>
              <w:rPr>
                <w:sz w:val="12"/>
                <w:szCs w:val="12"/>
              </w:rPr>
            </w:pPr>
            <w:r w:rsidRPr="00B51F57">
              <w:rPr>
                <w:sz w:val="12"/>
                <w:szCs w:val="12"/>
              </w:rPr>
              <w:t>-</w:t>
            </w:r>
          </w:p>
        </w:tc>
      </w:tr>
      <w:tr w:rsidRPr="00B51F57" w:rsidR="000D6E6A">
        <w:tblPrEx>
          <w:tblCellMar>
            <w:top w:w="0" w:type="dxa"/>
            <w:left w:w="0" w:type="dxa"/>
            <w:bottom w:w="0" w:type="dxa"/>
            <w:right w:w="0" w:type="dxa"/>
          </w:tblCellMar>
        </w:tblPrEx>
        <w:trPr>
          <w:trHeight w:val="90"/>
        </w:trPr>
        <w:tc>
          <w:tcPr>
            <w:tcW w:w="3118" w:type="dxa"/>
            <w:tcBorders>
              <w:top w:val="dotted" w:color="542E8E" w:sz="4" w:space="0"/>
              <w:left w:val="nil"/>
              <w:bottom w:val="single" w:color="542E8E" w:sz="4" w:space="0"/>
              <w:right w:val="nil"/>
            </w:tcBorders>
            <w:shd w:val="solid" w:color="FFFFFF" w:fill="auto"/>
            <w:tcMar>
              <w:top w:w="68" w:type="dxa"/>
              <w:left w:w="57" w:type="dxa"/>
              <w:bottom w:w="68" w:type="dxa"/>
              <w:right w:w="57" w:type="dxa"/>
            </w:tcMar>
            <w:vAlign w:val="center"/>
          </w:tcPr>
          <w:p w:rsidRPr="00B51F57" w:rsidR="000D6E6A" w:rsidRDefault="000D6E6A">
            <w:pPr>
              <w:pStyle w:val="bodycopytabletable"/>
              <w:rPr>
                <w:sz w:val="12"/>
                <w:szCs w:val="12"/>
              </w:rPr>
            </w:pPr>
            <w:r w:rsidRPr="00B51F57">
              <w:rPr>
                <w:sz w:val="12"/>
                <w:szCs w:val="12"/>
              </w:rPr>
              <w:t>Water used per unit of space (</w:t>
            </w:r>
            <w:proofErr w:type="spellStart"/>
            <w:r w:rsidRPr="00B51F57">
              <w:rPr>
                <w:sz w:val="12"/>
                <w:szCs w:val="12"/>
              </w:rPr>
              <w:t>kL</w:t>
            </w:r>
            <w:proofErr w:type="spellEnd"/>
            <w:r w:rsidRPr="00B51F57">
              <w:rPr>
                <w:sz w:val="12"/>
                <w:szCs w:val="12"/>
              </w:rPr>
              <w:t>/m</w:t>
            </w:r>
            <w:r w:rsidRPr="00B51F57">
              <w:rPr>
                <w:rStyle w:val="Superscript"/>
                <w:sz w:val="12"/>
                <w:szCs w:val="12"/>
              </w:rPr>
              <w:t>2</w:t>
            </w:r>
            <w:r w:rsidRPr="00B51F57">
              <w:rPr>
                <w:sz w:val="12"/>
                <w:szCs w:val="12"/>
              </w:rPr>
              <w:t>)</w:t>
            </w:r>
          </w:p>
        </w:tc>
        <w:tc>
          <w:tcPr>
            <w:tcW w:w="1984" w:type="dxa"/>
            <w:tcBorders>
              <w:top w:val="dotted" w:color="542E8E" w:sz="4" w:space="0"/>
              <w:left w:val="nil"/>
              <w:bottom w:val="single" w:color="542E8E" w:sz="4" w:space="0"/>
              <w:right w:val="nil"/>
            </w:tcBorders>
            <w:shd w:val="solid" w:color="FFFFFF" w:fill="auto"/>
            <w:tcMar>
              <w:top w:w="68" w:type="dxa"/>
              <w:left w:w="57" w:type="dxa"/>
              <w:bottom w:w="68" w:type="dxa"/>
              <w:right w:w="57" w:type="dxa"/>
            </w:tcMar>
            <w:vAlign w:val="center"/>
          </w:tcPr>
          <w:p w:rsidRPr="00B51F57" w:rsidR="000D6E6A" w:rsidRDefault="000D6E6A">
            <w:pPr>
              <w:pStyle w:val="bodycopytabletable"/>
              <w:jc w:val="right"/>
              <w:rPr>
                <w:sz w:val="12"/>
                <w:szCs w:val="12"/>
              </w:rPr>
            </w:pPr>
            <w:r w:rsidRPr="00B51F57">
              <w:rPr>
                <w:sz w:val="12"/>
                <w:szCs w:val="12"/>
              </w:rPr>
              <w:t>2.6</w:t>
            </w:r>
          </w:p>
        </w:tc>
        <w:tc>
          <w:tcPr>
            <w:tcW w:w="1985" w:type="dxa"/>
            <w:tcBorders>
              <w:top w:val="dotted" w:color="542E8E" w:sz="4" w:space="0"/>
              <w:left w:val="nil"/>
              <w:bottom w:val="single" w:color="542E8E" w:sz="4" w:space="0"/>
              <w:right w:val="nil"/>
            </w:tcBorders>
            <w:shd w:val="solid" w:color="FFFFFF" w:fill="auto"/>
            <w:tcMar>
              <w:top w:w="68" w:type="dxa"/>
              <w:left w:w="57" w:type="dxa"/>
              <w:bottom w:w="68" w:type="dxa"/>
              <w:right w:w="57" w:type="dxa"/>
            </w:tcMar>
            <w:vAlign w:val="center"/>
          </w:tcPr>
          <w:p w:rsidRPr="00B51F57" w:rsidR="000D6E6A" w:rsidRDefault="000D6E6A">
            <w:pPr>
              <w:pStyle w:val="bodycopytabletable"/>
              <w:jc w:val="right"/>
              <w:rPr>
                <w:sz w:val="12"/>
                <w:szCs w:val="12"/>
              </w:rPr>
            </w:pPr>
            <w:r w:rsidRPr="00B51F57">
              <w:rPr>
                <w:sz w:val="12"/>
                <w:szCs w:val="12"/>
              </w:rPr>
              <w:t>0.5</w:t>
            </w:r>
          </w:p>
        </w:tc>
        <w:tc>
          <w:tcPr>
            <w:tcW w:w="1984" w:type="dxa"/>
            <w:tcBorders>
              <w:top w:val="dotted" w:color="542E8E" w:sz="4" w:space="0"/>
              <w:left w:val="nil"/>
              <w:bottom w:val="single" w:color="542E8E" w:sz="4" w:space="0"/>
              <w:right w:val="nil"/>
            </w:tcBorders>
            <w:shd w:val="solid" w:color="FFFFFF" w:fill="auto"/>
            <w:tcMar>
              <w:top w:w="68" w:type="dxa"/>
              <w:left w:w="57" w:type="dxa"/>
              <w:bottom w:w="68" w:type="dxa"/>
              <w:right w:w="57" w:type="dxa"/>
            </w:tcMar>
            <w:vAlign w:val="center"/>
          </w:tcPr>
          <w:p w:rsidRPr="00B51F57" w:rsidR="000D6E6A" w:rsidRDefault="000D6E6A">
            <w:pPr>
              <w:pStyle w:val="bodycopytabletable"/>
              <w:jc w:val="right"/>
              <w:rPr>
                <w:sz w:val="12"/>
                <w:szCs w:val="12"/>
              </w:rPr>
            </w:pPr>
            <w:r w:rsidRPr="00B51F57">
              <w:rPr>
                <w:sz w:val="12"/>
                <w:szCs w:val="12"/>
              </w:rPr>
              <w:t>2.0</w:t>
            </w:r>
          </w:p>
        </w:tc>
      </w:tr>
    </w:tbl>
    <w:p w:rsidR="000D6E6A" w:rsidP="00B51F57" w:rsidRDefault="000D6E6A">
      <w:pPr>
        <w:pStyle w:val="notesspantable"/>
        <w:spacing w:before="60"/>
      </w:pPr>
      <w:r>
        <w:t>Notes</w:t>
      </w:r>
    </w:p>
    <w:p w:rsidR="000D6E6A" w:rsidRDefault="000D6E6A">
      <w:pPr>
        <w:pStyle w:val="notesspantable"/>
      </w:pPr>
      <w:proofErr w:type="spellStart"/>
      <w:r>
        <w:t>kL</w:t>
      </w:r>
      <w:proofErr w:type="spellEnd"/>
      <w:r>
        <w:t xml:space="preserve"> – kilolitre; FTE – Full Time Equivalent (staff); m</w:t>
      </w:r>
      <w:r>
        <w:rPr>
          <w:rStyle w:val="Superscript"/>
        </w:rPr>
        <w:t>2</w:t>
      </w:r>
      <w:r>
        <w:t xml:space="preserve"> – square metre.</w:t>
      </w:r>
    </w:p>
    <w:p w:rsidR="000D6E6A" w:rsidRDefault="000D6E6A">
      <w:pPr>
        <w:pStyle w:val="notesspantable"/>
      </w:pPr>
      <w:r>
        <w:t>*Water used per FTE (</w:t>
      </w:r>
      <w:proofErr w:type="spellStart"/>
      <w:r>
        <w:t>kL</w:t>
      </w:r>
      <w:proofErr w:type="spellEnd"/>
      <w:r>
        <w:t>/FTE) is applicable only to office-based buildings. Usage for operational facilities cannot be apportioned against FTE.</w:t>
      </w:r>
    </w:p>
    <w:p w:rsidR="000D6E6A" w:rsidRDefault="000D6E6A">
      <w:pPr>
        <w:pStyle w:val="notesspanlastrowtable"/>
      </w:pPr>
      <w:r>
        <w:t xml:space="preserve">**This value reflects the average </w:t>
      </w:r>
      <w:proofErr w:type="spellStart"/>
      <w:r>
        <w:t>kL</w:t>
      </w:r>
      <w:proofErr w:type="spellEnd"/>
      <w:r>
        <w:t xml:space="preserve"> consumed per m</w:t>
      </w:r>
      <w:r>
        <w:rPr>
          <w:rStyle w:val="Superscript"/>
        </w:rPr>
        <w:t>2</w:t>
      </w:r>
      <w:r>
        <w:t xml:space="preserve"> across the department (correctional centres, custodial facilities and offices). </w:t>
      </w:r>
    </w:p>
    <w:p w:rsidR="000D6E6A" w:rsidRDefault="000D6E6A">
      <w:pPr>
        <w:pStyle w:val="H3"/>
      </w:pPr>
      <w:r>
        <w:t>Paper and procurement</w:t>
      </w:r>
    </w:p>
    <w:p w:rsidR="000D6E6A" w:rsidRDefault="000D6E6A">
      <w:pPr>
        <w:pStyle w:val="Bodycopy"/>
      </w:pPr>
      <w:r>
        <w:t>The department procures a range of goods and services, including:</w:t>
      </w:r>
    </w:p>
    <w:p w:rsidR="000D6E6A" w:rsidRDefault="000D6E6A">
      <w:pPr>
        <w:pStyle w:val="BodycopyBullet"/>
      </w:pPr>
      <w:r>
        <w:t>contractor and consultancy services</w:t>
      </w:r>
    </w:p>
    <w:p w:rsidR="000D6E6A" w:rsidRDefault="000D6E6A">
      <w:pPr>
        <w:pStyle w:val="BodycopyBullet"/>
      </w:pPr>
      <w:r>
        <w:t>printing, stationery and other office equipment</w:t>
      </w:r>
    </w:p>
    <w:p w:rsidR="000D6E6A" w:rsidRDefault="000D6E6A">
      <w:pPr>
        <w:pStyle w:val="BodycopyBulletspaceunder"/>
      </w:pPr>
      <w:r>
        <w:t>technology and health services.</w:t>
      </w:r>
    </w:p>
    <w:p w:rsidR="000D6E6A" w:rsidRDefault="000D6E6A">
      <w:pPr>
        <w:pStyle w:val="Bodycopy"/>
      </w:pPr>
      <w:r>
        <w:t xml:space="preserve">Examples of paper and procurement projects include: </w:t>
      </w:r>
    </w:p>
    <w:p w:rsidR="000D6E6A" w:rsidRDefault="000D6E6A">
      <w:pPr>
        <w:pStyle w:val="BodycopyBullet"/>
      </w:pPr>
      <w:r>
        <w:t>the cleaning products contract that assists the department reduce wastage and ensure environmentally friendly products (with included benefits of Good Environmental Choice Australia are used</w:t>
      </w:r>
    </w:p>
    <w:p w:rsidR="000D6E6A" w:rsidRDefault="000D6E6A">
      <w:pPr>
        <w:pStyle w:val="BodycopyBullet"/>
      </w:pPr>
      <w:r>
        <w:t>more than 60 per cent of all offset and digital print jobs meeting a minimum two-star (out of five) green accreditation</w:t>
      </w:r>
    </w:p>
    <w:p w:rsidR="000D6E6A" w:rsidRDefault="000D6E6A">
      <w:pPr>
        <w:pStyle w:val="BodycopyBullet"/>
      </w:pPr>
      <w:r>
        <w:t>application of the department’s Environmental Sustainable Design scorecard nine prison construction projects</w:t>
      </w:r>
    </w:p>
    <w:p w:rsidR="000D6E6A" w:rsidRDefault="000D6E6A">
      <w:pPr>
        <w:pStyle w:val="BodycopyBulletspaceunder"/>
      </w:pPr>
      <w:r>
        <w:t xml:space="preserve">procurement of five hot houses at Langi </w:t>
      </w:r>
      <w:proofErr w:type="spellStart"/>
      <w:r>
        <w:t>Kal</w:t>
      </w:r>
      <w:proofErr w:type="spellEnd"/>
      <w:r>
        <w:t xml:space="preserve"> </w:t>
      </w:r>
      <w:proofErr w:type="spellStart"/>
      <w:r>
        <w:t>Kal</w:t>
      </w:r>
      <w:proofErr w:type="spellEnd"/>
      <w:r>
        <w:t xml:space="preserve"> Prison, funded by the department’s Asset and Infrastructure Funding Tool, resulting in vegetable cost savings of $10,000.</w:t>
      </w:r>
    </w:p>
    <w:p w:rsidR="000D6E6A" w:rsidRDefault="000D6E6A">
      <w:pPr>
        <w:pStyle w:val="Bodycopy"/>
      </w:pPr>
      <w:r>
        <w:lastRenderedPageBreak/>
        <w:t>Examples of environmental considerations being incorporated in the procurement process include:</w:t>
      </w:r>
    </w:p>
    <w:p w:rsidR="000D6E6A" w:rsidRDefault="000D6E6A">
      <w:pPr>
        <w:pStyle w:val="BodycopyBullet"/>
      </w:pPr>
      <w:r>
        <w:t>specifying minimum energy and water star rating requirements on white goods</w:t>
      </w:r>
    </w:p>
    <w:p w:rsidR="000D6E6A" w:rsidRDefault="000D6E6A">
      <w:pPr>
        <w:pStyle w:val="BodycopyBullet"/>
      </w:pPr>
      <w:r>
        <w:t>requesting evidence of environmental management systems</w:t>
      </w:r>
    </w:p>
    <w:p w:rsidR="000D6E6A" w:rsidRDefault="000D6E6A">
      <w:pPr>
        <w:pStyle w:val="BodycopyBullet"/>
      </w:pPr>
      <w:r>
        <w:t>requesting products are reused or disposed of in a responsible way through a waste management plan</w:t>
      </w:r>
    </w:p>
    <w:p w:rsidR="000D6E6A" w:rsidRDefault="000D6E6A">
      <w:pPr>
        <w:pStyle w:val="BodycopyBullet"/>
      </w:pPr>
      <w:r>
        <w:t>the inclusion of forest stewardship certified products</w:t>
      </w:r>
    </w:p>
    <w:p w:rsidR="000D6E6A" w:rsidRDefault="000D6E6A">
      <w:pPr>
        <w:pStyle w:val="BodycopyBulletspaceunder"/>
      </w:pPr>
      <w:r>
        <w:t xml:space="preserve">seeking to achieve </w:t>
      </w:r>
      <w:proofErr w:type="gramStart"/>
      <w:r>
        <w:t>five star</w:t>
      </w:r>
      <w:proofErr w:type="gramEnd"/>
      <w:r>
        <w:t xml:space="preserve"> Green Star interior fitouts for office leases over 2000 square meters.</w:t>
      </w:r>
    </w:p>
    <w:p w:rsidR="000D6E6A" w:rsidRDefault="000D6E6A">
      <w:pPr>
        <w:pStyle w:val="Bodycopy"/>
      </w:pPr>
      <w:r>
        <w:t xml:space="preserve">The department has reduced paper consumption by eight per cent to 12 reams/FTE since 2016–17. This has put the department on target to meet the 15 per cent reduction over a </w:t>
      </w:r>
      <w:proofErr w:type="gramStart"/>
      <w:r>
        <w:t>two year</w:t>
      </w:r>
      <w:proofErr w:type="gramEnd"/>
      <w:r>
        <w:t xml:space="preserve"> period.</w:t>
      </w:r>
    </w:p>
    <w:p w:rsidR="000D6E6A" w:rsidRDefault="000D6E6A">
      <w:pPr>
        <w:pStyle w:val="OutputheaderOutputs"/>
      </w:pPr>
      <w:r>
        <w:t>2017–19 paper and procurement target</w:t>
      </w:r>
    </w:p>
    <w:p w:rsidR="000D6E6A" w:rsidRDefault="000D6E6A">
      <w:pPr>
        <w:pStyle w:val="PurpleTextunderlineOutputs"/>
      </w:pPr>
      <w:r>
        <w:t>Reduce annual paper consumption by 15 per cent, from 13 reams/FTE in 2016–17 to 11 reams/FTE.</w:t>
      </w:r>
    </w:p>
    <w:p w:rsidR="000D6E6A" w:rsidRDefault="000D6E6A">
      <w:pPr>
        <w:pStyle w:val="Bodycopyspan"/>
        <w:rPr>
          <w:rStyle w:val="RegularItalic"/>
          <w:i/>
          <w:iCs/>
        </w:rPr>
      </w:pPr>
      <w:r>
        <w:rPr>
          <w:rStyle w:val="RegularItalic"/>
          <w:i/>
          <w:iCs/>
        </w:rPr>
        <w:t>Total department paper usage 2017–18</w:t>
      </w:r>
    </w:p>
    <w:tbl>
      <w:tblPr>
        <w:tblW w:w="0" w:type="auto"/>
        <w:tblInd w:w="57" w:type="dxa"/>
        <w:tblLayout w:type="fixed"/>
        <w:tblCellMar>
          <w:left w:w="0" w:type="dxa"/>
          <w:right w:w="0" w:type="dxa"/>
        </w:tblCellMar>
        <w:tblLook w:firstRow="0" w:lastRow="0" w:firstColumn="0" w:lastColumn="0" w:noHBand="0" w:noVBand="0" w:val="0000"/>
      </w:tblPr>
      <w:tblGrid>
        <w:gridCol w:w="3118"/>
        <w:gridCol w:w="1984"/>
        <w:gridCol w:w="1985"/>
        <w:gridCol w:w="1984"/>
      </w:tblGrid>
      <w:tr w:rsidRPr="00B51F57" w:rsidR="000D6E6A">
        <w:tblPrEx>
          <w:tblCellMar>
            <w:top w:w="0" w:type="dxa"/>
            <w:left w:w="0" w:type="dxa"/>
            <w:bottom w:w="0" w:type="dxa"/>
            <w:right w:w="0" w:type="dxa"/>
          </w:tblCellMar>
        </w:tblPrEx>
        <w:trPr>
          <w:trHeight w:val="60"/>
          <w:tblHeader/>
        </w:trPr>
        <w:tc>
          <w:tcPr>
            <w:tcW w:w="3118" w:type="dxa"/>
            <w:tcBorders>
              <w:top w:val="dotted" w:color="000000" w:sz="6" w:space="0"/>
              <w:left w:val="nil"/>
              <w:bottom w:val="single" w:color="542E8E" w:sz="6" w:space="0"/>
              <w:right w:val="nil"/>
            </w:tcBorders>
            <w:shd w:val="solid" w:color="FFFFFF" w:fill="auto"/>
            <w:tcMar>
              <w:top w:w="68" w:type="dxa"/>
              <w:left w:w="57" w:type="dxa"/>
              <w:bottom w:w="68" w:type="dxa"/>
              <w:right w:w="57" w:type="dxa"/>
            </w:tcMar>
            <w:vAlign w:val="bottom"/>
          </w:tcPr>
          <w:p w:rsidRPr="00B51F57" w:rsidR="000D6E6A" w:rsidRDefault="000D6E6A">
            <w:pPr>
              <w:pStyle w:val="bodycopytabletable"/>
            </w:pPr>
            <w:r w:rsidRPr="00B51F57">
              <w:rPr>
                <w:rStyle w:val="mediumpurple"/>
                <w:b/>
                <w:bCs/>
              </w:rPr>
              <w:t>Description</w:t>
            </w:r>
          </w:p>
        </w:tc>
        <w:tc>
          <w:tcPr>
            <w:tcW w:w="1984" w:type="dxa"/>
            <w:tcBorders>
              <w:top w:val="dotted" w:color="000000" w:sz="6" w:space="0"/>
              <w:left w:val="nil"/>
              <w:bottom w:val="single" w:color="542E8E" w:sz="6" w:space="0"/>
              <w:right w:val="nil"/>
            </w:tcBorders>
            <w:shd w:val="solid" w:color="FFFFFF" w:fill="auto"/>
            <w:tcMar>
              <w:top w:w="68" w:type="dxa"/>
              <w:left w:w="57" w:type="dxa"/>
              <w:bottom w:w="68" w:type="dxa"/>
              <w:right w:w="57" w:type="dxa"/>
            </w:tcMar>
            <w:vAlign w:val="bottom"/>
          </w:tcPr>
          <w:p w:rsidRPr="00B51F57" w:rsidR="000D6E6A" w:rsidRDefault="000D6E6A">
            <w:pPr>
              <w:pStyle w:val="bodycopytabletable"/>
              <w:jc w:val="right"/>
            </w:pPr>
            <w:r w:rsidRPr="00B51F57">
              <w:rPr>
                <w:rStyle w:val="mediumpurple"/>
                <w:b/>
                <w:bCs/>
              </w:rPr>
              <w:t>Correctional centres and custodial facilities</w:t>
            </w:r>
          </w:p>
        </w:tc>
        <w:tc>
          <w:tcPr>
            <w:tcW w:w="1985" w:type="dxa"/>
            <w:tcBorders>
              <w:top w:val="dotted" w:color="000000" w:sz="6" w:space="0"/>
              <w:left w:val="nil"/>
              <w:bottom w:val="single" w:color="542E8E" w:sz="6" w:space="0"/>
              <w:right w:val="nil"/>
            </w:tcBorders>
            <w:shd w:val="solid" w:color="FFFFFF" w:fill="auto"/>
            <w:tcMar>
              <w:top w:w="68" w:type="dxa"/>
              <w:left w:w="57" w:type="dxa"/>
              <w:bottom w:w="68" w:type="dxa"/>
              <w:right w:w="57" w:type="dxa"/>
            </w:tcMar>
            <w:vAlign w:val="bottom"/>
          </w:tcPr>
          <w:p w:rsidRPr="00B51F57" w:rsidR="000D6E6A" w:rsidRDefault="000D6E6A">
            <w:pPr>
              <w:pStyle w:val="bodycopytabletable"/>
              <w:jc w:val="right"/>
            </w:pPr>
            <w:r w:rsidRPr="00B51F57">
              <w:rPr>
                <w:rStyle w:val="mediumpurple"/>
                <w:b/>
                <w:bCs/>
              </w:rPr>
              <w:t>Office</w:t>
            </w:r>
          </w:p>
        </w:tc>
        <w:tc>
          <w:tcPr>
            <w:tcW w:w="1984" w:type="dxa"/>
            <w:tcBorders>
              <w:top w:val="dotted" w:color="000000" w:sz="6" w:space="0"/>
              <w:left w:val="nil"/>
              <w:bottom w:val="single" w:color="542E8E" w:sz="6" w:space="0"/>
              <w:right w:val="nil"/>
            </w:tcBorders>
            <w:shd w:val="solid" w:color="FFFFFF" w:fill="auto"/>
            <w:tcMar>
              <w:top w:w="68" w:type="dxa"/>
              <w:left w:w="57" w:type="dxa"/>
              <w:bottom w:w="68" w:type="dxa"/>
              <w:right w:w="57" w:type="dxa"/>
            </w:tcMar>
            <w:vAlign w:val="bottom"/>
          </w:tcPr>
          <w:p w:rsidRPr="00B51F57" w:rsidR="000D6E6A" w:rsidRDefault="000D6E6A">
            <w:pPr>
              <w:pStyle w:val="bodycopytabletable"/>
              <w:jc w:val="right"/>
            </w:pPr>
            <w:r w:rsidRPr="00B51F57">
              <w:rPr>
                <w:rStyle w:val="mediumpurple"/>
                <w:b/>
                <w:bCs/>
              </w:rPr>
              <w:t>Total</w:t>
            </w:r>
          </w:p>
        </w:tc>
      </w:tr>
      <w:tr w:rsidRPr="00B51F57" w:rsidR="000D6E6A">
        <w:tblPrEx>
          <w:tblCellMar>
            <w:top w:w="0" w:type="dxa"/>
            <w:left w:w="0" w:type="dxa"/>
            <w:bottom w:w="0" w:type="dxa"/>
            <w:right w:w="0" w:type="dxa"/>
          </w:tblCellMar>
        </w:tblPrEx>
        <w:trPr>
          <w:trHeight w:val="60"/>
        </w:trPr>
        <w:tc>
          <w:tcPr>
            <w:tcW w:w="3118" w:type="dxa"/>
            <w:tcBorders>
              <w:top w:val="dotted" w:color="542E8E" w:sz="4" w:space="0"/>
              <w:left w:val="nil"/>
              <w:bottom w:val="single" w:color="542E8E" w:sz="4" w:space="0"/>
              <w:right w:val="nil"/>
            </w:tcBorders>
            <w:shd w:val="solid" w:color="FFFFFF" w:fill="auto"/>
            <w:tcMar>
              <w:top w:w="68" w:type="dxa"/>
              <w:left w:w="57" w:type="dxa"/>
              <w:bottom w:w="68" w:type="dxa"/>
              <w:right w:w="57" w:type="dxa"/>
            </w:tcMar>
            <w:vAlign w:val="center"/>
          </w:tcPr>
          <w:p w:rsidRPr="00B51F57" w:rsidR="000D6E6A" w:rsidRDefault="000D6E6A">
            <w:pPr>
              <w:pStyle w:val="bodycopytabletable"/>
            </w:pPr>
            <w:r w:rsidRPr="00B51F57">
              <w:t>Reams</w:t>
            </w:r>
          </w:p>
        </w:tc>
        <w:tc>
          <w:tcPr>
            <w:tcW w:w="1984" w:type="dxa"/>
            <w:tcBorders>
              <w:top w:val="dotted" w:color="542E8E" w:sz="4" w:space="0"/>
              <w:left w:val="nil"/>
              <w:bottom w:val="single" w:color="542E8E" w:sz="4" w:space="0"/>
              <w:right w:val="nil"/>
            </w:tcBorders>
            <w:shd w:val="solid" w:color="FFFFFF" w:fill="auto"/>
            <w:tcMar>
              <w:top w:w="68" w:type="dxa"/>
              <w:left w:w="57" w:type="dxa"/>
              <w:bottom w:w="68" w:type="dxa"/>
              <w:right w:w="57" w:type="dxa"/>
            </w:tcMar>
            <w:vAlign w:val="center"/>
          </w:tcPr>
          <w:p w:rsidRPr="00B51F57" w:rsidR="000D6E6A" w:rsidRDefault="000D6E6A">
            <w:pPr>
              <w:pStyle w:val="bodycopytabletable"/>
              <w:jc w:val="right"/>
            </w:pPr>
            <w:r w:rsidRPr="00B51F57">
              <w:t>34,933</w:t>
            </w:r>
          </w:p>
        </w:tc>
        <w:tc>
          <w:tcPr>
            <w:tcW w:w="1985" w:type="dxa"/>
            <w:tcBorders>
              <w:top w:val="dotted" w:color="542E8E" w:sz="4" w:space="0"/>
              <w:left w:val="nil"/>
              <w:bottom w:val="single" w:color="542E8E" w:sz="4" w:space="0"/>
              <w:right w:val="nil"/>
            </w:tcBorders>
            <w:shd w:val="solid" w:color="FFFFFF" w:fill="auto"/>
            <w:tcMar>
              <w:top w:w="68" w:type="dxa"/>
              <w:left w:w="57" w:type="dxa"/>
              <w:bottom w:w="68" w:type="dxa"/>
              <w:right w:w="57" w:type="dxa"/>
            </w:tcMar>
            <w:vAlign w:val="center"/>
          </w:tcPr>
          <w:p w:rsidRPr="00B51F57" w:rsidR="000D6E6A" w:rsidRDefault="000D6E6A">
            <w:pPr>
              <w:pStyle w:val="bodycopytabletable"/>
              <w:jc w:val="right"/>
            </w:pPr>
            <w:r w:rsidRPr="00B51F57">
              <w:t>73,514</w:t>
            </w:r>
          </w:p>
        </w:tc>
        <w:tc>
          <w:tcPr>
            <w:tcW w:w="1984" w:type="dxa"/>
            <w:tcBorders>
              <w:top w:val="dotted" w:color="542E8E" w:sz="4" w:space="0"/>
              <w:left w:val="nil"/>
              <w:bottom w:val="single" w:color="542E8E" w:sz="4" w:space="0"/>
              <w:right w:val="nil"/>
            </w:tcBorders>
            <w:shd w:val="solid" w:color="FFFFFF" w:fill="auto"/>
            <w:tcMar>
              <w:top w:w="68" w:type="dxa"/>
              <w:left w:w="57" w:type="dxa"/>
              <w:bottom w:w="68" w:type="dxa"/>
              <w:right w:w="57" w:type="dxa"/>
            </w:tcMar>
            <w:vAlign w:val="center"/>
          </w:tcPr>
          <w:p w:rsidRPr="00B51F57" w:rsidR="000D6E6A" w:rsidRDefault="000D6E6A">
            <w:pPr>
              <w:pStyle w:val="bodycopytabletable"/>
              <w:jc w:val="right"/>
            </w:pPr>
            <w:r w:rsidRPr="00B51F57">
              <w:t>108,447</w:t>
            </w:r>
          </w:p>
        </w:tc>
      </w:tr>
    </w:tbl>
    <w:p w:rsidR="000D6E6A" w:rsidP="00B51F57" w:rsidRDefault="000D6E6A">
      <w:pPr>
        <w:pStyle w:val="notesspantable"/>
        <w:spacing w:before="60"/>
      </w:pPr>
      <w:r>
        <w:t>Notes</w:t>
      </w:r>
    </w:p>
    <w:p w:rsidR="000D6E6A" w:rsidRDefault="000D6E6A">
      <w:pPr>
        <w:pStyle w:val="notesspantable"/>
      </w:pPr>
      <w:r>
        <w:t xml:space="preserve">Paper usage data provided by the </w:t>
      </w:r>
      <w:proofErr w:type="spellStart"/>
      <w:r>
        <w:t>WoVG</w:t>
      </w:r>
      <w:proofErr w:type="spellEnd"/>
      <w:r>
        <w:t xml:space="preserve"> supplier, COS. Paper purchased outside the </w:t>
      </w:r>
      <w:proofErr w:type="spellStart"/>
      <w:r>
        <w:t>WoVG</w:t>
      </w:r>
      <w:proofErr w:type="spellEnd"/>
      <w:r>
        <w:t xml:space="preserve"> supplier is not included.</w:t>
      </w:r>
    </w:p>
    <w:p w:rsidR="00B51F57" w:rsidRDefault="00B51F57">
      <w:pPr>
        <w:pStyle w:val="notesspantable"/>
      </w:pPr>
    </w:p>
    <w:p w:rsidR="000D6E6A" w:rsidRDefault="000D6E6A">
      <w:pPr>
        <w:pStyle w:val="Bodycopyspan"/>
        <w:rPr>
          <w:rStyle w:val="RegularItalic"/>
          <w:i/>
          <w:iCs/>
        </w:rPr>
      </w:pPr>
      <w:r>
        <w:rPr>
          <w:rStyle w:val="RegularItalic"/>
          <w:i/>
          <w:iCs/>
        </w:rPr>
        <w:t>Paper intensity 2017–18</w:t>
      </w:r>
    </w:p>
    <w:tbl>
      <w:tblPr>
        <w:tblW w:w="0" w:type="auto"/>
        <w:tblInd w:w="57" w:type="dxa"/>
        <w:tblLayout w:type="fixed"/>
        <w:tblCellMar>
          <w:left w:w="0" w:type="dxa"/>
          <w:right w:w="0" w:type="dxa"/>
        </w:tblCellMar>
        <w:tblLook w:firstRow="0" w:lastRow="0" w:firstColumn="0" w:lastColumn="0" w:noHBand="0" w:noVBand="0" w:val="0000"/>
      </w:tblPr>
      <w:tblGrid>
        <w:gridCol w:w="3118"/>
        <w:gridCol w:w="1984"/>
        <w:gridCol w:w="1985"/>
        <w:gridCol w:w="1984"/>
      </w:tblGrid>
      <w:tr w:rsidRPr="00B51F57" w:rsidR="000D6E6A" w:rsidTr="00B51F57">
        <w:tblPrEx>
          <w:tblCellMar>
            <w:top w:w="0" w:type="dxa"/>
            <w:left w:w="0" w:type="dxa"/>
            <w:bottom w:w="0" w:type="dxa"/>
            <w:right w:w="0" w:type="dxa"/>
          </w:tblCellMar>
        </w:tblPrEx>
        <w:trPr>
          <w:trHeight w:val="113"/>
          <w:tblHeader/>
        </w:trPr>
        <w:tc>
          <w:tcPr>
            <w:tcW w:w="3118"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B51F57" w:rsidR="000D6E6A" w:rsidRDefault="000D6E6A">
            <w:pPr>
              <w:pStyle w:val="bodycopytabletable"/>
            </w:pPr>
            <w:r w:rsidRPr="00B51F57">
              <w:rPr>
                <w:rStyle w:val="mediumpurple"/>
                <w:b/>
                <w:bCs/>
              </w:rPr>
              <w:t>Description</w:t>
            </w:r>
          </w:p>
        </w:tc>
        <w:tc>
          <w:tcPr>
            <w:tcW w:w="1984"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B51F57" w:rsidR="000D6E6A" w:rsidRDefault="000D6E6A">
            <w:pPr>
              <w:pStyle w:val="bodycopytabletable"/>
              <w:jc w:val="right"/>
            </w:pPr>
            <w:r w:rsidRPr="00B51F57">
              <w:rPr>
                <w:rStyle w:val="mediumpurple"/>
                <w:b/>
                <w:bCs/>
              </w:rPr>
              <w:t>Correctional centres and custodial facilities</w:t>
            </w:r>
          </w:p>
        </w:tc>
        <w:tc>
          <w:tcPr>
            <w:tcW w:w="1985"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B51F57" w:rsidR="000D6E6A" w:rsidRDefault="000D6E6A">
            <w:pPr>
              <w:pStyle w:val="bodycopytabletable"/>
              <w:jc w:val="right"/>
            </w:pPr>
            <w:r w:rsidRPr="00B51F57">
              <w:rPr>
                <w:rStyle w:val="mediumpurple"/>
                <w:b/>
                <w:bCs/>
              </w:rPr>
              <w:t>Office</w:t>
            </w:r>
          </w:p>
        </w:tc>
        <w:tc>
          <w:tcPr>
            <w:tcW w:w="1984"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B51F57" w:rsidR="000D6E6A" w:rsidRDefault="000D6E6A">
            <w:pPr>
              <w:pStyle w:val="bodycopytabletable"/>
              <w:jc w:val="right"/>
            </w:pPr>
            <w:r w:rsidRPr="00B51F57">
              <w:rPr>
                <w:rStyle w:val="mediumpurple"/>
                <w:b/>
                <w:bCs/>
              </w:rPr>
              <w:t>Average</w:t>
            </w:r>
          </w:p>
        </w:tc>
      </w:tr>
      <w:tr w:rsidRPr="00B51F57" w:rsidR="000D6E6A" w:rsidTr="00B51F57">
        <w:tblPrEx>
          <w:tblCellMar>
            <w:top w:w="0" w:type="dxa"/>
            <w:left w:w="0" w:type="dxa"/>
            <w:bottom w:w="0" w:type="dxa"/>
            <w:right w:w="0" w:type="dxa"/>
          </w:tblCellMar>
        </w:tblPrEx>
        <w:trPr>
          <w:trHeight w:val="113"/>
        </w:trPr>
        <w:tc>
          <w:tcPr>
            <w:tcW w:w="3118"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pPr>
            <w:r w:rsidRPr="00B51F57">
              <w:t>Paper used per FTE (reams/FTE)</w:t>
            </w:r>
          </w:p>
        </w:tc>
        <w:tc>
          <w:tcPr>
            <w:tcW w:w="1984"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t>-</w:t>
            </w:r>
          </w:p>
        </w:tc>
        <w:tc>
          <w:tcPr>
            <w:tcW w:w="1985"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t>15</w:t>
            </w:r>
          </w:p>
        </w:tc>
        <w:tc>
          <w:tcPr>
            <w:tcW w:w="1984"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t>12*</w:t>
            </w:r>
          </w:p>
        </w:tc>
      </w:tr>
      <w:tr w:rsidRPr="00B51F57" w:rsidR="000D6E6A" w:rsidTr="00B51F57">
        <w:tblPrEx>
          <w:tblCellMar>
            <w:top w:w="0" w:type="dxa"/>
            <w:left w:w="0" w:type="dxa"/>
            <w:bottom w:w="0" w:type="dxa"/>
            <w:right w:w="0" w:type="dxa"/>
          </w:tblCellMar>
        </w:tblPrEx>
        <w:trPr>
          <w:trHeight w:val="113"/>
        </w:trPr>
        <w:tc>
          <w:tcPr>
            <w:tcW w:w="3118"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pPr>
            <w:r w:rsidRPr="00B51F57">
              <w:t>Recycled content (per cent)</w:t>
            </w:r>
          </w:p>
        </w:tc>
        <w:tc>
          <w:tcPr>
            <w:tcW w:w="1984"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NoParagraphStyle"/>
              <w:spacing w:line="240" w:lineRule="auto"/>
              <w:textAlignment w:val="auto"/>
              <w:rPr>
                <w:color w:val="auto"/>
                <w:sz w:val="16"/>
                <w:szCs w:val="16"/>
              </w:rPr>
            </w:pPr>
          </w:p>
        </w:tc>
        <w:tc>
          <w:tcPr>
            <w:tcW w:w="1985"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NoParagraphStyle"/>
              <w:spacing w:line="240" w:lineRule="auto"/>
              <w:textAlignment w:val="auto"/>
              <w:rPr>
                <w:color w:val="auto"/>
                <w:sz w:val="16"/>
                <w:szCs w:val="16"/>
              </w:rPr>
            </w:pPr>
          </w:p>
        </w:tc>
        <w:tc>
          <w:tcPr>
            <w:tcW w:w="1984"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NoParagraphStyle"/>
              <w:spacing w:line="240" w:lineRule="auto"/>
              <w:textAlignment w:val="auto"/>
              <w:rPr>
                <w:color w:val="auto"/>
                <w:sz w:val="16"/>
                <w:szCs w:val="16"/>
              </w:rPr>
            </w:pPr>
          </w:p>
        </w:tc>
      </w:tr>
      <w:tr w:rsidRPr="00B51F57" w:rsidR="000D6E6A" w:rsidTr="00B51F57">
        <w:tblPrEx>
          <w:tblCellMar>
            <w:top w:w="0" w:type="dxa"/>
            <w:left w:w="0" w:type="dxa"/>
            <w:bottom w:w="0" w:type="dxa"/>
            <w:right w:w="0" w:type="dxa"/>
          </w:tblCellMar>
        </w:tblPrEx>
        <w:trPr>
          <w:trHeight w:val="113"/>
        </w:trPr>
        <w:tc>
          <w:tcPr>
            <w:tcW w:w="3118"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pPr>
            <w:r w:rsidRPr="00B51F57">
              <w:t>&gt;75 per cent</w:t>
            </w:r>
          </w:p>
        </w:tc>
        <w:tc>
          <w:tcPr>
            <w:tcW w:w="1984"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t>92</w:t>
            </w:r>
          </w:p>
        </w:tc>
        <w:tc>
          <w:tcPr>
            <w:tcW w:w="1985"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t>95</w:t>
            </w:r>
          </w:p>
        </w:tc>
        <w:tc>
          <w:tcPr>
            <w:tcW w:w="1984"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t>94</w:t>
            </w:r>
          </w:p>
        </w:tc>
      </w:tr>
      <w:tr w:rsidRPr="00B51F57" w:rsidR="000D6E6A" w:rsidTr="00B51F57">
        <w:tblPrEx>
          <w:tblCellMar>
            <w:top w:w="0" w:type="dxa"/>
            <w:left w:w="0" w:type="dxa"/>
            <w:bottom w:w="0" w:type="dxa"/>
            <w:right w:w="0" w:type="dxa"/>
          </w:tblCellMar>
        </w:tblPrEx>
        <w:trPr>
          <w:trHeight w:val="113"/>
        </w:trPr>
        <w:tc>
          <w:tcPr>
            <w:tcW w:w="3118"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pPr>
            <w:r w:rsidRPr="00B51F57">
              <w:t>50-75 per cent</w:t>
            </w:r>
          </w:p>
        </w:tc>
        <w:tc>
          <w:tcPr>
            <w:tcW w:w="1984"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t>-</w:t>
            </w:r>
          </w:p>
        </w:tc>
        <w:tc>
          <w:tcPr>
            <w:tcW w:w="1985"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t>-</w:t>
            </w:r>
          </w:p>
        </w:tc>
        <w:tc>
          <w:tcPr>
            <w:tcW w:w="1984"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t>-</w:t>
            </w:r>
          </w:p>
        </w:tc>
      </w:tr>
      <w:tr w:rsidRPr="00B51F57" w:rsidR="000D6E6A" w:rsidTr="00B51F57">
        <w:tblPrEx>
          <w:tblCellMar>
            <w:top w:w="0" w:type="dxa"/>
            <w:left w:w="0" w:type="dxa"/>
            <w:bottom w:w="0" w:type="dxa"/>
            <w:right w:w="0" w:type="dxa"/>
          </w:tblCellMar>
        </w:tblPrEx>
        <w:trPr>
          <w:trHeight w:val="113"/>
        </w:trPr>
        <w:tc>
          <w:tcPr>
            <w:tcW w:w="3118"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B51F57" w:rsidR="000D6E6A" w:rsidRDefault="000D6E6A">
            <w:pPr>
              <w:pStyle w:val="bodycopytabletable"/>
            </w:pPr>
            <w:r w:rsidRPr="00B51F57">
              <w:t>&lt;50 per cent</w:t>
            </w:r>
          </w:p>
        </w:tc>
        <w:tc>
          <w:tcPr>
            <w:tcW w:w="1984"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B51F57" w:rsidR="000D6E6A" w:rsidRDefault="000D6E6A">
            <w:pPr>
              <w:pStyle w:val="bodycopytabletable"/>
              <w:jc w:val="right"/>
            </w:pPr>
            <w:r w:rsidRPr="00B51F57">
              <w:t>8</w:t>
            </w:r>
          </w:p>
        </w:tc>
        <w:tc>
          <w:tcPr>
            <w:tcW w:w="1985"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B51F57" w:rsidR="000D6E6A" w:rsidRDefault="000D6E6A">
            <w:pPr>
              <w:pStyle w:val="bodycopytabletable"/>
              <w:jc w:val="right"/>
            </w:pPr>
            <w:r w:rsidRPr="00B51F57">
              <w:t>5</w:t>
            </w:r>
          </w:p>
        </w:tc>
        <w:tc>
          <w:tcPr>
            <w:tcW w:w="1984"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B51F57" w:rsidR="000D6E6A" w:rsidRDefault="000D6E6A">
            <w:pPr>
              <w:pStyle w:val="bodycopytabletable"/>
              <w:jc w:val="right"/>
            </w:pPr>
            <w:r w:rsidRPr="00B51F57">
              <w:t>6</w:t>
            </w:r>
          </w:p>
        </w:tc>
      </w:tr>
    </w:tbl>
    <w:p w:rsidR="000D6E6A" w:rsidP="00B51F57" w:rsidRDefault="000D6E6A">
      <w:pPr>
        <w:pStyle w:val="notesspantable"/>
        <w:spacing w:before="60"/>
      </w:pPr>
      <w:r>
        <w:t>Notes:</w:t>
      </w:r>
    </w:p>
    <w:p w:rsidR="000D6E6A" w:rsidRDefault="000D6E6A">
      <w:pPr>
        <w:pStyle w:val="notesspantable"/>
      </w:pPr>
      <w:r>
        <w:t>FTE – Full Time Equivalent (staff).</w:t>
      </w:r>
    </w:p>
    <w:p w:rsidR="000D6E6A" w:rsidRDefault="000D6E6A">
      <w:pPr>
        <w:pStyle w:val="notesspantable"/>
      </w:pPr>
      <w:r>
        <w:t>Paper usage in the ‘less than 50 per cent recycled content’ category includes A4 coloured paper. The range of coloured paper and paper for photo-printing purposes available to the department does not have recycled content.</w:t>
      </w:r>
    </w:p>
    <w:p w:rsidR="000D6E6A" w:rsidRDefault="000D6E6A">
      <w:pPr>
        <w:pStyle w:val="notesspanlastrowtable"/>
      </w:pPr>
      <w:r>
        <w:t xml:space="preserve">*The value reflects the average reams of paper consumed per FTE across the department (correctional centres, custodial facilities and offices). </w:t>
      </w:r>
    </w:p>
    <w:p w:rsidR="000D6E6A" w:rsidRDefault="000D6E6A">
      <w:pPr>
        <w:pStyle w:val="H3"/>
      </w:pPr>
      <w:r>
        <w:t>Sustainable transport and fleet</w:t>
      </w:r>
    </w:p>
    <w:p w:rsidR="000D6E6A" w:rsidRDefault="000D6E6A">
      <w:pPr>
        <w:pStyle w:val="Bodycopy"/>
      </w:pPr>
      <w:r>
        <w:t xml:space="preserve">Departmental staff use State government and departmental vehicle pools for travel. The department delivers fleet services in seven regional locations. A range of justice operations require travel between offices, prisons and community worksites. </w:t>
      </w:r>
    </w:p>
    <w:p w:rsidR="000D6E6A" w:rsidRDefault="000D6E6A">
      <w:pPr>
        <w:pStyle w:val="Bodycopy"/>
      </w:pPr>
      <w:r>
        <w:t>Examples of environmental initiatives and fleet emission reduction activities include:</w:t>
      </w:r>
    </w:p>
    <w:p w:rsidR="000D6E6A" w:rsidRDefault="000D6E6A">
      <w:pPr>
        <w:pStyle w:val="BodycopyBullet"/>
      </w:pPr>
      <w:r>
        <w:rPr>
          <w:spacing w:val="-4"/>
        </w:rPr>
        <w:t xml:space="preserve">continued implementation of the Supplementary </w:t>
      </w:r>
      <w:r>
        <w:t xml:space="preserve">Motor Vehicle Policy which mandates low-emission default operational motor vehicles unless there are exceptional operational requirements resulting, in 45 per cent of the fleet being hybrid vehicles  </w:t>
      </w:r>
    </w:p>
    <w:p w:rsidR="000D6E6A" w:rsidRDefault="000D6E6A">
      <w:pPr>
        <w:pStyle w:val="BodycopyBullet"/>
      </w:pPr>
      <w:r>
        <w:t>increasing the number of video-conferencing facilities for meetings.</w:t>
      </w:r>
    </w:p>
    <w:p w:rsidR="000D6E6A" w:rsidRDefault="000D6E6A">
      <w:pPr>
        <w:pStyle w:val="Bodycopy"/>
      </w:pPr>
      <w:r>
        <w:t xml:space="preserve">In 2017–18, the department’s total GHG emissions from fleet increased by nine per cent. The increase is due to additional passenger diesel vehicles and diesel fuel consumption, and a corresponding decrease in LPG consumption. Commercial vehicles, i.e. buses and vans’ diesel fuel consumption, has also increased on a per </w:t>
      </w:r>
      <w:proofErr w:type="spellStart"/>
      <w:r>
        <w:t>kilometer</w:t>
      </w:r>
      <w:proofErr w:type="spellEnd"/>
      <w:r>
        <w:t xml:space="preserve"> basis.</w:t>
      </w:r>
    </w:p>
    <w:p w:rsidR="000D6E6A" w:rsidRDefault="000D6E6A">
      <w:pPr>
        <w:pStyle w:val="OutputheaderOutputs"/>
      </w:pPr>
      <w:r>
        <w:t xml:space="preserve">2017–19 sustainable transport and fleet target </w:t>
      </w:r>
    </w:p>
    <w:p w:rsidR="000D6E6A" w:rsidRDefault="000D6E6A">
      <w:pPr>
        <w:pStyle w:val="PurpleTextunderlineOutputs"/>
      </w:pPr>
      <w:r>
        <w:t>Reduce fleet and travel greenhouse gas emissions through offsets or improved efficiency.</w:t>
      </w:r>
    </w:p>
    <w:p w:rsidR="000D6E6A" w:rsidRDefault="000D6E6A">
      <w:pPr>
        <w:pStyle w:val="H2"/>
      </w:pPr>
      <w:r>
        <w:t>Fleet</w:t>
      </w:r>
    </w:p>
    <w:p w:rsidR="000D6E6A" w:rsidRDefault="000D6E6A">
      <w:pPr>
        <w:pStyle w:val="Bodycopyspan"/>
        <w:rPr>
          <w:rStyle w:val="RegularItalic"/>
          <w:i/>
          <w:iCs/>
        </w:rPr>
      </w:pPr>
      <w:r>
        <w:rPr>
          <w:rStyle w:val="RegularItalic"/>
          <w:i/>
          <w:iCs/>
        </w:rPr>
        <w:t>Total department transportation (vehicle fleet performance by fuel type) 2017–18</w:t>
      </w:r>
    </w:p>
    <w:tbl>
      <w:tblPr>
        <w:tblW w:w="0" w:type="auto"/>
        <w:tblInd w:w="57" w:type="dxa"/>
        <w:tblLayout w:type="fixed"/>
        <w:tblCellMar>
          <w:left w:w="0" w:type="dxa"/>
          <w:right w:w="0" w:type="dxa"/>
        </w:tblCellMar>
        <w:tblLook w:firstRow="0" w:lastRow="0" w:firstColumn="0" w:lastColumn="0" w:noHBand="0" w:noVBand="0" w:val="0000"/>
      </w:tblPr>
      <w:tblGrid>
        <w:gridCol w:w="3118"/>
        <w:gridCol w:w="1984"/>
        <w:gridCol w:w="1985"/>
        <w:gridCol w:w="1984"/>
      </w:tblGrid>
      <w:tr w:rsidRPr="00B51F57" w:rsidR="000D6E6A" w:rsidTr="009B6B2A">
        <w:tblPrEx>
          <w:tblCellMar>
            <w:top w:w="0" w:type="dxa"/>
            <w:left w:w="0" w:type="dxa"/>
            <w:bottom w:w="0" w:type="dxa"/>
            <w:right w:w="0" w:type="dxa"/>
          </w:tblCellMar>
        </w:tblPrEx>
        <w:trPr>
          <w:trHeight w:val="113"/>
          <w:tblHeader/>
        </w:trPr>
        <w:tc>
          <w:tcPr>
            <w:tcW w:w="3118" w:type="dxa"/>
            <w:tcBorders>
              <w:top w:val="dotted" w:color="000000" w:sz="6" w:space="0"/>
              <w:left w:val="nil"/>
              <w:bottom w:val="single" w:color="542E8E" w:sz="6" w:space="0"/>
              <w:right w:val="nil"/>
            </w:tcBorders>
            <w:shd w:val="solid" w:color="FFFFFF" w:fill="auto"/>
            <w:tcMar>
              <w:top w:w="40" w:type="dxa"/>
              <w:left w:w="57" w:type="dxa"/>
              <w:bottom w:w="40" w:type="dxa"/>
              <w:right w:w="57" w:type="dxa"/>
            </w:tcMar>
          </w:tcPr>
          <w:p w:rsidRPr="00B51F57" w:rsidR="000D6E6A" w:rsidRDefault="000D6E6A">
            <w:pPr>
              <w:pStyle w:val="bodycopytabletable"/>
            </w:pPr>
            <w:r w:rsidRPr="00B51F57">
              <w:rPr>
                <w:rStyle w:val="mediumpurple"/>
                <w:b/>
                <w:bCs/>
              </w:rPr>
              <w:t>Description</w:t>
            </w:r>
          </w:p>
        </w:tc>
        <w:tc>
          <w:tcPr>
            <w:tcW w:w="1984" w:type="dxa"/>
            <w:tcBorders>
              <w:top w:val="dotted" w:color="000000" w:sz="6" w:space="0"/>
              <w:left w:val="nil"/>
              <w:bottom w:val="single" w:color="542E8E" w:sz="6" w:space="0"/>
              <w:right w:val="nil"/>
            </w:tcBorders>
            <w:shd w:val="solid" w:color="FFFFFF" w:fill="auto"/>
            <w:tcMar>
              <w:top w:w="40" w:type="dxa"/>
              <w:left w:w="57" w:type="dxa"/>
              <w:bottom w:w="40" w:type="dxa"/>
              <w:right w:w="57" w:type="dxa"/>
            </w:tcMar>
          </w:tcPr>
          <w:p w:rsidRPr="00B51F57" w:rsidR="000D6E6A" w:rsidRDefault="000D6E6A">
            <w:pPr>
              <w:pStyle w:val="bodycopytabletable"/>
              <w:jc w:val="right"/>
            </w:pPr>
            <w:r w:rsidRPr="00B51F57">
              <w:rPr>
                <w:rStyle w:val="mediumpurple"/>
                <w:b/>
                <w:bCs/>
              </w:rPr>
              <w:t>Passenger fleet</w:t>
            </w:r>
          </w:p>
        </w:tc>
        <w:tc>
          <w:tcPr>
            <w:tcW w:w="1985" w:type="dxa"/>
            <w:tcBorders>
              <w:top w:val="dotted" w:color="000000" w:sz="6" w:space="0"/>
              <w:left w:val="nil"/>
              <w:bottom w:val="single" w:color="542E8E" w:sz="6" w:space="0"/>
              <w:right w:val="nil"/>
            </w:tcBorders>
            <w:shd w:val="solid" w:color="FFFFFF" w:fill="auto"/>
            <w:tcMar>
              <w:top w:w="40" w:type="dxa"/>
              <w:left w:w="57" w:type="dxa"/>
              <w:bottom w:w="40" w:type="dxa"/>
              <w:right w:w="57" w:type="dxa"/>
            </w:tcMar>
          </w:tcPr>
          <w:p w:rsidRPr="00B51F57" w:rsidR="000D6E6A" w:rsidRDefault="000D6E6A">
            <w:pPr>
              <w:pStyle w:val="bodycopytabletable"/>
              <w:jc w:val="right"/>
            </w:pPr>
            <w:r w:rsidRPr="00B51F57">
              <w:rPr>
                <w:rStyle w:val="mediumpurple"/>
                <w:b/>
                <w:bCs/>
              </w:rPr>
              <w:t>Other</w:t>
            </w:r>
          </w:p>
        </w:tc>
        <w:tc>
          <w:tcPr>
            <w:tcW w:w="1984" w:type="dxa"/>
            <w:tcBorders>
              <w:top w:val="dotted" w:color="000000" w:sz="6" w:space="0"/>
              <w:left w:val="nil"/>
              <w:bottom w:val="single" w:color="542E8E" w:sz="6" w:space="0"/>
              <w:right w:val="nil"/>
            </w:tcBorders>
            <w:shd w:val="solid" w:color="FFFFFF" w:fill="auto"/>
            <w:tcMar>
              <w:top w:w="40" w:type="dxa"/>
              <w:left w:w="57" w:type="dxa"/>
              <w:bottom w:w="40" w:type="dxa"/>
              <w:right w:w="57" w:type="dxa"/>
            </w:tcMar>
          </w:tcPr>
          <w:p w:rsidRPr="00B51F57" w:rsidR="000D6E6A" w:rsidRDefault="000D6E6A">
            <w:pPr>
              <w:pStyle w:val="bodycopytabletable"/>
              <w:jc w:val="right"/>
            </w:pPr>
            <w:r w:rsidRPr="00B51F57">
              <w:rPr>
                <w:rStyle w:val="mediumpurple"/>
                <w:b/>
                <w:bCs/>
              </w:rPr>
              <w:t>Total</w:t>
            </w:r>
          </w:p>
        </w:tc>
      </w:tr>
      <w:tr w:rsidRPr="00B51F57" w:rsidR="000D6E6A" w:rsidTr="009B6B2A">
        <w:tblPrEx>
          <w:tblCellMar>
            <w:top w:w="0" w:type="dxa"/>
            <w:left w:w="0" w:type="dxa"/>
            <w:bottom w:w="0" w:type="dxa"/>
            <w:right w:w="0" w:type="dxa"/>
          </w:tblCellMar>
        </w:tblPrEx>
        <w:trPr>
          <w:trHeight w:val="113"/>
        </w:trPr>
        <w:tc>
          <w:tcPr>
            <w:tcW w:w="9071" w:type="dxa"/>
            <w:gridSpan w:val="4"/>
            <w:tcBorders>
              <w:top w:val="single" w:color="542E8E" w:sz="4" w:space="0"/>
              <w:left w:val="nil"/>
              <w:bottom w:val="single" w:color="542E8E" w:sz="4" w:space="0"/>
              <w:right w:val="nil"/>
            </w:tcBorders>
            <w:shd w:val="solid" w:color="FFFFFF" w:fill="auto"/>
            <w:tcMar>
              <w:top w:w="40" w:type="dxa"/>
              <w:left w:w="57" w:type="dxa"/>
              <w:bottom w:w="40" w:type="dxa"/>
              <w:right w:w="57" w:type="dxa"/>
            </w:tcMar>
          </w:tcPr>
          <w:p w:rsidRPr="00B51F57" w:rsidR="000D6E6A" w:rsidRDefault="000D6E6A">
            <w:pPr>
              <w:pStyle w:val="bodycopytabletable"/>
            </w:pPr>
            <w:r w:rsidRPr="00B51F57">
              <w:rPr>
                <w:rStyle w:val="Purple"/>
              </w:rPr>
              <w:t>Fuel consumption (megajoules)</w:t>
            </w:r>
          </w:p>
        </w:tc>
      </w:tr>
      <w:tr w:rsidRPr="00B51F57" w:rsidR="000D6E6A" w:rsidTr="009B6B2A">
        <w:tblPrEx>
          <w:tblCellMar>
            <w:top w:w="0" w:type="dxa"/>
            <w:left w:w="0" w:type="dxa"/>
            <w:bottom w:w="0" w:type="dxa"/>
            <w:right w:w="0" w:type="dxa"/>
          </w:tblCellMar>
        </w:tblPrEx>
        <w:trPr>
          <w:trHeight w:val="113"/>
        </w:trPr>
        <w:tc>
          <w:tcPr>
            <w:tcW w:w="3118" w:type="dxa"/>
            <w:tcBorders>
              <w:top w:val="single"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pPr>
            <w:r w:rsidRPr="00B51F57">
              <w:t>Petrol</w:t>
            </w:r>
          </w:p>
        </w:tc>
        <w:tc>
          <w:tcPr>
            <w:tcW w:w="1984" w:type="dxa"/>
            <w:tcBorders>
              <w:top w:val="single"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jc w:val="right"/>
            </w:pPr>
            <w:r w:rsidRPr="00B51F57">
              <w:t>21,101,124</w:t>
            </w:r>
          </w:p>
        </w:tc>
        <w:tc>
          <w:tcPr>
            <w:tcW w:w="1985" w:type="dxa"/>
            <w:tcBorders>
              <w:top w:val="single"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jc w:val="right"/>
            </w:pPr>
            <w:r w:rsidRPr="00B51F57">
              <w:t>3,432,015</w:t>
            </w:r>
          </w:p>
        </w:tc>
        <w:tc>
          <w:tcPr>
            <w:tcW w:w="1984" w:type="dxa"/>
            <w:tcBorders>
              <w:top w:val="single"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jc w:val="right"/>
            </w:pPr>
            <w:r w:rsidRPr="00B51F57">
              <w:t>24,533,139</w:t>
            </w:r>
          </w:p>
        </w:tc>
      </w:tr>
      <w:tr w:rsidRPr="00B51F57" w:rsidR="000D6E6A" w:rsidTr="009B6B2A">
        <w:tblPrEx>
          <w:tblCellMar>
            <w:top w:w="0" w:type="dxa"/>
            <w:left w:w="0" w:type="dxa"/>
            <w:bottom w:w="0" w:type="dxa"/>
            <w:right w:w="0" w:type="dxa"/>
          </w:tblCellMar>
        </w:tblPrEx>
        <w:trPr>
          <w:trHeight w:val="113"/>
        </w:trPr>
        <w:tc>
          <w:tcPr>
            <w:tcW w:w="3118" w:type="dxa"/>
            <w:tcBorders>
              <w:top w:val="dotted"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pPr>
            <w:r w:rsidRPr="00B51F57">
              <w:t>Diesel</w:t>
            </w:r>
          </w:p>
        </w:tc>
        <w:tc>
          <w:tcPr>
            <w:tcW w:w="1984" w:type="dxa"/>
            <w:tcBorders>
              <w:top w:val="dotted"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jc w:val="right"/>
            </w:pPr>
            <w:r w:rsidRPr="00B51F57">
              <w:t>585,573</w:t>
            </w:r>
          </w:p>
        </w:tc>
        <w:tc>
          <w:tcPr>
            <w:tcW w:w="1985" w:type="dxa"/>
            <w:tcBorders>
              <w:top w:val="dotted"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jc w:val="right"/>
            </w:pPr>
            <w:r w:rsidRPr="00B51F57">
              <w:t>13,387,666</w:t>
            </w:r>
          </w:p>
        </w:tc>
        <w:tc>
          <w:tcPr>
            <w:tcW w:w="1984" w:type="dxa"/>
            <w:tcBorders>
              <w:top w:val="dotted"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jc w:val="right"/>
            </w:pPr>
            <w:r w:rsidRPr="00B51F57">
              <w:t>13,973,239</w:t>
            </w:r>
          </w:p>
        </w:tc>
      </w:tr>
      <w:tr w:rsidRPr="00B51F57" w:rsidR="000D6E6A" w:rsidTr="009B6B2A">
        <w:tblPrEx>
          <w:tblCellMar>
            <w:top w:w="0" w:type="dxa"/>
            <w:left w:w="0" w:type="dxa"/>
            <w:bottom w:w="0" w:type="dxa"/>
            <w:right w:w="0" w:type="dxa"/>
          </w:tblCellMar>
        </w:tblPrEx>
        <w:trPr>
          <w:trHeight w:val="113"/>
        </w:trPr>
        <w:tc>
          <w:tcPr>
            <w:tcW w:w="3118" w:type="dxa"/>
            <w:tcBorders>
              <w:top w:val="dotted"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pPr>
            <w:r w:rsidRPr="00B51F57">
              <w:t>LPG</w:t>
            </w:r>
          </w:p>
        </w:tc>
        <w:tc>
          <w:tcPr>
            <w:tcW w:w="1984" w:type="dxa"/>
            <w:tcBorders>
              <w:top w:val="dotted"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jc w:val="right"/>
            </w:pPr>
            <w:r w:rsidRPr="00B51F57">
              <w:t>281,353</w:t>
            </w:r>
          </w:p>
        </w:tc>
        <w:tc>
          <w:tcPr>
            <w:tcW w:w="1985" w:type="dxa"/>
            <w:tcBorders>
              <w:top w:val="dotted"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jc w:val="right"/>
            </w:pPr>
            <w:r w:rsidRPr="00B51F57">
              <w:t>233,956</w:t>
            </w:r>
          </w:p>
        </w:tc>
        <w:tc>
          <w:tcPr>
            <w:tcW w:w="1984" w:type="dxa"/>
            <w:tcBorders>
              <w:top w:val="dotted"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jc w:val="right"/>
            </w:pPr>
            <w:r w:rsidRPr="00B51F57">
              <w:t>515,309</w:t>
            </w:r>
          </w:p>
        </w:tc>
      </w:tr>
      <w:tr w:rsidRPr="00B51F57" w:rsidR="000D6E6A" w:rsidTr="009B6B2A">
        <w:tblPrEx>
          <w:tblCellMar>
            <w:top w:w="0" w:type="dxa"/>
            <w:left w:w="0" w:type="dxa"/>
            <w:bottom w:w="0" w:type="dxa"/>
            <w:right w:w="0" w:type="dxa"/>
          </w:tblCellMar>
        </w:tblPrEx>
        <w:trPr>
          <w:trHeight w:val="113"/>
        </w:trPr>
        <w:tc>
          <w:tcPr>
            <w:tcW w:w="3118" w:type="dxa"/>
            <w:tcBorders>
              <w:top w:val="dotted"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pPr>
            <w:r w:rsidRPr="00B51F57">
              <w:t>E-10</w:t>
            </w:r>
          </w:p>
        </w:tc>
        <w:tc>
          <w:tcPr>
            <w:tcW w:w="1984" w:type="dxa"/>
            <w:tcBorders>
              <w:top w:val="dotted"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jc w:val="right"/>
            </w:pPr>
            <w:r w:rsidRPr="00B51F57">
              <w:t>11,222</w:t>
            </w:r>
          </w:p>
        </w:tc>
        <w:tc>
          <w:tcPr>
            <w:tcW w:w="1985" w:type="dxa"/>
            <w:tcBorders>
              <w:top w:val="dotted"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jc w:val="right"/>
            </w:pPr>
            <w:r w:rsidRPr="00B51F57">
              <w:t>11,730</w:t>
            </w:r>
          </w:p>
        </w:tc>
        <w:tc>
          <w:tcPr>
            <w:tcW w:w="1984" w:type="dxa"/>
            <w:tcBorders>
              <w:top w:val="dotted"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jc w:val="right"/>
            </w:pPr>
            <w:r w:rsidRPr="00B51F57">
              <w:t>22,952</w:t>
            </w:r>
          </w:p>
        </w:tc>
      </w:tr>
      <w:tr w:rsidRPr="00B51F57" w:rsidR="000D6E6A" w:rsidTr="009B6B2A">
        <w:tblPrEx>
          <w:tblCellMar>
            <w:top w:w="0" w:type="dxa"/>
            <w:left w:w="0" w:type="dxa"/>
            <w:bottom w:w="0" w:type="dxa"/>
            <w:right w:w="0" w:type="dxa"/>
          </w:tblCellMar>
        </w:tblPrEx>
        <w:trPr>
          <w:trHeight w:val="113"/>
        </w:trPr>
        <w:tc>
          <w:tcPr>
            <w:tcW w:w="3118" w:type="dxa"/>
            <w:tcBorders>
              <w:top w:val="dotted" w:color="542E8E" w:sz="4" w:space="0"/>
              <w:left w:val="nil"/>
              <w:bottom w:val="single" w:color="542E8E" w:sz="4" w:space="0"/>
              <w:right w:val="nil"/>
            </w:tcBorders>
            <w:tcMar>
              <w:top w:w="40" w:type="dxa"/>
              <w:left w:w="57" w:type="dxa"/>
              <w:bottom w:w="40" w:type="dxa"/>
              <w:right w:w="57" w:type="dxa"/>
            </w:tcMar>
          </w:tcPr>
          <w:p w:rsidRPr="00B51F57" w:rsidR="000D6E6A" w:rsidRDefault="000D6E6A">
            <w:pPr>
              <w:pStyle w:val="bodycopytabletable"/>
            </w:pPr>
            <w:r w:rsidRPr="00B51F57">
              <w:rPr>
                <w:rStyle w:val="medium"/>
                <w:b/>
                <w:bCs/>
              </w:rPr>
              <w:lastRenderedPageBreak/>
              <w:t>Total</w:t>
            </w:r>
          </w:p>
        </w:tc>
        <w:tc>
          <w:tcPr>
            <w:tcW w:w="1984" w:type="dxa"/>
            <w:tcBorders>
              <w:top w:val="dotted" w:color="542E8E" w:sz="4" w:space="0"/>
              <w:left w:val="nil"/>
              <w:bottom w:val="single" w:color="542E8E" w:sz="4" w:space="0"/>
              <w:right w:val="nil"/>
            </w:tcBorders>
            <w:tcMar>
              <w:top w:w="40" w:type="dxa"/>
              <w:left w:w="57" w:type="dxa"/>
              <w:bottom w:w="40" w:type="dxa"/>
              <w:right w:w="57" w:type="dxa"/>
            </w:tcMar>
          </w:tcPr>
          <w:p w:rsidRPr="00B51F57" w:rsidR="000D6E6A" w:rsidRDefault="000D6E6A">
            <w:pPr>
              <w:pStyle w:val="bodycopytabletable"/>
              <w:jc w:val="right"/>
            </w:pPr>
            <w:r w:rsidRPr="00B51F57">
              <w:rPr>
                <w:rStyle w:val="medium"/>
                <w:b/>
                <w:bCs/>
              </w:rPr>
              <w:t>21,979,272</w:t>
            </w:r>
          </w:p>
        </w:tc>
        <w:tc>
          <w:tcPr>
            <w:tcW w:w="1985" w:type="dxa"/>
            <w:tcBorders>
              <w:top w:val="dotted" w:color="542E8E" w:sz="4" w:space="0"/>
              <w:left w:val="nil"/>
              <w:bottom w:val="single" w:color="542E8E" w:sz="4" w:space="0"/>
              <w:right w:val="nil"/>
            </w:tcBorders>
            <w:tcMar>
              <w:top w:w="40" w:type="dxa"/>
              <w:left w:w="57" w:type="dxa"/>
              <w:bottom w:w="40" w:type="dxa"/>
              <w:right w:w="57" w:type="dxa"/>
            </w:tcMar>
          </w:tcPr>
          <w:p w:rsidRPr="00B51F57" w:rsidR="000D6E6A" w:rsidRDefault="000D6E6A">
            <w:pPr>
              <w:pStyle w:val="bodycopytabletable"/>
              <w:jc w:val="right"/>
            </w:pPr>
            <w:r w:rsidRPr="00B51F57">
              <w:rPr>
                <w:rStyle w:val="medium"/>
                <w:b/>
                <w:bCs/>
              </w:rPr>
              <w:t>17,065,367</w:t>
            </w:r>
          </w:p>
        </w:tc>
        <w:tc>
          <w:tcPr>
            <w:tcW w:w="1984" w:type="dxa"/>
            <w:tcBorders>
              <w:top w:val="dotted" w:color="542E8E" w:sz="4" w:space="0"/>
              <w:left w:val="nil"/>
              <w:bottom w:val="single" w:color="542E8E" w:sz="4" w:space="0"/>
              <w:right w:val="nil"/>
            </w:tcBorders>
            <w:tcMar>
              <w:top w:w="40" w:type="dxa"/>
              <w:left w:w="57" w:type="dxa"/>
              <w:bottom w:w="40" w:type="dxa"/>
              <w:right w:w="57" w:type="dxa"/>
            </w:tcMar>
          </w:tcPr>
          <w:p w:rsidRPr="00B51F57" w:rsidR="000D6E6A" w:rsidRDefault="000D6E6A">
            <w:pPr>
              <w:pStyle w:val="bodycopytabletable"/>
              <w:jc w:val="right"/>
            </w:pPr>
            <w:r w:rsidRPr="00B51F57">
              <w:rPr>
                <w:rStyle w:val="medium"/>
                <w:b/>
                <w:bCs/>
              </w:rPr>
              <w:t>39,044,639</w:t>
            </w:r>
          </w:p>
        </w:tc>
      </w:tr>
      <w:tr w:rsidRPr="00B51F57" w:rsidR="000D6E6A" w:rsidTr="009B6B2A">
        <w:tblPrEx>
          <w:tblCellMar>
            <w:top w:w="0" w:type="dxa"/>
            <w:left w:w="0" w:type="dxa"/>
            <w:bottom w:w="0" w:type="dxa"/>
            <w:right w:w="0" w:type="dxa"/>
          </w:tblCellMar>
        </w:tblPrEx>
        <w:trPr>
          <w:trHeight w:val="113"/>
        </w:trPr>
        <w:tc>
          <w:tcPr>
            <w:tcW w:w="9071" w:type="dxa"/>
            <w:gridSpan w:val="4"/>
            <w:tcBorders>
              <w:top w:val="single" w:color="542E8E" w:sz="4" w:space="0"/>
              <w:left w:val="nil"/>
              <w:bottom w:val="single" w:color="542E8E" w:sz="4" w:space="0"/>
              <w:right w:val="nil"/>
            </w:tcBorders>
            <w:shd w:val="solid" w:color="FFFFFF" w:fill="auto"/>
            <w:tcMar>
              <w:top w:w="40" w:type="dxa"/>
              <w:left w:w="57" w:type="dxa"/>
              <w:bottom w:w="40" w:type="dxa"/>
              <w:right w:w="57" w:type="dxa"/>
            </w:tcMar>
          </w:tcPr>
          <w:p w:rsidRPr="00B51F57" w:rsidR="000D6E6A" w:rsidRDefault="000D6E6A">
            <w:pPr>
              <w:pStyle w:val="bodycopytabletable"/>
            </w:pPr>
            <w:r w:rsidRPr="00B51F57">
              <w:rPr>
                <w:rStyle w:val="Purple"/>
              </w:rPr>
              <w:t>Distance travelled (kilometres)</w:t>
            </w:r>
          </w:p>
        </w:tc>
      </w:tr>
      <w:tr w:rsidRPr="00B51F57" w:rsidR="000D6E6A" w:rsidTr="009B6B2A">
        <w:tblPrEx>
          <w:tblCellMar>
            <w:top w:w="0" w:type="dxa"/>
            <w:left w:w="0" w:type="dxa"/>
            <w:bottom w:w="0" w:type="dxa"/>
            <w:right w:w="0" w:type="dxa"/>
          </w:tblCellMar>
        </w:tblPrEx>
        <w:trPr>
          <w:trHeight w:val="113"/>
        </w:trPr>
        <w:tc>
          <w:tcPr>
            <w:tcW w:w="3118" w:type="dxa"/>
            <w:tcBorders>
              <w:top w:val="single"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pPr>
            <w:r w:rsidRPr="00B51F57">
              <w:t>Petrol</w:t>
            </w:r>
          </w:p>
        </w:tc>
        <w:tc>
          <w:tcPr>
            <w:tcW w:w="1984" w:type="dxa"/>
            <w:tcBorders>
              <w:top w:val="single"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jc w:val="right"/>
            </w:pPr>
            <w:r w:rsidRPr="00B51F57">
              <w:t>8,172,029</w:t>
            </w:r>
          </w:p>
        </w:tc>
        <w:tc>
          <w:tcPr>
            <w:tcW w:w="1985" w:type="dxa"/>
            <w:tcBorders>
              <w:top w:val="single"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jc w:val="right"/>
            </w:pPr>
            <w:r w:rsidRPr="00B51F57">
              <w:t>757,940</w:t>
            </w:r>
          </w:p>
        </w:tc>
        <w:tc>
          <w:tcPr>
            <w:tcW w:w="1984" w:type="dxa"/>
            <w:tcBorders>
              <w:top w:val="single"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jc w:val="right"/>
            </w:pPr>
            <w:r w:rsidRPr="00B51F57">
              <w:t>8,929,969</w:t>
            </w:r>
          </w:p>
        </w:tc>
      </w:tr>
      <w:tr w:rsidRPr="00B51F57" w:rsidR="000D6E6A" w:rsidTr="009B6B2A">
        <w:tblPrEx>
          <w:tblCellMar>
            <w:top w:w="0" w:type="dxa"/>
            <w:left w:w="0" w:type="dxa"/>
            <w:bottom w:w="0" w:type="dxa"/>
            <w:right w:w="0" w:type="dxa"/>
          </w:tblCellMar>
        </w:tblPrEx>
        <w:trPr>
          <w:trHeight w:val="113"/>
        </w:trPr>
        <w:tc>
          <w:tcPr>
            <w:tcW w:w="3118" w:type="dxa"/>
            <w:tcBorders>
              <w:top w:val="dotted"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pPr>
            <w:r w:rsidRPr="00B51F57">
              <w:t>Diesel</w:t>
            </w:r>
          </w:p>
        </w:tc>
        <w:tc>
          <w:tcPr>
            <w:tcW w:w="1984" w:type="dxa"/>
            <w:tcBorders>
              <w:top w:val="dotted"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jc w:val="right"/>
            </w:pPr>
            <w:r w:rsidRPr="00B51F57">
              <w:t>337,353</w:t>
            </w:r>
          </w:p>
        </w:tc>
        <w:tc>
          <w:tcPr>
            <w:tcW w:w="1985" w:type="dxa"/>
            <w:tcBorders>
              <w:top w:val="dotted"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jc w:val="right"/>
            </w:pPr>
            <w:r w:rsidRPr="00B51F57">
              <w:t>1,870,407</w:t>
            </w:r>
          </w:p>
        </w:tc>
        <w:tc>
          <w:tcPr>
            <w:tcW w:w="1984" w:type="dxa"/>
            <w:tcBorders>
              <w:top w:val="dotted"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jc w:val="right"/>
            </w:pPr>
            <w:r w:rsidRPr="00B51F57">
              <w:t>2,207,760</w:t>
            </w:r>
          </w:p>
        </w:tc>
      </w:tr>
      <w:tr w:rsidRPr="00B51F57" w:rsidR="000D6E6A" w:rsidTr="009B6B2A">
        <w:tblPrEx>
          <w:tblCellMar>
            <w:top w:w="0" w:type="dxa"/>
            <w:left w:w="0" w:type="dxa"/>
            <w:bottom w:w="0" w:type="dxa"/>
            <w:right w:w="0" w:type="dxa"/>
          </w:tblCellMar>
        </w:tblPrEx>
        <w:trPr>
          <w:trHeight w:val="113"/>
        </w:trPr>
        <w:tc>
          <w:tcPr>
            <w:tcW w:w="3118" w:type="dxa"/>
            <w:tcBorders>
              <w:top w:val="dotted"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pPr>
            <w:r w:rsidRPr="00B51F57">
              <w:t>LPG</w:t>
            </w:r>
          </w:p>
        </w:tc>
        <w:tc>
          <w:tcPr>
            <w:tcW w:w="1984" w:type="dxa"/>
            <w:tcBorders>
              <w:top w:val="dotted"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jc w:val="right"/>
            </w:pPr>
            <w:r w:rsidRPr="00B51F57">
              <w:t>204,931</w:t>
            </w:r>
          </w:p>
        </w:tc>
        <w:tc>
          <w:tcPr>
            <w:tcW w:w="1985" w:type="dxa"/>
            <w:tcBorders>
              <w:top w:val="dotted"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jc w:val="right"/>
            </w:pPr>
            <w:r w:rsidRPr="00B51F57">
              <w:t>48,402</w:t>
            </w:r>
          </w:p>
        </w:tc>
        <w:tc>
          <w:tcPr>
            <w:tcW w:w="1984" w:type="dxa"/>
            <w:tcBorders>
              <w:top w:val="dotted"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jc w:val="right"/>
            </w:pPr>
            <w:r w:rsidRPr="00B51F57">
              <w:t>253,333</w:t>
            </w:r>
          </w:p>
        </w:tc>
      </w:tr>
      <w:tr w:rsidRPr="00B51F57" w:rsidR="000D6E6A" w:rsidTr="009B6B2A">
        <w:tblPrEx>
          <w:tblCellMar>
            <w:top w:w="0" w:type="dxa"/>
            <w:left w:w="0" w:type="dxa"/>
            <w:bottom w:w="0" w:type="dxa"/>
            <w:right w:w="0" w:type="dxa"/>
          </w:tblCellMar>
        </w:tblPrEx>
        <w:trPr>
          <w:trHeight w:val="113"/>
        </w:trPr>
        <w:tc>
          <w:tcPr>
            <w:tcW w:w="3118" w:type="dxa"/>
            <w:tcBorders>
              <w:top w:val="dotted"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pPr>
            <w:r w:rsidRPr="00B51F57">
              <w:t>E-10</w:t>
            </w:r>
          </w:p>
        </w:tc>
        <w:tc>
          <w:tcPr>
            <w:tcW w:w="1984" w:type="dxa"/>
            <w:tcBorders>
              <w:top w:val="dotted"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jc w:val="right"/>
            </w:pPr>
            <w:r w:rsidRPr="00B51F57">
              <w:t>49,500</w:t>
            </w:r>
          </w:p>
        </w:tc>
        <w:tc>
          <w:tcPr>
            <w:tcW w:w="1985" w:type="dxa"/>
            <w:tcBorders>
              <w:top w:val="dotted"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jc w:val="right"/>
            </w:pPr>
            <w:r w:rsidRPr="00B51F57">
              <w:t>37,874</w:t>
            </w:r>
          </w:p>
        </w:tc>
        <w:tc>
          <w:tcPr>
            <w:tcW w:w="1984" w:type="dxa"/>
            <w:tcBorders>
              <w:top w:val="dotted"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jc w:val="right"/>
            </w:pPr>
            <w:r w:rsidRPr="00B51F57">
              <w:t>87,374</w:t>
            </w:r>
          </w:p>
        </w:tc>
      </w:tr>
      <w:tr w:rsidRPr="00B51F57" w:rsidR="000D6E6A" w:rsidTr="009B6B2A">
        <w:tblPrEx>
          <w:tblCellMar>
            <w:top w:w="0" w:type="dxa"/>
            <w:left w:w="0" w:type="dxa"/>
            <w:bottom w:w="0" w:type="dxa"/>
            <w:right w:w="0" w:type="dxa"/>
          </w:tblCellMar>
        </w:tblPrEx>
        <w:trPr>
          <w:trHeight w:val="113"/>
        </w:trPr>
        <w:tc>
          <w:tcPr>
            <w:tcW w:w="3118" w:type="dxa"/>
            <w:tcBorders>
              <w:top w:val="dotted" w:color="542E8E" w:sz="4" w:space="0"/>
              <w:left w:val="nil"/>
              <w:bottom w:val="single" w:color="542E8E" w:sz="4" w:space="0"/>
              <w:right w:val="nil"/>
            </w:tcBorders>
            <w:tcMar>
              <w:top w:w="40" w:type="dxa"/>
              <w:left w:w="57" w:type="dxa"/>
              <w:bottom w:w="40" w:type="dxa"/>
              <w:right w:w="57" w:type="dxa"/>
            </w:tcMar>
          </w:tcPr>
          <w:p w:rsidRPr="00B51F57" w:rsidR="000D6E6A" w:rsidRDefault="000D6E6A">
            <w:pPr>
              <w:pStyle w:val="bodycopytabletable"/>
            </w:pPr>
            <w:r w:rsidRPr="00B51F57">
              <w:rPr>
                <w:rStyle w:val="medium"/>
                <w:b/>
                <w:bCs/>
              </w:rPr>
              <w:t>Total</w:t>
            </w:r>
          </w:p>
        </w:tc>
        <w:tc>
          <w:tcPr>
            <w:tcW w:w="1984" w:type="dxa"/>
            <w:tcBorders>
              <w:top w:val="dotted" w:color="542E8E" w:sz="4" w:space="0"/>
              <w:left w:val="nil"/>
              <w:bottom w:val="single" w:color="542E8E" w:sz="4" w:space="0"/>
              <w:right w:val="nil"/>
            </w:tcBorders>
            <w:tcMar>
              <w:top w:w="40" w:type="dxa"/>
              <w:left w:w="57" w:type="dxa"/>
              <w:bottom w:w="40" w:type="dxa"/>
              <w:right w:w="57" w:type="dxa"/>
            </w:tcMar>
          </w:tcPr>
          <w:p w:rsidRPr="00B51F57" w:rsidR="000D6E6A" w:rsidRDefault="000D6E6A">
            <w:pPr>
              <w:pStyle w:val="bodycopytabletable"/>
              <w:jc w:val="right"/>
            </w:pPr>
            <w:r w:rsidRPr="00B51F57">
              <w:rPr>
                <w:rStyle w:val="medium"/>
                <w:b/>
                <w:bCs/>
              </w:rPr>
              <w:t>8,763,813</w:t>
            </w:r>
          </w:p>
        </w:tc>
        <w:tc>
          <w:tcPr>
            <w:tcW w:w="1985" w:type="dxa"/>
            <w:tcBorders>
              <w:top w:val="dotted" w:color="542E8E" w:sz="4" w:space="0"/>
              <w:left w:val="nil"/>
              <w:bottom w:val="single" w:color="542E8E" w:sz="4" w:space="0"/>
              <w:right w:val="nil"/>
            </w:tcBorders>
            <w:tcMar>
              <w:top w:w="40" w:type="dxa"/>
              <w:left w:w="57" w:type="dxa"/>
              <w:bottom w:w="40" w:type="dxa"/>
              <w:right w:w="57" w:type="dxa"/>
            </w:tcMar>
          </w:tcPr>
          <w:p w:rsidRPr="00B51F57" w:rsidR="000D6E6A" w:rsidRDefault="000D6E6A">
            <w:pPr>
              <w:pStyle w:val="bodycopytabletable"/>
              <w:jc w:val="right"/>
            </w:pPr>
            <w:r w:rsidRPr="00B51F57">
              <w:rPr>
                <w:rStyle w:val="medium"/>
                <w:b/>
                <w:bCs/>
              </w:rPr>
              <w:t>2,714,623</w:t>
            </w:r>
          </w:p>
        </w:tc>
        <w:tc>
          <w:tcPr>
            <w:tcW w:w="1984" w:type="dxa"/>
            <w:tcBorders>
              <w:top w:val="dotted" w:color="542E8E" w:sz="4" w:space="0"/>
              <w:left w:val="nil"/>
              <w:bottom w:val="single" w:color="542E8E" w:sz="4" w:space="0"/>
              <w:right w:val="nil"/>
            </w:tcBorders>
            <w:tcMar>
              <w:top w:w="40" w:type="dxa"/>
              <w:left w:w="57" w:type="dxa"/>
              <w:bottom w:w="40" w:type="dxa"/>
              <w:right w:w="57" w:type="dxa"/>
            </w:tcMar>
          </w:tcPr>
          <w:p w:rsidRPr="00B51F57" w:rsidR="000D6E6A" w:rsidRDefault="000D6E6A">
            <w:pPr>
              <w:pStyle w:val="bodycopytabletable"/>
              <w:jc w:val="right"/>
            </w:pPr>
            <w:r w:rsidRPr="00B51F57">
              <w:rPr>
                <w:rStyle w:val="medium"/>
                <w:b/>
                <w:bCs/>
              </w:rPr>
              <w:t>11,478,436</w:t>
            </w:r>
          </w:p>
        </w:tc>
      </w:tr>
      <w:tr w:rsidRPr="00B51F57" w:rsidR="000D6E6A" w:rsidTr="009B6B2A">
        <w:tblPrEx>
          <w:tblCellMar>
            <w:top w:w="0" w:type="dxa"/>
            <w:left w:w="0" w:type="dxa"/>
            <w:bottom w:w="0" w:type="dxa"/>
            <w:right w:w="0" w:type="dxa"/>
          </w:tblCellMar>
        </w:tblPrEx>
        <w:trPr>
          <w:trHeight w:val="113"/>
        </w:trPr>
        <w:tc>
          <w:tcPr>
            <w:tcW w:w="9071" w:type="dxa"/>
            <w:gridSpan w:val="4"/>
            <w:tcBorders>
              <w:top w:val="single" w:color="542E8E" w:sz="4" w:space="0"/>
              <w:left w:val="nil"/>
              <w:bottom w:val="single" w:color="542E8E" w:sz="4" w:space="0"/>
              <w:right w:val="nil"/>
            </w:tcBorders>
            <w:shd w:val="solid" w:color="FFFFFF" w:fill="auto"/>
            <w:tcMar>
              <w:top w:w="40" w:type="dxa"/>
              <w:left w:w="57" w:type="dxa"/>
              <w:bottom w:w="40" w:type="dxa"/>
              <w:right w:w="57" w:type="dxa"/>
            </w:tcMar>
          </w:tcPr>
          <w:p w:rsidRPr="00B51F57" w:rsidR="000D6E6A" w:rsidRDefault="000D6E6A">
            <w:pPr>
              <w:pStyle w:val="bodycopytabletable"/>
            </w:pPr>
            <w:r w:rsidRPr="00B51F57">
              <w:rPr>
                <w:rStyle w:val="Purple"/>
              </w:rPr>
              <w:t>Greenhouse gas emissions (tonnes CO2e)</w:t>
            </w:r>
          </w:p>
        </w:tc>
      </w:tr>
      <w:tr w:rsidRPr="00B51F57" w:rsidR="000D6E6A" w:rsidTr="009B6B2A">
        <w:tblPrEx>
          <w:tblCellMar>
            <w:top w:w="0" w:type="dxa"/>
            <w:left w:w="0" w:type="dxa"/>
            <w:bottom w:w="0" w:type="dxa"/>
            <w:right w:w="0" w:type="dxa"/>
          </w:tblCellMar>
        </w:tblPrEx>
        <w:trPr>
          <w:trHeight w:val="113"/>
        </w:trPr>
        <w:tc>
          <w:tcPr>
            <w:tcW w:w="3118" w:type="dxa"/>
            <w:tcBorders>
              <w:top w:val="single"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pPr>
            <w:r w:rsidRPr="00B51F57">
              <w:t>Petrol</w:t>
            </w:r>
          </w:p>
        </w:tc>
        <w:tc>
          <w:tcPr>
            <w:tcW w:w="1984" w:type="dxa"/>
            <w:tcBorders>
              <w:top w:val="single"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jc w:val="right"/>
            </w:pPr>
            <w:r w:rsidRPr="00B51F57">
              <w:t>1,471</w:t>
            </w:r>
          </w:p>
        </w:tc>
        <w:tc>
          <w:tcPr>
            <w:tcW w:w="1985" w:type="dxa"/>
            <w:tcBorders>
              <w:top w:val="single"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jc w:val="right"/>
            </w:pPr>
            <w:r w:rsidRPr="00B51F57">
              <w:t>239</w:t>
            </w:r>
          </w:p>
        </w:tc>
        <w:tc>
          <w:tcPr>
            <w:tcW w:w="1984" w:type="dxa"/>
            <w:tcBorders>
              <w:top w:val="single"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jc w:val="right"/>
            </w:pPr>
            <w:r w:rsidRPr="00B51F57">
              <w:t>1,710</w:t>
            </w:r>
          </w:p>
        </w:tc>
      </w:tr>
      <w:tr w:rsidRPr="00B51F57" w:rsidR="000D6E6A" w:rsidTr="009B6B2A">
        <w:tblPrEx>
          <w:tblCellMar>
            <w:top w:w="0" w:type="dxa"/>
            <w:left w:w="0" w:type="dxa"/>
            <w:bottom w:w="0" w:type="dxa"/>
            <w:right w:w="0" w:type="dxa"/>
          </w:tblCellMar>
        </w:tblPrEx>
        <w:trPr>
          <w:trHeight w:val="113"/>
        </w:trPr>
        <w:tc>
          <w:tcPr>
            <w:tcW w:w="3118" w:type="dxa"/>
            <w:tcBorders>
              <w:top w:val="dotted"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pPr>
            <w:r w:rsidRPr="00B51F57">
              <w:t>Diesel</w:t>
            </w:r>
          </w:p>
        </w:tc>
        <w:tc>
          <w:tcPr>
            <w:tcW w:w="1984" w:type="dxa"/>
            <w:tcBorders>
              <w:top w:val="dotted"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jc w:val="right"/>
            </w:pPr>
            <w:r w:rsidRPr="00B51F57">
              <w:t>41</w:t>
            </w:r>
          </w:p>
        </w:tc>
        <w:tc>
          <w:tcPr>
            <w:tcW w:w="1985" w:type="dxa"/>
            <w:tcBorders>
              <w:top w:val="dotted"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jc w:val="right"/>
            </w:pPr>
            <w:r w:rsidRPr="00B51F57">
              <w:t>944</w:t>
            </w:r>
          </w:p>
        </w:tc>
        <w:tc>
          <w:tcPr>
            <w:tcW w:w="1984" w:type="dxa"/>
            <w:tcBorders>
              <w:top w:val="dotted"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jc w:val="right"/>
            </w:pPr>
            <w:r w:rsidRPr="00B51F57">
              <w:t>985</w:t>
            </w:r>
          </w:p>
        </w:tc>
      </w:tr>
      <w:tr w:rsidRPr="00B51F57" w:rsidR="000D6E6A" w:rsidTr="009B6B2A">
        <w:tblPrEx>
          <w:tblCellMar>
            <w:top w:w="0" w:type="dxa"/>
            <w:left w:w="0" w:type="dxa"/>
            <w:bottom w:w="0" w:type="dxa"/>
            <w:right w:w="0" w:type="dxa"/>
          </w:tblCellMar>
        </w:tblPrEx>
        <w:trPr>
          <w:trHeight w:val="113"/>
        </w:trPr>
        <w:tc>
          <w:tcPr>
            <w:tcW w:w="3118" w:type="dxa"/>
            <w:tcBorders>
              <w:top w:val="dotted"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pPr>
            <w:r w:rsidRPr="00B51F57">
              <w:t>LPG</w:t>
            </w:r>
          </w:p>
        </w:tc>
        <w:tc>
          <w:tcPr>
            <w:tcW w:w="1984" w:type="dxa"/>
            <w:tcBorders>
              <w:top w:val="dotted"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jc w:val="right"/>
            </w:pPr>
            <w:r w:rsidRPr="00B51F57">
              <w:t>17</w:t>
            </w:r>
          </w:p>
        </w:tc>
        <w:tc>
          <w:tcPr>
            <w:tcW w:w="1985" w:type="dxa"/>
            <w:tcBorders>
              <w:top w:val="dotted"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jc w:val="right"/>
            </w:pPr>
            <w:r w:rsidRPr="00B51F57">
              <w:t>14</w:t>
            </w:r>
          </w:p>
        </w:tc>
        <w:tc>
          <w:tcPr>
            <w:tcW w:w="1984" w:type="dxa"/>
            <w:tcBorders>
              <w:top w:val="dotted"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jc w:val="right"/>
            </w:pPr>
            <w:r w:rsidRPr="00B51F57">
              <w:t>31</w:t>
            </w:r>
          </w:p>
        </w:tc>
      </w:tr>
      <w:tr w:rsidRPr="00B51F57" w:rsidR="000D6E6A" w:rsidTr="009B6B2A">
        <w:tblPrEx>
          <w:tblCellMar>
            <w:top w:w="0" w:type="dxa"/>
            <w:left w:w="0" w:type="dxa"/>
            <w:bottom w:w="0" w:type="dxa"/>
            <w:right w:w="0" w:type="dxa"/>
          </w:tblCellMar>
        </w:tblPrEx>
        <w:trPr>
          <w:trHeight w:val="113"/>
        </w:trPr>
        <w:tc>
          <w:tcPr>
            <w:tcW w:w="3118" w:type="dxa"/>
            <w:tcBorders>
              <w:top w:val="dotted"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pPr>
            <w:r w:rsidRPr="00B51F57">
              <w:t>E-10</w:t>
            </w:r>
          </w:p>
        </w:tc>
        <w:tc>
          <w:tcPr>
            <w:tcW w:w="1984" w:type="dxa"/>
            <w:tcBorders>
              <w:top w:val="dotted"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jc w:val="right"/>
            </w:pPr>
            <w:r w:rsidRPr="00B51F57">
              <w:t>1</w:t>
            </w:r>
          </w:p>
        </w:tc>
        <w:tc>
          <w:tcPr>
            <w:tcW w:w="1985" w:type="dxa"/>
            <w:tcBorders>
              <w:top w:val="dotted"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jc w:val="right"/>
            </w:pPr>
            <w:r w:rsidRPr="00B51F57">
              <w:t>1</w:t>
            </w:r>
          </w:p>
        </w:tc>
        <w:tc>
          <w:tcPr>
            <w:tcW w:w="1984" w:type="dxa"/>
            <w:tcBorders>
              <w:top w:val="dotted" w:color="542E8E" w:sz="4" w:space="0"/>
              <w:left w:val="nil"/>
              <w:bottom w:val="dotted" w:color="542E8E" w:sz="4" w:space="0"/>
              <w:right w:val="nil"/>
            </w:tcBorders>
            <w:tcMar>
              <w:top w:w="40" w:type="dxa"/>
              <w:left w:w="57" w:type="dxa"/>
              <w:bottom w:w="40" w:type="dxa"/>
              <w:right w:w="57" w:type="dxa"/>
            </w:tcMar>
          </w:tcPr>
          <w:p w:rsidRPr="00B51F57" w:rsidR="000D6E6A" w:rsidRDefault="000D6E6A">
            <w:pPr>
              <w:pStyle w:val="bodycopytabletable"/>
              <w:jc w:val="right"/>
            </w:pPr>
            <w:r w:rsidRPr="00B51F57">
              <w:t>2</w:t>
            </w:r>
          </w:p>
        </w:tc>
      </w:tr>
      <w:tr w:rsidRPr="00B51F57" w:rsidR="000D6E6A" w:rsidTr="009B6B2A">
        <w:tblPrEx>
          <w:tblCellMar>
            <w:top w:w="0" w:type="dxa"/>
            <w:left w:w="0" w:type="dxa"/>
            <w:bottom w:w="0" w:type="dxa"/>
            <w:right w:w="0" w:type="dxa"/>
          </w:tblCellMar>
        </w:tblPrEx>
        <w:trPr>
          <w:trHeight w:val="113"/>
        </w:trPr>
        <w:tc>
          <w:tcPr>
            <w:tcW w:w="3118" w:type="dxa"/>
            <w:tcBorders>
              <w:top w:val="dotted" w:color="542E8E" w:sz="4" w:space="0"/>
              <w:left w:val="nil"/>
              <w:bottom w:val="single" w:color="542E8E" w:sz="4" w:space="0"/>
              <w:right w:val="nil"/>
            </w:tcBorders>
            <w:shd w:val="solid" w:color="FFFFFF" w:fill="auto"/>
            <w:tcMar>
              <w:top w:w="40" w:type="dxa"/>
              <w:left w:w="57" w:type="dxa"/>
              <w:bottom w:w="40" w:type="dxa"/>
              <w:right w:w="57" w:type="dxa"/>
            </w:tcMar>
          </w:tcPr>
          <w:p w:rsidRPr="00B51F57" w:rsidR="000D6E6A" w:rsidRDefault="000D6E6A">
            <w:pPr>
              <w:pStyle w:val="bodycopytabletable"/>
            </w:pPr>
            <w:r w:rsidRPr="00B51F57">
              <w:rPr>
                <w:rStyle w:val="medium"/>
                <w:b/>
                <w:bCs/>
              </w:rPr>
              <w:t>Total</w:t>
            </w:r>
          </w:p>
        </w:tc>
        <w:tc>
          <w:tcPr>
            <w:tcW w:w="1984" w:type="dxa"/>
            <w:tcBorders>
              <w:top w:val="dotted" w:color="542E8E" w:sz="4" w:space="0"/>
              <w:left w:val="nil"/>
              <w:bottom w:val="single" w:color="542E8E" w:sz="4" w:space="0"/>
              <w:right w:val="nil"/>
            </w:tcBorders>
            <w:shd w:val="solid" w:color="FFFFFF" w:fill="auto"/>
            <w:tcMar>
              <w:top w:w="40" w:type="dxa"/>
              <w:left w:w="57" w:type="dxa"/>
              <w:bottom w:w="40" w:type="dxa"/>
              <w:right w:w="57" w:type="dxa"/>
            </w:tcMar>
          </w:tcPr>
          <w:p w:rsidRPr="00B51F57" w:rsidR="000D6E6A" w:rsidRDefault="000D6E6A">
            <w:pPr>
              <w:pStyle w:val="bodycopytabletable"/>
              <w:jc w:val="right"/>
            </w:pPr>
            <w:r w:rsidRPr="00B51F57">
              <w:rPr>
                <w:rStyle w:val="medium"/>
                <w:b/>
                <w:bCs/>
              </w:rPr>
              <w:t>1,530</w:t>
            </w:r>
          </w:p>
        </w:tc>
        <w:tc>
          <w:tcPr>
            <w:tcW w:w="1985" w:type="dxa"/>
            <w:tcBorders>
              <w:top w:val="dotted" w:color="542E8E" w:sz="4" w:space="0"/>
              <w:left w:val="nil"/>
              <w:bottom w:val="single" w:color="542E8E" w:sz="4" w:space="0"/>
              <w:right w:val="nil"/>
            </w:tcBorders>
            <w:shd w:val="solid" w:color="FFFFFF" w:fill="auto"/>
            <w:tcMar>
              <w:top w:w="40" w:type="dxa"/>
              <w:left w:w="57" w:type="dxa"/>
              <w:bottom w:w="40" w:type="dxa"/>
              <w:right w:w="57" w:type="dxa"/>
            </w:tcMar>
          </w:tcPr>
          <w:p w:rsidRPr="00B51F57" w:rsidR="000D6E6A" w:rsidRDefault="000D6E6A">
            <w:pPr>
              <w:pStyle w:val="bodycopytabletable"/>
              <w:jc w:val="right"/>
            </w:pPr>
            <w:r w:rsidRPr="00B51F57">
              <w:rPr>
                <w:rStyle w:val="medium"/>
                <w:b/>
                <w:bCs/>
              </w:rPr>
              <w:t>1,198</w:t>
            </w:r>
          </w:p>
        </w:tc>
        <w:tc>
          <w:tcPr>
            <w:tcW w:w="1984" w:type="dxa"/>
            <w:tcBorders>
              <w:top w:val="dotted" w:color="542E8E" w:sz="4" w:space="0"/>
              <w:left w:val="nil"/>
              <w:bottom w:val="single" w:color="542E8E" w:sz="4" w:space="0"/>
              <w:right w:val="nil"/>
            </w:tcBorders>
            <w:shd w:val="solid" w:color="FFFFFF" w:fill="auto"/>
            <w:tcMar>
              <w:top w:w="40" w:type="dxa"/>
              <w:left w:w="57" w:type="dxa"/>
              <w:bottom w:w="40" w:type="dxa"/>
              <w:right w:w="57" w:type="dxa"/>
            </w:tcMar>
          </w:tcPr>
          <w:p w:rsidRPr="00B51F57" w:rsidR="000D6E6A" w:rsidRDefault="000D6E6A">
            <w:pPr>
              <w:pStyle w:val="bodycopytabletable"/>
              <w:jc w:val="right"/>
            </w:pPr>
            <w:r w:rsidRPr="00B51F57">
              <w:rPr>
                <w:rStyle w:val="medium"/>
                <w:b/>
                <w:bCs/>
              </w:rPr>
              <w:t>2,728</w:t>
            </w:r>
          </w:p>
        </w:tc>
      </w:tr>
    </w:tbl>
    <w:p w:rsidR="000D6E6A" w:rsidP="00B51F57" w:rsidRDefault="000D6E6A">
      <w:pPr>
        <w:pStyle w:val="notesspantable"/>
        <w:spacing w:before="60"/>
      </w:pPr>
      <w:r>
        <w:t>Notes</w:t>
      </w:r>
    </w:p>
    <w:p w:rsidR="000D6E6A" w:rsidRDefault="000D6E6A">
      <w:pPr>
        <w:pStyle w:val="notesspanlastrowtable"/>
        <w:spacing w:after="113"/>
      </w:pPr>
      <w:r>
        <w:t>CO</w:t>
      </w:r>
      <w:r>
        <w:rPr>
          <w:vertAlign w:val="subscript"/>
        </w:rPr>
        <w:t>2</w:t>
      </w:r>
      <w:r>
        <w:t>e – carbon dioxide equivalent.</w:t>
      </w:r>
    </w:p>
    <w:p w:rsidR="000D6E6A" w:rsidRDefault="000D6E6A">
      <w:pPr>
        <w:pStyle w:val="Bodycopyspan"/>
        <w:spacing w:before="170" w:after="57"/>
        <w:rPr>
          <w:rStyle w:val="RegularItalic"/>
          <w:i/>
          <w:iCs/>
        </w:rPr>
      </w:pPr>
      <w:r>
        <w:rPr>
          <w:rStyle w:val="RegularItalic"/>
          <w:i/>
          <w:iCs/>
        </w:rPr>
        <w:t>Transport intensity (vehicle fleet performance by fuel type) 2017–18</w:t>
      </w:r>
    </w:p>
    <w:tbl>
      <w:tblPr>
        <w:tblW w:w="0" w:type="auto"/>
        <w:tblInd w:w="57" w:type="dxa"/>
        <w:tblLayout w:type="fixed"/>
        <w:tblCellMar>
          <w:left w:w="0" w:type="dxa"/>
          <w:right w:w="0" w:type="dxa"/>
        </w:tblCellMar>
        <w:tblLook w:firstRow="0" w:lastRow="0" w:firstColumn="0" w:lastColumn="0" w:noHBand="0" w:noVBand="0" w:val="0000"/>
      </w:tblPr>
      <w:tblGrid>
        <w:gridCol w:w="3118"/>
        <w:gridCol w:w="1984"/>
        <w:gridCol w:w="1985"/>
        <w:gridCol w:w="1984"/>
      </w:tblGrid>
      <w:tr w:rsidRPr="00B51F57" w:rsidR="000D6E6A" w:rsidTr="00B51F57">
        <w:tblPrEx>
          <w:tblCellMar>
            <w:top w:w="0" w:type="dxa"/>
            <w:left w:w="0" w:type="dxa"/>
            <w:bottom w:w="0" w:type="dxa"/>
            <w:right w:w="0" w:type="dxa"/>
          </w:tblCellMar>
        </w:tblPrEx>
        <w:trPr>
          <w:trHeight w:val="60"/>
          <w:tblHeader/>
        </w:trPr>
        <w:tc>
          <w:tcPr>
            <w:tcW w:w="3118"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B51F57" w:rsidR="000D6E6A" w:rsidRDefault="000D6E6A">
            <w:pPr>
              <w:pStyle w:val="bodycopytabletable"/>
            </w:pPr>
            <w:r w:rsidRPr="00B51F57">
              <w:rPr>
                <w:rStyle w:val="mediumpurple"/>
                <w:b/>
                <w:bCs/>
              </w:rPr>
              <w:t>Description</w:t>
            </w:r>
          </w:p>
        </w:tc>
        <w:tc>
          <w:tcPr>
            <w:tcW w:w="1984"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B51F57" w:rsidR="000D6E6A" w:rsidRDefault="000D6E6A">
            <w:pPr>
              <w:pStyle w:val="bodycopytabletable"/>
              <w:jc w:val="right"/>
            </w:pPr>
            <w:r w:rsidRPr="00B51F57">
              <w:rPr>
                <w:rStyle w:val="mediumpurple"/>
                <w:b/>
                <w:bCs/>
              </w:rPr>
              <w:t>Passenger fleet</w:t>
            </w:r>
          </w:p>
        </w:tc>
        <w:tc>
          <w:tcPr>
            <w:tcW w:w="1985"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B51F57" w:rsidR="000D6E6A" w:rsidRDefault="000D6E6A">
            <w:pPr>
              <w:pStyle w:val="bodycopytabletable"/>
              <w:jc w:val="right"/>
            </w:pPr>
            <w:r w:rsidRPr="00B51F57">
              <w:rPr>
                <w:rStyle w:val="mediumpurple"/>
                <w:b/>
                <w:bCs/>
              </w:rPr>
              <w:t>Other</w:t>
            </w:r>
          </w:p>
        </w:tc>
        <w:tc>
          <w:tcPr>
            <w:tcW w:w="1984"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B51F57" w:rsidR="000D6E6A" w:rsidRDefault="000D6E6A">
            <w:pPr>
              <w:pStyle w:val="bodycopytabletable"/>
              <w:jc w:val="right"/>
            </w:pPr>
            <w:r w:rsidRPr="00B51F57">
              <w:rPr>
                <w:rStyle w:val="mediumpurple"/>
                <w:b/>
                <w:bCs/>
              </w:rPr>
              <w:t>Average</w:t>
            </w:r>
          </w:p>
        </w:tc>
      </w:tr>
      <w:tr w:rsidRPr="00B51F57" w:rsidR="000D6E6A" w:rsidTr="00B51F57">
        <w:tblPrEx>
          <w:tblCellMar>
            <w:top w:w="0" w:type="dxa"/>
            <w:left w:w="0" w:type="dxa"/>
            <w:bottom w:w="0" w:type="dxa"/>
            <w:right w:w="0" w:type="dxa"/>
          </w:tblCellMar>
        </w:tblPrEx>
        <w:trPr>
          <w:trHeight w:val="60"/>
        </w:trPr>
        <w:tc>
          <w:tcPr>
            <w:tcW w:w="9071" w:type="dxa"/>
            <w:gridSpan w:val="4"/>
            <w:tcBorders>
              <w:top w:val="single" w:color="542E8E" w:sz="4" w:space="0"/>
              <w:left w:val="nil"/>
              <w:bottom w:val="single" w:color="542E8E" w:sz="4" w:space="0"/>
              <w:right w:val="nil"/>
            </w:tcBorders>
            <w:shd w:val="solid" w:color="FFFFFF" w:fill="auto"/>
            <w:tcMar>
              <w:top w:w="57" w:type="dxa"/>
              <w:left w:w="57" w:type="dxa"/>
              <w:bottom w:w="57" w:type="dxa"/>
              <w:right w:w="57" w:type="dxa"/>
            </w:tcMar>
          </w:tcPr>
          <w:p w:rsidRPr="00B51F57" w:rsidR="000D6E6A" w:rsidRDefault="000D6E6A">
            <w:pPr>
              <w:pStyle w:val="bodycopytabletable"/>
            </w:pPr>
            <w:r w:rsidRPr="00B51F57">
              <w:rPr>
                <w:rStyle w:val="Purple"/>
              </w:rPr>
              <w:t>Greenhouse gas emissions efficiency (tonnes CO</w:t>
            </w:r>
            <w:r w:rsidRPr="00B51F57">
              <w:rPr>
                <w:rStyle w:val="Purple"/>
                <w:vertAlign w:val="subscript"/>
              </w:rPr>
              <w:t>2</w:t>
            </w:r>
            <w:r w:rsidRPr="00B51F57">
              <w:rPr>
                <w:rStyle w:val="Purple"/>
              </w:rPr>
              <w:t>e/1,000km)</w:t>
            </w:r>
          </w:p>
        </w:tc>
      </w:tr>
      <w:tr w:rsidRPr="00B51F57" w:rsidR="000D6E6A" w:rsidTr="00B51F57">
        <w:tblPrEx>
          <w:tblCellMar>
            <w:top w:w="0" w:type="dxa"/>
            <w:left w:w="0" w:type="dxa"/>
            <w:bottom w:w="0" w:type="dxa"/>
            <w:right w:w="0" w:type="dxa"/>
          </w:tblCellMar>
        </w:tblPrEx>
        <w:trPr>
          <w:trHeight w:val="60"/>
        </w:trPr>
        <w:tc>
          <w:tcPr>
            <w:tcW w:w="3118" w:type="dxa"/>
            <w:tcBorders>
              <w:top w:val="single"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pPr>
            <w:r w:rsidRPr="00B51F57">
              <w:t>Petrol</w:t>
            </w:r>
          </w:p>
        </w:tc>
        <w:tc>
          <w:tcPr>
            <w:tcW w:w="1984" w:type="dxa"/>
            <w:tcBorders>
              <w:top w:val="single"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t>0.18</w:t>
            </w:r>
          </w:p>
        </w:tc>
        <w:tc>
          <w:tcPr>
            <w:tcW w:w="1985" w:type="dxa"/>
            <w:tcBorders>
              <w:top w:val="single"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t>0.32</w:t>
            </w:r>
          </w:p>
        </w:tc>
        <w:tc>
          <w:tcPr>
            <w:tcW w:w="1984" w:type="dxa"/>
            <w:tcBorders>
              <w:top w:val="single"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t>0.19</w:t>
            </w:r>
          </w:p>
        </w:tc>
      </w:tr>
      <w:tr w:rsidRPr="00B51F57" w:rsidR="000D6E6A" w:rsidTr="00B51F57">
        <w:tblPrEx>
          <w:tblCellMar>
            <w:top w:w="0" w:type="dxa"/>
            <w:left w:w="0" w:type="dxa"/>
            <w:bottom w:w="0" w:type="dxa"/>
            <w:right w:w="0" w:type="dxa"/>
          </w:tblCellMar>
        </w:tblPrEx>
        <w:trPr>
          <w:trHeight w:val="60"/>
        </w:trPr>
        <w:tc>
          <w:tcPr>
            <w:tcW w:w="3118"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pPr>
            <w:r w:rsidRPr="00B51F57">
              <w:t>Diesel</w:t>
            </w:r>
          </w:p>
        </w:tc>
        <w:tc>
          <w:tcPr>
            <w:tcW w:w="1984"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t>0.12</w:t>
            </w:r>
          </w:p>
        </w:tc>
        <w:tc>
          <w:tcPr>
            <w:tcW w:w="1985"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t>0.50</w:t>
            </w:r>
          </w:p>
        </w:tc>
        <w:tc>
          <w:tcPr>
            <w:tcW w:w="1984"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t>0.45</w:t>
            </w:r>
          </w:p>
        </w:tc>
      </w:tr>
      <w:tr w:rsidRPr="00B51F57" w:rsidR="000D6E6A" w:rsidTr="00B51F57">
        <w:tblPrEx>
          <w:tblCellMar>
            <w:top w:w="0" w:type="dxa"/>
            <w:left w:w="0" w:type="dxa"/>
            <w:bottom w:w="0" w:type="dxa"/>
            <w:right w:w="0" w:type="dxa"/>
          </w:tblCellMar>
        </w:tblPrEx>
        <w:trPr>
          <w:trHeight w:val="60"/>
        </w:trPr>
        <w:tc>
          <w:tcPr>
            <w:tcW w:w="3118"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pPr>
            <w:r w:rsidRPr="00B51F57">
              <w:t>LPG</w:t>
            </w:r>
          </w:p>
        </w:tc>
        <w:tc>
          <w:tcPr>
            <w:tcW w:w="1984"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t>0.08</w:t>
            </w:r>
          </w:p>
        </w:tc>
        <w:tc>
          <w:tcPr>
            <w:tcW w:w="1985"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t>0.30</w:t>
            </w:r>
          </w:p>
        </w:tc>
        <w:tc>
          <w:tcPr>
            <w:tcW w:w="1984"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t>0.13</w:t>
            </w:r>
          </w:p>
        </w:tc>
      </w:tr>
      <w:tr w:rsidRPr="00B51F57" w:rsidR="000D6E6A" w:rsidTr="00B51F57">
        <w:tblPrEx>
          <w:tblCellMar>
            <w:top w:w="0" w:type="dxa"/>
            <w:left w:w="0" w:type="dxa"/>
            <w:bottom w:w="0" w:type="dxa"/>
            <w:right w:w="0" w:type="dxa"/>
          </w:tblCellMar>
        </w:tblPrEx>
        <w:trPr>
          <w:trHeight w:val="60"/>
        </w:trPr>
        <w:tc>
          <w:tcPr>
            <w:tcW w:w="3118"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pPr>
            <w:r w:rsidRPr="00B51F57">
              <w:t>E-10</w:t>
            </w:r>
          </w:p>
        </w:tc>
        <w:tc>
          <w:tcPr>
            <w:tcW w:w="1984"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t>0.01</w:t>
            </w:r>
          </w:p>
        </w:tc>
        <w:tc>
          <w:tcPr>
            <w:tcW w:w="1985"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t>0.02</w:t>
            </w:r>
          </w:p>
        </w:tc>
        <w:tc>
          <w:tcPr>
            <w:tcW w:w="1984" w:type="dxa"/>
            <w:tcBorders>
              <w:top w:val="dotted" w:color="542E8E" w:sz="4" w:space="0"/>
              <w:left w:val="nil"/>
              <w:bottom w:val="dotted" w:color="542E8E" w:sz="4" w:space="0"/>
              <w:right w:val="nil"/>
            </w:tcBorders>
            <w:tcMar>
              <w:top w:w="57" w:type="dxa"/>
              <w:left w:w="57" w:type="dxa"/>
              <w:bottom w:w="57" w:type="dxa"/>
              <w:right w:w="57" w:type="dxa"/>
            </w:tcMar>
          </w:tcPr>
          <w:p w:rsidRPr="00B51F57" w:rsidR="000D6E6A" w:rsidRDefault="000D6E6A">
            <w:pPr>
              <w:pStyle w:val="bodycopytabletable"/>
              <w:jc w:val="right"/>
            </w:pPr>
            <w:r w:rsidRPr="00B51F57">
              <w:t>0.02</w:t>
            </w:r>
          </w:p>
        </w:tc>
      </w:tr>
      <w:tr w:rsidRPr="00B51F57" w:rsidR="000D6E6A" w:rsidTr="00B51F57">
        <w:tblPrEx>
          <w:tblCellMar>
            <w:top w:w="0" w:type="dxa"/>
            <w:left w:w="0" w:type="dxa"/>
            <w:bottom w:w="0" w:type="dxa"/>
            <w:right w:w="0" w:type="dxa"/>
          </w:tblCellMar>
        </w:tblPrEx>
        <w:trPr>
          <w:trHeight w:val="60"/>
        </w:trPr>
        <w:tc>
          <w:tcPr>
            <w:tcW w:w="3118"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B51F57" w:rsidR="000D6E6A" w:rsidRDefault="000D6E6A">
            <w:pPr>
              <w:pStyle w:val="bodycopytabletable"/>
            </w:pPr>
            <w:r w:rsidRPr="00B51F57">
              <w:rPr>
                <w:rStyle w:val="medium"/>
                <w:b/>
                <w:bCs/>
              </w:rPr>
              <w:t>Total</w:t>
            </w:r>
          </w:p>
        </w:tc>
        <w:tc>
          <w:tcPr>
            <w:tcW w:w="1984"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B51F57" w:rsidR="000D6E6A" w:rsidRDefault="000D6E6A">
            <w:pPr>
              <w:pStyle w:val="bodycopytabletable"/>
              <w:jc w:val="right"/>
            </w:pPr>
            <w:r w:rsidRPr="00B51F57">
              <w:rPr>
                <w:rStyle w:val="medium"/>
                <w:b/>
                <w:bCs/>
              </w:rPr>
              <w:t>0.17</w:t>
            </w:r>
          </w:p>
        </w:tc>
        <w:tc>
          <w:tcPr>
            <w:tcW w:w="1985"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B51F57" w:rsidR="000D6E6A" w:rsidRDefault="000D6E6A">
            <w:pPr>
              <w:pStyle w:val="bodycopytabletable"/>
              <w:jc w:val="right"/>
            </w:pPr>
            <w:r w:rsidRPr="00B51F57">
              <w:rPr>
                <w:rStyle w:val="medium"/>
                <w:b/>
                <w:bCs/>
              </w:rPr>
              <w:t>0.44</w:t>
            </w:r>
          </w:p>
        </w:tc>
        <w:tc>
          <w:tcPr>
            <w:tcW w:w="1984"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B51F57" w:rsidR="000D6E6A" w:rsidRDefault="000D6E6A">
            <w:pPr>
              <w:pStyle w:val="bodycopytabletable"/>
              <w:jc w:val="right"/>
            </w:pPr>
            <w:r w:rsidRPr="00B51F57">
              <w:rPr>
                <w:rStyle w:val="medium"/>
                <w:b/>
                <w:bCs/>
              </w:rPr>
              <w:t>0.24</w:t>
            </w:r>
          </w:p>
        </w:tc>
      </w:tr>
    </w:tbl>
    <w:p w:rsidR="000D6E6A" w:rsidP="00B51F57" w:rsidRDefault="000D6E6A">
      <w:pPr>
        <w:pStyle w:val="notesspantable"/>
        <w:spacing w:before="60"/>
      </w:pPr>
      <w:r>
        <w:t>Notes</w:t>
      </w:r>
    </w:p>
    <w:p w:rsidR="000D6E6A" w:rsidRDefault="000D6E6A">
      <w:pPr>
        <w:pStyle w:val="notesspantable"/>
      </w:pPr>
      <w:r>
        <w:t>CO</w:t>
      </w:r>
      <w:r>
        <w:rPr>
          <w:vertAlign w:val="subscript"/>
        </w:rPr>
        <w:t>2</w:t>
      </w:r>
      <w:r>
        <w:t>e – carbon dioxide equivalent.</w:t>
      </w:r>
    </w:p>
    <w:p w:rsidR="000D6E6A" w:rsidRDefault="000D6E6A">
      <w:pPr>
        <w:pStyle w:val="notesspantable"/>
      </w:pPr>
      <w:r>
        <w:t>The ‘Total’ column is the total value for ‘Passenger fleet’ and ‘Other’. ‘Other’ includes optional reporting of commercial vehicles and the departmental executive fleet.</w:t>
      </w:r>
    </w:p>
    <w:p w:rsidR="000D6E6A" w:rsidRDefault="000D6E6A">
      <w:pPr>
        <w:pStyle w:val="notesspanlastrowtable"/>
        <w:spacing w:after="113"/>
      </w:pPr>
      <w:r>
        <w:t xml:space="preserve">Fleet data is sourced from vehicle logbooks and fuel purchase records (both fuel cards and petty cash records) of the departmental fleet and State Government Vehicle Pool. Departmental fleet data includes custodial facilities and a number of statutory entities, including the Victorian Institute of Forensic Medicine, Victorian Law Reform Commission, and Victorian Equal Opportunity and Human Rights Commission. </w:t>
      </w:r>
    </w:p>
    <w:p w:rsidR="000D6E6A" w:rsidRDefault="000D6E6A">
      <w:pPr>
        <w:pStyle w:val="H2"/>
      </w:pPr>
      <w:r>
        <w:t>Transport</w:t>
      </w:r>
    </w:p>
    <w:p w:rsidR="000D6E6A" w:rsidRDefault="000D6E6A">
      <w:pPr>
        <w:pStyle w:val="Bodycopy"/>
      </w:pPr>
      <w:r>
        <w:t>A large proportion of the department’s air travel involves staff attending, or presenting at conferences, and operational requirements.</w:t>
      </w:r>
    </w:p>
    <w:p w:rsidR="000D6E6A" w:rsidRDefault="000D6E6A">
      <w:pPr>
        <w:pStyle w:val="Bodycopyspan"/>
        <w:spacing w:after="57"/>
        <w:rPr>
          <w:rStyle w:val="RegularItalic"/>
          <w:i/>
          <w:iCs/>
        </w:rPr>
      </w:pPr>
      <w:r>
        <w:rPr>
          <w:rStyle w:val="RegularItalic"/>
          <w:i/>
          <w:iCs/>
        </w:rPr>
        <w:t>International and domestic air travel 2017–18</w:t>
      </w:r>
    </w:p>
    <w:tbl>
      <w:tblPr>
        <w:tblW w:w="0" w:type="auto"/>
        <w:tblInd w:w="57" w:type="dxa"/>
        <w:tblLayout w:type="fixed"/>
        <w:tblCellMar>
          <w:left w:w="0" w:type="dxa"/>
          <w:right w:w="0" w:type="dxa"/>
        </w:tblCellMar>
        <w:tblLook w:firstRow="0" w:lastRow="0" w:firstColumn="0" w:lastColumn="0" w:noHBand="0" w:noVBand="0" w:val="0000"/>
      </w:tblPr>
      <w:tblGrid>
        <w:gridCol w:w="3487"/>
        <w:gridCol w:w="897"/>
      </w:tblGrid>
      <w:tr w:rsidR="000D6E6A" w:rsidTr="009B6B2A">
        <w:tblPrEx>
          <w:tblCellMar>
            <w:top w:w="0" w:type="dxa"/>
            <w:left w:w="0" w:type="dxa"/>
            <w:bottom w:w="0" w:type="dxa"/>
            <w:right w:w="0" w:type="dxa"/>
          </w:tblCellMar>
        </w:tblPrEx>
        <w:trPr>
          <w:trHeight w:val="113"/>
          <w:tblHeader/>
        </w:trPr>
        <w:tc>
          <w:tcPr>
            <w:tcW w:w="3487"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000D6E6A" w:rsidRDefault="000D6E6A">
            <w:pPr>
              <w:pStyle w:val="bodycopytabletable"/>
            </w:pPr>
            <w:r>
              <w:rPr>
                <w:rStyle w:val="mediumpurple"/>
                <w:b/>
                <w:bCs/>
              </w:rPr>
              <w:t>Description</w:t>
            </w:r>
          </w:p>
        </w:tc>
        <w:tc>
          <w:tcPr>
            <w:tcW w:w="897"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000D6E6A" w:rsidRDefault="000D6E6A">
            <w:pPr>
              <w:pStyle w:val="bodycopytabletable"/>
              <w:jc w:val="right"/>
            </w:pPr>
            <w:r>
              <w:rPr>
                <w:rStyle w:val="mediumpurple"/>
                <w:b/>
                <w:bCs/>
              </w:rPr>
              <w:t>Total</w:t>
            </w:r>
          </w:p>
        </w:tc>
      </w:tr>
      <w:tr w:rsidR="000D6E6A" w:rsidTr="009B6B2A">
        <w:tblPrEx>
          <w:tblCellMar>
            <w:top w:w="0" w:type="dxa"/>
            <w:left w:w="0" w:type="dxa"/>
            <w:bottom w:w="0" w:type="dxa"/>
            <w:right w:w="0" w:type="dxa"/>
          </w:tblCellMar>
        </w:tblPrEx>
        <w:trPr>
          <w:trHeight w:val="113"/>
        </w:trPr>
        <w:tc>
          <w:tcPr>
            <w:tcW w:w="3487"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pPr>
            <w:r>
              <w:t>Distance travelled (kilometres)</w:t>
            </w:r>
          </w:p>
        </w:tc>
        <w:tc>
          <w:tcPr>
            <w:tcW w:w="897" w:type="dxa"/>
            <w:tcBorders>
              <w:top w:val="dotted" w:color="542E8E" w:sz="4" w:space="0"/>
              <w:left w:val="nil"/>
              <w:bottom w:val="dotted" w:color="542E8E" w:sz="4" w:space="0"/>
              <w:right w:val="nil"/>
            </w:tcBorders>
            <w:tcMar>
              <w:top w:w="57" w:type="dxa"/>
              <w:left w:w="57" w:type="dxa"/>
              <w:bottom w:w="57" w:type="dxa"/>
              <w:right w:w="57" w:type="dxa"/>
            </w:tcMar>
            <w:vAlign w:val="center"/>
          </w:tcPr>
          <w:p w:rsidR="000D6E6A" w:rsidP="00B51F57" w:rsidRDefault="000D6E6A">
            <w:pPr>
              <w:pStyle w:val="bodycopytabletable"/>
              <w:jc w:val="right"/>
            </w:pPr>
            <w:r>
              <w:t>3,008,847</w:t>
            </w:r>
          </w:p>
        </w:tc>
      </w:tr>
      <w:tr w:rsidR="000D6E6A" w:rsidTr="009B6B2A">
        <w:tblPrEx>
          <w:tblCellMar>
            <w:top w:w="0" w:type="dxa"/>
            <w:left w:w="0" w:type="dxa"/>
            <w:bottom w:w="0" w:type="dxa"/>
            <w:right w:w="0" w:type="dxa"/>
          </w:tblCellMar>
        </w:tblPrEx>
        <w:trPr>
          <w:trHeight w:val="113"/>
        </w:trPr>
        <w:tc>
          <w:tcPr>
            <w:tcW w:w="3487"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000D6E6A" w:rsidRDefault="000D6E6A">
            <w:pPr>
              <w:pStyle w:val="bodycopytabletable"/>
            </w:pPr>
            <w:r>
              <w:t>Greenhouse gas emissions (tonnes CO2e)</w:t>
            </w:r>
          </w:p>
        </w:tc>
        <w:tc>
          <w:tcPr>
            <w:tcW w:w="897"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vAlign w:val="center"/>
          </w:tcPr>
          <w:p w:rsidR="000D6E6A" w:rsidP="00B51F57" w:rsidRDefault="000D6E6A">
            <w:pPr>
              <w:pStyle w:val="bodycopytabletable"/>
              <w:jc w:val="right"/>
            </w:pPr>
            <w:r>
              <w:t>990</w:t>
            </w:r>
          </w:p>
        </w:tc>
      </w:tr>
    </w:tbl>
    <w:p w:rsidR="000D6E6A" w:rsidP="00B51F57" w:rsidRDefault="000D6E6A">
      <w:pPr>
        <w:pStyle w:val="notesspantable"/>
        <w:spacing w:before="60"/>
      </w:pPr>
      <w:r>
        <w:t>Notes:</w:t>
      </w:r>
    </w:p>
    <w:p w:rsidR="000D6E6A" w:rsidRDefault="000D6E6A">
      <w:pPr>
        <w:pStyle w:val="notesspantable"/>
      </w:pPr>
      <w:r>
        <w:t>CO</w:t>
      </w:r>
      <w:r>
        <w:rPr>
          <w:vertAlign w:val="subscript"/>
        </w:rPr>
        <w:t>2</w:t>
      </w:r>
      <w:r>
        <w:t>e – carbon dioxide equivalent.</w:t>
      </w:r>
    </w:p>
    <w:p w:rsidR="000D6E6A" w:rsidRDefault="000D6E6A">
      <w:pPr>
        <w:pStyle w:val="notesspanlastrowtable"/>
      </w:pPr>
      <w:r>
        <w:t xml:space="preserve">Departmental air travel data includes a number of statutory entities and excludes the Office of Public Prosecutions. </w:t>
      </w:r>
    </w:p>
    <w:p w:rsidR="000D6E6A" w:rsidRDefault="000D6E6A">
      <w:pPr>
        <w:pStyle w:val="Bodycopy"/>
        <w:rPr>
          <w:spacing w:val="-2"/>
        </w:rPr>
      </w:pPr>
      <w:r>
        <w:rPr>
          <w:spacing w:val="-2"/>
        </w:rPr>
        <w:t xml:space="preserve">In line with the 2017-19 EMP targets, the department has elected to procure 3,720 tonnes of carbon offsets to cover both fleet and air travel emissions for the year. The offset is gold standard Verified Emissions Reduction (VER) – Australian native reforestation of the </w:t>
      </w:r>
      <w:proofErr w:type="spellStart"/>
      <w:r>
        <w:rPr>
          <w:spacing w:val="-2"/>
        </w:rPr>
        <w:t>Yarra</w:t>
      </w:r>
      <w:proofErr w:type="spellEnd"/>
      <w:r>
        <w:rPr>
          <w:spacing w:val="-2"/>
        </w:rPr>
        <w:t xml:space="preserve"> </w:t>
      </w:r>
      <w:proofErr w:type="spellStart"/>
      <w:r>
        <w:rPr>
          <w:spacing w:val="-2"/>
        </w:rPr>
        <w:t>Yarra</w:t>
      </w:r>
      <w:proofErr w:type="spellEnd"/>
      <w:r>
        <w:rPr>
          <w:spacing w:val="-2"/>
        </w:rPr>
        <w:t xml:space="preserve"> biodiversity corridor in Western Australia.</w:t>
      </w:r>
    </w:p>
    <w:p w:rsidR="000D6E6A" w:rsidRDefault="000D6E6A">
      <w:pPr>
        <w:pStyle w:val="Bodycopy"/>
        <w:rPr>
          <w:rStyle w:val="RegularItalic"/>
        </w:rPr>
      </w:pPr>
      <w:r>
        <w:rPr>
          <w:rStyle w:val="RegularItalic"/>
        </w:rPr>
        <w:t>Sustainable transport 2017–18</w:t>
      </w:r>
    </w:p>
    <w:p w:rsidR="000D6E6A" w:rsidRDefault="000D6E6A">
      <w:pPr>
        <w:pStyle w:val="Bodycopy"/>
      </w:pPr>
      <w:r>
        <w:t>The following table reports the percentage of staff whose commuter choices (to and from work only) include train, tram, bus, bicycle and walking.</w:t>
      </w:r>
    </w:p>
    <w:tbl>
      <w:tblPr>
        <w:tblW w:w="0" w:type="auto"/>
        <w:tblInd w:w="57" w:type="dxa"/>
        <w:tblLayout w:type="fixed"/>
        <w:tblCellMar>
          <w:left w:w="0" w:type="dxa"/>
          <w:right w:w="0" w:type="dxa"/>
        </w:tblCellMar>
        <w:tblLook w:firstRow="0" w:lastRow="0" w:firstColumn="0" w:lastColumn="0" w:noHBand="0" w:noVBand="0" w:val="0000"/>
      </w:tblPr>
      <w:tblGrid>
        <w:gridCol w:w="2197"/>
        <w:gridCol w:w="2197"/>
      </w:tblGrid>
      <w:tr w:rsidR="000D6E6A" w:rsidTr="00B51F57">
        <w:tblPrEx>
          <w:tblCellMar>
            <w:top w:w="0" w:type="dxa"/>
            <w:left w:w="0" w:type="dxa"/>
            <w:bottom w:w="0" w:type="dxa"/>
            <w:right w:w="0" w:type="dxa"/>
          </w:tblCellMar>
        </w:tblPrEx>
        <w:trPr>
          <w:trHeight w:val="60"/>
          <w:tblHeader/>
        </w:trPr>
        <w:tc>
          <w:tcPr>
            <w:tcW w:w="2197"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000D6E6A" w:rsidRDefault="000D6E6A">
            <w:pPr>
              <w:pStyle w:val="bodycopytabletable"/>
            </w:pPr>
            <w:r>
              <w:rPr>
                <w:rStyle w:val="mediumpurple"/>
                <w:b/>
                <w:bCs/>
              </w:rPr>
              <w:t>Option</w:t>
            </w:r>
          </w:p>
        </w:tc>
        <w:tc>
          <w:tcPr>
            <w:tcW w:w="2197"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000D6E6A" w:rsidRDefault="000D6E6A">
            <w:pPr>
              <w:pStyle w:val="bodycopytabletable"/>
              <w:jc w:val="right"/>
            </w:pPr>
            <w:r>
              <w:rPr>
                <w:rStyle w:val="mediumpurple"/>
                <w:b/>
                <w:bCs/>
              </w:rPr>
              <w:t>Total (%)</w:t>
            </w:r>
          </w:p>
        </w:tc>
      </w:tr>
      <w:tr w:rsidR="000D6E6A" w:rsidTr="00B51F57">
        <w:tblPrEx>
          <w:tblCellMar>
            <w:top w:w="0" w:type="dxa"/>
            <w:left w:w="0" w:type="dxa"/>
            <w:bottom w:w="0" w:type="dxa"/>
            <w:right w:w="0" w:type="dxa"/>
          </w:tblCellMar>
        </w:tblPrEx>
        <w:trPr>
          <w:trHeight w:val="60"/>
        </w:trPr>
        <w:tc>
          <w:tcPr>
            <w:tcW w:w="2197"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pPr>
            <w:r>
              <w:t>CBD</w:t>
            </w:r>
          </w:p>
        </w:tc>
        <w:tc>
          <w:tcPr>
            <w:tcW w:w="2197"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jc w:val="right"/>
            </w:pPr>
            <w:r>
              <w:t>86</w:t>
            </w:r>
          </w:p>
        </w:tc>
      </w:tr>
      <w:tr w:rsidR="000D6E6A" w:rsidTr="00B51F57">
        <w:tblPrEx>
          <w:tblCellMar>
            <w:top w:w="0" w:type="dxa"/>
            <w:left w:w="0" w:type="dxa"/>
            <w:bottom w:w="0" w:type="dxa"/>
            <w:right w:w="0" w:type="dxa"/>
          </w:tblCellMar>
        </w:tblPrEx>
        <w:trPr>
          <w:trHeight w:val="60"/>
        </w:trPr>
        <w:tc>
          <w:tcPr>
            <w:tcW w:w="2197"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pPr>
            <w:r>
              <w:t>Regions</w:t>
            </w:r>
          </w:p>
        </w:tc>
        <w:tc>
          <w:tcPr>
            <w:tcW w:w="2197" w:type="dxa"/>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jc w:val="right"/>
            </w:pPr>
            <w:r>
              <w:t>5</w:t>
            </w:r>
          </w:p>
        </w:tc>
      </w:tr>
      <w:tr w:rsidR="000D6E6A" w:rsidTr="00B51F57">
        <w:tblPrEx>
          <w:tblCellMar>
            <w:top w:w="0" w:type="dxa"/>
            <w:left w:w="0" w:type="dxa"/>
            <w:bottom w:w="0" w:type="dxa"/>
            <w:right w:w="0" w:type="dxa"/>
          </w:tblCellMar>
        </w:tblPrEx>
        <w:trPr>
          <w:trHeight w:val="60"/>
        </w:trPr>
        <w:tc>
          <w:tcPr>
            <w:tcW w:w="2197"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000D6E6A" w:rsidRDefault="000D6E6A">
            <w:pPr>
              <w:pStyle w:val="bodycopytabletable"/>
            </w:pPr>
            <w:r>
              <w:t>Metro</w:t>
            </w:r>
          </w:p>
        </w:tc>
        <w:tc>
          <w:tcPr>
            <w:tcW w:w="2197"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000D6E6A" w:rsidRDefault="000D6E6A">
            <w:pPr>
              <w:pStyle w:val="bodycopytabletable"/>
              <w:jc w:val="right"/>
            </w:pPr>
            <w:r>
              <w:t>18</w:t>
            </w:r>
          </w:p>
        </w:tc>
      </w:tr>
    </w:tbl>
    <w:p w:rsidR="000D6E6A" w:rsidP="009B6B2A" w:rsidRDefault="000D6E6A">
      <w:pPr>
        <w:pStyle w:val="notestable"/>
        <w:spacing w:before="60"/>
      </w:pPr>
      <w:r>
        <w:t>Notes:</w:t>
      </w:r>
    </w:p>
    <w:p w:rsidR="000D6E6A" w:rsidRDefault="000D6E6A">
      <w:pPr>
        <w:pStyle w:val="notestable"/>
      </w:pPr>
      <w:r>
        <w:t xml:space="preserve">Sustainable transport information is taken from the department’s environment survey completed in 2018. </w:t>
      </w:r>
    </w:p>
    <w:p w:rsidR="000D6E6A" w:rsidRDefault="000D6E6A">
      <w:pPr>
        <w:pStyle w:val="notestable"/>
      </w:pPr>
      <w:r>
        <w:t>Data excludes staff who were on leave during the survey period.</w:t>
      </w:r>
    </w:p>
    <w:p w:rsidR="000D6E6A" w:rsidRDefault="000D6E6A">
      <w:pPr>
        <w:pStyle w:val="notestable"/>
        <w:rPr>
          <w:spacing w:val="-3"/>
        </w:rPr>
      </w:pPr>
      <w:r>
        <w:rPr>
          <w:spacing w:val="-3"/>
        </w:rPr>
        <w:t>Updates have been made to the 2016–17 data and the way in which regions are calculated. This is reflected in the current dataset.</w:t>
      </w:r>
    </w:p>
    <w:p w:rsidR="000D6E6A" w:rsidRDefault="000D6E6A">
      <w:pPr>
        <w:pStyle w:val="H3"/>
      </w:pPr>
      <w:r>
        <w:lastRenderedPageBreak/>
        <w:t>Waste</w:t>
      </w:r>
    </w:p>
    <w:p w:rsidR="000D6E6A" w:rsidRDefault="000D6E6A">
      <w:pPr>
        <w:pStyle w:val="Bodycopy"/>
      </w:pPr>
      <w:r>
        <w:t xml:space="preserve">Typically, there are three waste streams in offices, landfill, organic and recycling. Some correctional centres operate industries that generate other types of waste, such as wood, concrete, steel, paint, and waste from farming and livestock production activities. </w:t>
      </w:r>
    </w:p>
    <w:p w:rsidR="000D6E6A" w:rsidRDefault="000D6E6A">
      <w:pPr>
        <w:pStyle w:val="Bodycopy"/>
      </w:pPr>
      <w:r>
        <w:t>Examples of waste reduction activities are:</w:t>
      </w:r>
    </w:p>
    <w:p w:rsidR="000D6E6A" w:rsidRDefault="000D6E6A">
      <w:pPr>
        <w:pStyle w:val="BodycopyBullet"/>
      </w:pPr>
      <w:r>
        <w:t xml:space="preserve">diverting food waste to a composting system, with the resulting compost used on correctional centre horticultural plots  </w:t>
      </w:r>
    </w:p>
    <w:p w:rsidR="000D6E6A" w:rsidRDefault="000D6E6A">
      <w:pPr>
        <w:pStyle w:val="BodycopyBullet"/>
        <w:rPr>
          <w:spacing w:val="-5"/>
        </w:rPr>
      </w:pPr>
      <w:r>
        <w:rPr>
          <w:spacing w:val="-4"/>
        </w:rPr>
        <w:t xml:space="preserve">recycling paper, toner cartridges, office furniture, </w:t>
      </w:r>
      <w:r>
        <w:rPr>
          <w:spacing w:val="-5"/>
        </w:rPr>
        <w:t>cardboard, paper, batteries, phones and chargers</w:t>
      </w:r>
    </w:p>
    <w:p w:rsidR="000D6E6A" w:rsidRDefault="000D6E6A">
      <w:pPr>
        <w:pStyle w:val="BodycopyBullet"/>
      </w:pPr>
      <w:r>
        <w:t xml:space="preserve">development of land management plans consisting of pest management and biodiversity improvement </w:t>
      </w:r>
    </w:p>
    <w:p w:rsidR="000D6E6A" w:rsidRDefault="000D6E6A">
      <w:pPr>
        <w:pStyle w:val="BodycopyBullet"/>
        <w:rPr>
          <w:spacing w:val="-2"/>
        </w:rPr>
      </w:pPr>
      <w:r>
        <w:rPr>
          <w:spacing w:val="-2"/>
        </w:rPr>
        <w:t xml:space="preserve">recycling industries at </w:t>
      </w:r>
      <w:proofErr w:type="spellStart"/>
      <w:r>
        <w:rPr>
          <w:spacing w:val="-2"/>
        </w:rPr>
        <w:t>Beechworth</w:t>
      </w:r>
      <w:proofErr w:type="spellEnd"/>
      <w:r>
        <w:rPr>
          <w:spacing w:val="-2"/>
        </w:rPr>
        <w:t xml:space="preserve"> Correctional Centre, Langi </w:t>
      </w:r>
      <w:proofErr w:type="spellStart"/>
      <w:r>
        <w:rPr>
          <w:spacing w:val="-2"/>
        </w:rPr>
        <w:t>Kal</w:t>
      </w:r>
      <w:proofErr w:type="spellEnd"/>
      <w:r>
        <w:rPr>
          <w:spacing w:val="-2"/>
        </w:rPr>
        <w:t xml:space="preserve"> </w:t>
      </w:r>
      <w:proofErr w:type="spellStart"/>
      <w:r>
        <w:rPr>
          <w:spacing w:val="-2"/>
        </w:rPr>
        <w:t>Kal</w:t>
      </w:r>
      <w:proofErr w:type="spellEnd"/>
      <w:r>
        <w:rPr>
          <w:spacing w:val="-2"/>
        </w:rPr>
        <w:t xml:space="preserve"> Prison, </w:t>
      </w:r>
      <w:proofErr w:type="spellStart"/>
      <w:r>
        <w:rPr>
          <w:spacing w:val="-2"/>
        </w:rPr>
        <w:t>Dhurringile</w:t>
      </w:r>
      <w:proofErr w:type="spellEnd"/>
      <w:r>
        <w:rPr>
          <w:spacing w:val="-2"/>
        </w:rPr>
        <w:t xml:space="preserve"> Prison and Hopkins Correctional Centre</w:t>
      </w:r>
    </w:p>
    <w:p w:rsidR="000D6E6A" w:rsidRDefault="000D6E6A">
      <w:pPr>
        <w:pStyle w:val="BodycopyBullet"/>
      </w:pPr>
      <w:r>
        <w:t>the innovative upcycling program delivered by the West Metro Community Work team that involves male and female offenders making furniture from wooden pallets. Since the project began, approximately 700 pallets or 140 tonnes of waste has been diverted from landfill and 135 pieces of furniture have been donated to community groups.</w:t>
      </w:r>
    </w:p>
    <w:p w:rsidR="000D6E6A" w:rsidRDefault="000D6E6A">
      <w:pPr>
        <w:pStyle w:val="Bodycopy"/>
      </w:pPr>
      <w:r>
        <w:t xml:space="preserve">The department’s new state-wide waste disposal contract services all publicly operated prisons. The contractor is required to report on waste volumes for different waste streams. The data is </w:t>
      </w:r>
      <w:proofErr w:type="gramStart"/>
      <w:r>
        <w:t>intend</w:t>
      </w:r>
      <w:proofErr w:type="gramEnd"/>
      <w:r>
        <w:t xml:space="preserve"> to be used to identify opportunities to reduce waste and increase recycling. </w:t>
      </w:r>
    </w:p>
    <w:p w:rsidR="000D6E6A" w:rsidRDefault="000D6E6A">
      <w:pPr>
        <w:pStyle w:val="OutputheaderOutputs"/>
      </w:pPr>
      <w:r>
        <w:t xml:space="preserve">2017–19 waste target </w:t>
      </w:r>
    </w:p>
    <w:p w:rsidR="000D6E6A" w:rsidRDefault="000D6E6A">
      <w:pPr>
        <w:pStyle w:val="PurpleTextunderlineOutputs"/>
        <w:spacing w:after="57"/>
      </w:pPr>
      <w:r>
        <w:t>Continue to improve the department’s knowledge of waste volumes (or weights) in order to better identify opportunities to reduce waste and increase recycling.</w:t>
      </w:r>
    </w:p>
    <w:p w:rsidR="009B6B2A" w:rsidRDefault="009B6B2A">
      <w:pPr>
        <w:pStyle w:val="Bodycopyspan"/>
        <w:rPr>
          <w:rStyle w:val="RegularItalic"/>
          <w:i/>
          <w:iCs/>
        </w:rPr>
      </w:pPr>
    </w:p>
    <w:p w:rsidR="000D6E6A" w:rsidRDefault="000D6E6A">
      <w:pPr>
        <w:pStyle w:val="Bodycopyspan"/>
        <w:rPr>
          <w:rStyle w:val="RegularItalic"/>
          <w:i/>
          <w:iCs/>
        </w:rPr>
      </w:pPr>
      <w:r>
        <w:rPr>
          <w:rStyle w:val="RegularItalic"/>
          <w:i/>
          <w:iCs/>
        </w:rPr>
        <w:t>Office-based waste 2017–18</w:t>
      </w:r>
    </w:p>
    <w:tbl>
      <w:tblPr>
        <w:tblW w:w="0" w:type="auto"/>
        <w:tblInd w:w="57" w:type="dxa"/>
        <w:tblLayout w:type="fixed"/>
        <w:tblCellMar>
          <w:left w:w="0" w:type="dxa"/>
          <w:right w:w="0" w:type="dxa"/>
        </w:tblCellMar>
        <w:tblLook w:firstRow="0" w:lastRow="0" w:firstColumn="0" w:lastColumn="0" w:noHBand="0" w:noVBand="0" w:val="0000"/>
      </w:tblPr>
      <w:tblGrid>
        <w:gridCol w:w="5102"/>
        <w:gridCol w:w="1985"/>
        <w:gridCol w:w="1984"/>
      </w:tblGrid>
      <w:tr w:rsidRPr="009B6B2A" w:rsidR="000D6E6A">
        <w:tblPrEx>
          <w:tblCellMar>
            <w:top w:w="0" w:type="dxa"/>
            <w:left w:w="0" w:type="dxa"/>
            <w:bottom w:w="0" w:type="dxa"/>
            <w:right w:w="0" w:type="dxa"/>
          </w:tblCellMar>
        </w:tblPrEx>
        <w:trPr>
          <w:trHeight w:val="60"/>
          <w:tblHeader/>
        </w:trPr>
        <w:tc>
          <w:tcPr>
            <w:tcW w:w="5102" w:type="dxa"/>
            <w:tcBorders>
              <w:top w:val="dotted" w:color="000000" w:sz="6" w:space="0"/>
              <w:left w:val="nil"/>
              <w:bottom w:val="single" w:color="542E8E" w:sz="6" w:space="0"/>
              <w:right w:val="nil"/>
            </w:tcBorders>
            <w:shd w:val="solid" w:color="FFFFFF" w:fill="auto"/>
            <w:tcMar>
              <w:top w:w="0" w:type="dxa"/>
              <w:left w:w="57" w:type="dxa"/>
              <w:bottom w:w="68" w:type="dxa"/>
              <w:right w:w="57" w:type="dxa"/>
            </w:tcMar>
            <w:vAlign w:val="bottom"/>
          </w:tcPr>
          <w:p w:rsidRPr="009B6B2A" w:rsidR="000D6E6A" w:rsidRDefault="000D6E6A">
            <w:pPr>
              <w:pStyle w:val="bodycopytabletable"/>
            </w:pPr>
            <w:r w:rsidRPr="009B6B2A">
              <w:rPr>
                <w:rStyle w:val="mediumpurple"/>
                <w:b/>
                <w:bCs/>
              </w:rPr>
              <w:t>Description</w:t>
            </w:r>
          </w:p>
        </w:tc>
        <w:tc>
          <w:tcPr>
            <w:tcW w:w="1985" w:type="dxa"/>
            <w:tcBorders>
              <w:top w:val="dotted" w:color="000000" w:sz="6" w:space="0"/>
              <w:left w:val="nil"/>
              <w:bottom w:val="single" w:color="542E8E" w:sz="6" w:space="0"/>
              <w:right w:val="nil"/>
            </w:tcBorders>
            <w:shd w:val="solid" w:color="FFFFFF" w:fill="auto"/>
            <w:tcMar>
              <w:top w:w="0" w:type="dxa"/>
              <w:left w:w="57" w:type="dxa"/>
              <w:bottom w:w="68" w:type="dxa"/>
              <w:right w:w="57" w:type="dxa"/>
            </w:tcMar>
            <w:vAlign w:val="bottom"/>
          </w:tcPr>
          <w:p w:rsidRPr="009B6B2A" w:rsidR="000D6E6A" w:rsidRDefault="000D6E6A">
            <w:pPr>
              <w:pStyle w:val="bodycopytabletable"/>
              <w:jc w:val="right"/>
            </w:pPr>
            <w:r w:rsidRPr="009B6B2A">
              <w:rPr>
                <w:rStyle w:val="mediumpurple"/>
                <w:b/>
                <w:bCs/>
              </w:rPr>
              <w:t>Total</w:t>
            </w:r>
          </w:p>
        </w:tc>
        <w:tc>
          <w:tcPr>
            <w:tcW w:w="1984" w:type="dxa"/>
            <w:tcBorders>
              <w:top w:val="dotted" w:color="000000" w:sz="6" w:space="0"/>
              <w:left w:val="nil"/>
              <w:bottom w:val="single" w:color="542E8E" w:sz="6" w:space="0"/>
              <w:right w:val="nil"/>
            </w:tcBorders>
            <w:shd w:val="solid" w:color="FFFFFF" w:fill="auto"/>
            <w:tcMar>
              <w:top w:w="0" w:type="dxa"/>
              <w:left w:w="57" w:type="dxa"/>
              <w:bottom w:w="68" w:type="dxa"/>
              <w:right w:w="57" w:type="dxa"/>
            </w:tcMar>
            <w:vAlign w:val="bottom"/>
          </w:tcPr>
          <w:p w:rsidRPr="009B6B2A" w:rsidR="000D6E6A" w:rsidRDefault="000D6E6A">
            <w:pPr>
              <w:pStyle w:val="bodycopytabletable"/>
              <w:jc w:val="right"/>
            </w:pPr>
            <w:r w:rsidRPr="009B6B2A">
              <w:rPr>
                <w:rStyle w:val="mediumpurple"/>
                <w:b/>
                <w:bCs/>
              </w:rPr>
              <w:t>Per FTE</w:t>
            </w:r>
          </w:p>
        </w:tc>
      </w:tr>
      <w:tr w:rsidRPr="009B6B2A" w:rsidR="000D6E6A">
        <w:tblPrEx>
          <w:tblCellMar>
            <w:top w:w="0" w:type="dxa"/>
            <w:left w:w="0" w:type="dxa"/>
            <w:bottom w:w="0" w:type="dxa"/>
            <w:right w:w="0" w:type="dxa"/>
          </w:tblCellMar>
        </w:tblPrEx>
        <w:trPr>
          <w:trHeight w:val="60"/>
        </w:trPr>
        <w:tc>
          <w:tcPr>
            <w:tcW w:w="5102" w:type="dxa"/>
            <w:tcBorders>
              <w:top w:val="dotted" w:color="542E8E" w:sz="4" w:space="0"/>
              <w:left w:val="nil"/>
              <w:bottom w:val="dotted" w:color="542E8E" w:sz="4" w:space="0"/>
              <w:right w:val="nil"/>
            </w:tcBorders>
            <w:tcMar>
              <w:top w:w="68" w:type="dxa"/>
              <w:left w:w="57" w:type="dxa"/>
              <w:bottom w:w="57" w:type="dxa"/>
              <w:right w:w="57" w:type="dxa"/>
            </w:tcMar>
          </w:tcPr>
          <w:p w:rsidRPr="009B6B2A" w:rsidR="000D6E6A" w:rsidRDefault="000D6E6A">
            <w:pPr>
              <w:pStyle w:val="bodycopytabletable"/>
            </w:pPr>
            <w:r w:rsidRPr="009B6B2A">
              <w:t>Landfill (kg)</w:t>
            </w:r>
          </w:p>
        </w:tc>
        <w:tc>
          <w:tcPr>
            <w:tcW w:w="1985" w:type="dxa"/>
            <w:tcBorders>
              <w:top w:val="dotted" w:color="542E8E" w:sz="4" w:space="0"/>
              <w:left w:val="nil"/>
              <w:bottom w:val="dotted" w:color="542E8E" w:sz="4" w:space="0"/>
              <w:right w:val="nil"/>
            </w:tcBorders>
            <w:tcMar>
              <w:top w:w="68" w:type="dxa"/>
              <w:left w:w="57" w:type="dxa"/>
              <w:bottom w:w="57" w:type="dxa"/>
              <w:right w:w="57" w:type="dxa"/>
            </w:tcMar>
          </w:tcPr>
          <w:p w:rsidRPr="009B6B2A" w:rsidR="000D6E6A" w:rsidRDefault="000D6E6A">
            <w:pPr>
              <w:pStyle w:val="bodycopytabletable"/>
              <w:jc w:val="right"/>
            </w:pPr>
            <w:r w:rsidRPr="009B6B2A">
              <w:t>53,939</w:t>
            </w:r>
          </w:p>
        </w:tc>
        <w:tc>
          <w:tcPr>
            <w:tcW w:w="1984" w:type="dxa"/>
            <w:tcBorders>
              <w:top w:val="dotted" w:color="542E8E" w:sz="4" w:space="0"/>
              <w:left w:val="nil"/>
              <w:bottom w:val="dotted" w:color="542E8E" w:sz="4" w:space="0"/>
              <w:right w:val="nil"/>
            </w:tcBorders>
            <w:tcMar>
              <w:top w:w="68" w:type="dxa"/>
              <w:left w:w="57" w:type="dxa"/>
              <w:bottom w:w="57" w:type="dxa"/>
              <w:right w:w="57" w:type="dxa"/>
            </w:tcMar>
          </w:tcPr>
          <w:p w:rsidRPr="009B6B2A" w:rsidR="000D6E6A" w:rsidRDefault="000D6E6A">
            <w:pPr>
              <w:pStyle w:val="bodycopytabletable"/>
              <w:jc w:val="right"/>
            </w:pPr>
            <w:r w:rsidRPr="009B6B2A">
              <w:t>21</w:t>
            </w:r>
          </w:p>
        </w:tc>
      </w:tr>
      <w:tr w:rsidRPr="009B6B2A" w:rsidR="000D6E6A">
        <w:tblPrEx>
          <w:tblCellMar>
            <w:top w:w="0" w:type="dxa"/>
            <w:left w:w="0" w:type="dxa"/>
            <w:bottom w:w="0" w:type="dxa"/>
            <w:right w:w="0" w:type="dxa"/>
          </w:tblCellMar>
        </w:tblPrEx>
        <w:trPr>
          <w:trHeight w:val="60"/>
        </w:trPr>
        <w:tc>
          <w:tcPr>
            <w:tcW w:w="510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r w:rsidRPr="009B6B2A">
              <w:t>Recycling (kg)</w:t>
            </w:r>
          </w:p>
        </w:tc>
        <w:tc>
          <w:tcPr>
            <w:tcW w:w="1985"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80,319</w:t>
            </w:r>
          </w:p>
        </w:tc>
        <w:tc>
          <w:tcPr>
            <w:tcW w:w="198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31</w:t>
            </w:r>
          </w:p>
        </w:tc>
      </w:tr>
      <w:tr w:rsidRPr="009B6B2A" w:rsidR="000D6E6A">
        <w:tblPrEx>
          <w:tblCellMar>
            <w:top w:w="0" w:type="dxa"/>
            <w:left w:w="0" w:type="dxa"/>
            <w:bottom w:w="0" w:type="dxa"/>
            <w:right w:w="0" w:type="dxa"/>
          </w:tblCellMar>
        </w:tblPrEx>
        <w:trPr>
          <w:trHeight w:val="60"/>
        </w:trPr>
        <w:tc>
          <w:tcPr>
            <w:tcW w:w="510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r w:rsidRPr="009B6B2A">
              <w:t>Compost (kg)</w:t>
            </w:r>
          </w:p>
        </w:tc>
        <w:tc>
          <w:tcPr>
            <w:tcW w:w="1985"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9,770</w:t>
            </w:r>
          </w:p>
        </w:tc>
        <w:tc>
          <w:tcPr>
            <w:tcW w:w="198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4</w:t>
            </w:r>
          </w:p>
        </w:tc>
      </w:tr>
      <w:tr w:rsidRPr="009B6B2A" w:rsidR="000D6E6A">
        <w:tblPrEx>
          <w:tblCellMar>
            <w:top w:w="0" w:type="dxa"/>
            <w:left w:w="0" w:type="dxa"/>
            <w:bottom w:w="0" w:type="dxa"/>
            <w:right w:w="0" w:type="dxa"/>
          </w:tblCellMar>
        </w:tblPrEx>
        <w:trPr>
          <w:trHeight w:val="60"/>
        </w:trPr>
        <w:tc>
          <w:tcPr>
            <w:tcW w:w="510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r w:rsidRPr="009B6B2A">
              <w:t>Total (kg)</w:t>
            </w:r>
          </w:p>
        </w:tc>
        <w:tc>
          <w:tcPr>
            <w:tcW w:w="1985"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144,028</w:t>
            </w:r>
          </w:p>
        </w:tc>
        <w:tc>
          <w:tcPr>
            <w:tcW w:w="198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55</w:t>
            </w:r>
          </w:p>
        </w:tc>
      </w:tr>
      <w:tr w:rsidRPr="009B6B2A" w:rsidR="000D6E6A">
        <w:tblPrEx>
          <w:tblCellMar>
            <w:top w:w="0" w:type="dxa"/>
            <w:left w:w="0" w:type="dxa"/>
            <w:bottom w:w="0" w:type="dxa"/>
            <w:right w:w="0" w:type="dxa"/>
          </w:tblCellMar>
        </w:tblPrEx>
        <w:trPr>
          <w:trHeight w:val="60"/>
        </w:trPr>
        <w:tc>
          <w:tcPr>
            <w:tcW w:w="510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r w:rsidRPr="009B6B2A">
              <w:t>Recycling rate (%)</w:t>
            </w:r>
          </w:p>
        </w:tc>
        <w:tc>
          <w:tcPr>
            <w:tcW w:w="1985"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63</w:t>
            </w:r>
          </w:p>
        </w:tc>
        <w:tc>
          <w:tcPr>
            <w:tcW w:w="198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NoParagraphStyle"/>
              <w:spacing w:line="240" w:lineRule="auto"/>
              <w:textAlignment w:val="auto"/>
              <w:rPr>
                <w:color w:val="auto"/>
                <w:sz w:val="16"/>
                <w:szCs w:val="16"/>
              </w:rPr>
            </w:pPr>
          </w:p>
        </w:tc>
      </w:tr>
      <w:tr w:rsidRPr="009B6B2A" w:rsidR="000D6E6A">
        <w:tblPrEx>
          <w:tblCellMar>
            <w:top w:w="0" w:type="dxa"/>
            <w:left w:w="0" w:type="dxa"/>
            <w:bottom w:w="0" w:type="dxa"/>
            <w:right w:w="0" w:type="dxa"/>
          </w:tblCellMar>
        </w:tblPrEx>
        <w:trPr>
          <w:trHeight w:val="60"/>
        </w:trPr>
        <w:tc>
          <w:tcPr>
            <w:tcW w:w="5102" w:type="dxa"/>
            <w:tcBorders>
              <w:top w:val="dotted" w:color="542E8E" w:sz="4" w:space="0"/>
              <w:left w:val="nil"/>
              <w:bottom w:val="single" w:color="542E8E" w:sz="4" w:space="0"/>
              <w:right w:val="nil"/>
            </w:tcBorders>
            <w:shd w:val="solid" w:color="FFFFFF" w:fill="auto"/>
            <w:tcMar>
              <w:top w:w="57" w:type="dxa"/>
              <w:left w:w="57" w:type="dxa"/>
              <w:bottom w:w="68" w:type="dxa"/>
              <w:right w:w="57" w:type="dxa"/>
            </w:tcMar>
            <w:vAlign w:val="center"/>
          </w:tcPr>
          <w:p w:rsidRPr="009B6B2A" w:rsidR="000D6E6A" w:rsidRDefault="000D6E6A">
            <w:pPr>
              <w:pStyle w:val="bodycopytabletable"/>
            </w:pPr>
            <w:r w:rsidRPr="009B6B2A">
              <w:t xml:space="preserve">Greenhouse emissions from waste to landfill </w:t>
            </w:r>
            <w:r w:rsidRPr="009B6B2A">
              <w:br/>
              <w:t>(tonnes of CO</w:t>
            </w:r>
            <w:r w:rsidRPr="009B6B2A">
              <w:rPr>
                <w:vertAlign w:val="subscript"/>
              </w:rPr>
              <w:t>2</w:t>
            </w:r>
            <w:r w:rsidRPr="009B6B2A">
              <w:t>e)</w:t>
            </w:r>
          </w:p>
        </w:tc>
        <w:tc>
          <w:tcPr>
            <w:tcW w:w="1985" w:type="dxa"/>
            <w:tcBorders>
              <w:top w:val="dotted" w:color="542E8E" w:sz="4" w:space="0"/>
              <w:left w:val="nil"/>
              <w:bottom w:val="single" w:color="542E8E" w:sz="4" w:space="0"/>
              <w:right w:val="nil"/>
            </w:tcBorders>
            <w:shd w:val="solid" w:color="FFFFFF" w:fill="auto"/>
            <w:tcMar>
              <w:top w:w="57" w:type="dxa"/>
              <w:left w:w="57" w:type="dxa"/>
              <w:bottom w:w="68" w:type="dxa"/>
              <w:right w:w="57" w:type="dxa"/>
            </w:tcMar>
            <w:vAlign w:val="center"/>
          </w:tcPr>
          <w:p w:rsidRPr="009B6B2A" w:rsidR="000D6E6A" w:rsidRDefault="000D6E6A">
            <w:pPr>
              <w:pStyle w:val="bodycopytabletable"/>
              <w:jc w:val="right"/>
            </w:pPr>
            <w:r w:rsidRPr="009B6B2A">
              <w:t>91</w:t>
            </w:r>
          </w:p>
        </w:tc>
        <w:tc>
          <w:tcPr>
            <w:tcW w:w="1984" w:type="dxa"/>
            <w:tcBorders>
              <w:top w:val="dotted" w:color="542E8E" w:sz="4" w:space="0"/>
              <w:left w:val="nil"/>
              <w:bottom w:val="single" w:color="542E8E" w:sz="4" w:space="0"/>
              <w:right w:val="nil"/>
            </w:tcBorders>
            <w:shd w:val="solid" w:color="FFFFFF" w:fill="auto"/>
            <w:tcMar>
              <w:top w:w="57" w:type="dxa"/>
              <w:left w:w="57" w:type="dxa"/>
              <w:bottom w:w="68" w:type="dxa"/>
              <w:right w:w="57" w:type="dxa"/>
            </w:tcMar>
            <w:vAlign w:val="center"/>
          </w:tcPr>
          <w:p w:rsidRPr="009B6B2A" w:rsidR="000D6E6A" w:rsidRDefault="000D6E6A">
            <w:pPr>
              <w:pStyle w:val="NoParagraphStyle"/>
              <w:spacing w:line="240" w:lineRule="auto"/>
              <w:textAlignment w:val="auto"/>
              <w:rPr>
                <w:color w:val="auto"/>
                <w:sz w:val="16"/>
                <w:szCs w:val="16"/>
              </w:rPr>
            </w:pPr>
          </w:p>
        </w:tc>
      </w:tr>
    </w:tbl>
    <w:p w:rsidR="000D6E6A" w:rsidP="009B6B2A" w:rsidRDefault="000D6E6A">
      <w:pPr>
        <w:pStyle w:val="notesspantable"/>
        <w:spacing w:before="60"/>
      </w:pPr>
      <w:r>
        <w:t>Notes:</w:t>
      </w:r>
    </w:p>
    <w:p w:rsidR="000D6E6A" w:rsidRDefault="000D6E6A">
      <w:pPr>
        <w:pStyle w:val="notesspantable"/>
      </w:pPr>
      <w:r>
        <w:t>Kg – kilogram.</w:t>
      </w:r>
    </w:p>
    <w:p w:rsidR="000D6E6A" w:rsidRDefault="000D6E6A">
      <w:pPr>
        <w:pStyle w:val="notesspantable"/>
      </w:pPr>
      <w:r>
        <w:t>A five-day waste audit was undertaken at 121 Exhibition Street and 80 Collins St, Melbourne. The waste audit has been extrapolated in accordance with FRD24C guidelines to reflect a whole year’s waste stream.</w:t>
      </w:r>
    </w:p>
    <w:p w:rsidR="000D6E6A" w:rsidRDefault="000D6E6A">
      <w:pPr>
        <w:pStyle w:val="notesspantable"/>
        <w:rPr>
          <w:b/>
          <w:bCs/>
          <w:color w:val="156570"/>
        </w:rPr>
      </w:pPr>
      <w:r>
        <w:t>Data does not include e-waste (computers, telephones and multi-functional devices).</w:t>
      </w:r>
    </w:p>
    <w:p w:rsidR="000D6E6A" w:rsidRDefault="000D6E6A">
      <w:pPr>
        <w:pStyle w:val="notesspanlastrowtable"/>
      </w:pPr>
      <w:r>
        <w:t>The greenhouse emissions from waste to landfill has been updated to reflect individual material categories from the most recent waste audit.</w:t>
      </w:r>
    </w:p>
    <w:p w:rsidR="000D6E6A" w:rsidRDefault="000D6E6A">
      <w:pPr>
        <w:pStyle w:val="H3"/>
        <w:rPr>
          <w:color w:val="2E74B5"/>
          <w:sz w:val="26"/>
          <w:szCs w:val="26"/>
        </w:rPr>
      </w:pPr>
      <w:r>
        <w:t>Environmental compliance, communication and training</w:t>
      </w:r>
    </w:p>
    <w:p w:rsidR="000D6E6A" w:rsidRDefault="000D6E6A">
      <w:pPr>
        <w:pStyle w:val="Bodycopy"/>
        <w:rPr>
          <w:spacing w:val="2"/>
        </w:rPr>
      </w:pPr>
      <w:r>
        <w:rPr>
          <w:spacing w:val="2"/>
        </w:rPr>
        <w:t xml:space="preserve">The department is required to comply with a number of state and federal legislative requirements with regard to its environmental impacts, including the </w:t>
      </w:r>
      <w:r>
        <w:rPr>
          <w:rStyle w:val="italic"/>
          <w:spacing w:val="2"/>
        </w:rPr>
        <w:t>Environment Protection Act 1970</w:t>
      </w:r>
      <w:r>
        <w:rPr>
          <w:spacing w:val="2"/>
        </w:rPr>
        <w:t xml:space="preserve"> and the </w:t>
      </w:r>
      <w:r>
        <w:rPr>
          <w:rStyle w:val="italic"/>
          <w:spacing w:val="2"/>
        </w:rPr>
        <w:t>Water Act 1989</w:t>
      </w:r>
      <w:r>
        <w:rPr>
          <w:spacing w:val="2"/>
        </w:rPr>
        <w:t>. These Acts provide a legal framework to ensure that the department’s operations and services have the least possible impact on the environment. The department works closely with key stakeholders such as local councils, other government departments and regulators, for example, the Environment Protection Authority (EPA). This year, the department has not received any fines or non-monetary sanctions related to environmental non-compliance.</w:t>
      </w:r>
    </w:p>
    <w:p w:rsidR="000D6E6A" w:rsidRDefault="000D6E6A">
      <w:pPr>
        <w:pStyle w:val="Bodycopy"/>
      </w:pPr>
      <w:r>
        <w:t>The environmental licences and agreements held by the department include:</w:t>
      </w:r>
    </w:p>
    <w:p w:rsidR="000D6E6A" w:rsidRDefault="000D6E6A">
      <w:pPr>
        <w:pStyle w:val="BodycopyBullet"/>
      </w:pPr>
      <w:r>
        <w:t>two EPA licences related to wastewater treatment and discharge</w:t>
      </w:r>
    </w:p>
    <w:p w:rsidR="000D6E6A" w:rsidRDefault="000D6E6A">
      <w:pPr>
        <w:pStyle w:val="BodycopyBullet"/>
      </w:pPr>
      <w:r>
        <w:t>various bore, surface and groundwater licences</w:t>
      </w:r>
    </w:p>
    <w:p w:rsidR="000D6E6A" w:rsidRDefault="000D6E6A">
      <w:pPr>
        <w:pStyle w:val="BodycopyBulletspaceunder"/>
      </w:pPr>
      <w:r>
        <w:t>various trade waste permits and septic tanks licences.</w:t>
      </w:r>
    </w:p>
    <w:p w:rsidR="000D6E6A" w:rsidRDefault="000D6E6A">
      <w:pPr>
        <w:pStyle w:val="Bodycopy"/>
      </w:pPr>
      <w:r>
        <w:t>In 2017–18, the department undertook a number of actions to improve compliance with environmental legislation, including:</w:t>
      </w:r>
    </w:p>
    <w:p w:rsidR="000D6E6A" w:rsidRDefault="000D6E6A">
      <w:pPr>
        <w:pStyle w:val="BodycopyBullet"/>
      </w:pPr>
      <w:r>
        <w:t xml:space="preserve">the development of a new wastewater treatment system at Langi </w:t>
      </w:r>
      <w:proofErr w:type="spellStart"/>
      <w:r>
        <w:t>Kal</w:t>
      </w:r>
      <w:proofErr w:type="spellEnd"/>
      <w:r>
        <w:t xml:space="preserve"> </w:t>
      </w:r>
      <w:proofErr w:type="spellStart"/>
      <w:r>
        <w:t>Kal</w:t>
      </w:r>
      <w:proofErr w:type="spellEnd"/>
      <w:r>
        <w:t xml:space="preserve"> Prison</w:t>
      </w:r>
    </w:p>
    <w:p w:rsidR="000D6E6A" w:rsidRDefault="000D6E6A">
      <w:pPr>
        <w:pStyle w:val="BodycopyBullet"/>
        <w:rPr>
          <w:spacing w:val="2"/>
        </w:rPr>
      </w:pPr>
      <w:r>
        <w:rPr>
          <w:spacing w:val="2"/>
        </w:rPr>
        <w:t xml:space="preserve">commencement of the decommissioning of the </w:t>
      </w:r>
      <w:proofErr w:type="spellStart"/>
      <w:r>
        <w:rPr>
          <w:spacing w:val="2"/>
        </w:rPr>
        <w:t>Barwon</w:t>
      </w:r>
      <w:proofErr w:type="spellEnd"/>
      <w:r>
        <w:rPr>
          <w:spacing w:val="2"/>
        </w:rPr>
        <w:t xml:space="preserve"> Prison wastewater treatment plant following the connection to the Geelong sewer</w:t>
      </w:r>
    </w:p>
    <w:p w:rsidR="000D6E6A" w:rsidRDefault="000D6E6A">
      <w:pPr>
        <w:pStyle w:val="BodycopyBullet"/>
      </w:pPr>
      <w:r>
        <w:t xml:space="preserve">the development of site-specific local controls to assist implementation of the Deputy Commissioner’s Instruction on Mandatory Environmental Compliance </w:t>
      </w:r>
    </w:p>
    <w:p w:rsidR="000D6E6A" w:rsidRDefault="000D6E6A">
      <w:pPr>
        <w:pStyle w:val="BodycopyBulletspaceunder"/>
      </w:pPr>
      <w:r>
        <w:t>site assessments at all publicly operated prisons.</w:t>
      </w:r>
    </w:p>
    <w:p w:rsidR="009B6B2A" w:rsidRDefault="009B6B2A">
      <w:pPr>
        <w:pStyle w:val="Bodycopy"/>
        <w:rPr>
          <w:spacing w:val="2"/>
        </w:rPr>
      </w:pPr>
    </w:p>
    <w:p w:rsidR="000D6E6A" w:rsidRDefault="000D6E6A">
      <w:pPr>
        <w:pStyle w:val="Bodycopy"/>
        <w:rPr>
          <w:spacing w:val="2"/>
        </w:rPr>
      </w:pPr>
      <w:r>
        <w:rPr>
          <w:spacing w:val="2"/>
        </w:rPr>
        <w:lastRenderedPageBreak/>
        <w:t>Education and communication initiatives include:</w:t>
      </w:r>
    </w:p>
    <w:p w:rsidR="000D6E6A" w:rsidRDefault="000D6E6A">
      <w:pPr>
        <w:pStyle w:val="BodycopyBullet"/>
        <w:rPr>
          <w:spacing w:val="2"/>
        </w:rPr>
      </w:pPr>
      <w:r>
        <w:rPr>
          <w:spacing w:val="2"/>
        </w:rPr>
        <w:t>successful delivery of the department’s second ‘environment week’, with staff participating in activities across regional and CBD locations</w:t>
      </w:r>
    </w:p>
    <w:p w:rsidR="000D6E6A" w:rsidRDefault="000D6E6A">
      <w:pPr>
        <w:pStyle w:val="BodycopyBullet"/>
      </w:pPr>
      <w:r>
        <w:t>1,803 staff completing the ‘Justice for the Environment’ e-learn program distributed through the department’s Nexus intranet training platform</w:t>
      </w:r>
    </w:p>
    <w:p w:rsidR="000D6E6A" w:rsidRDefault="000D6E6A">
      <w:pPr>
        <w:pStyle w:val="BodycopyBullet"/>
      </w:pPr>
      <w:r>
        <w:t>deliver of environmental training across high risk sites</w:t>
      </w:r>
    </w:p>
    <w:p w:rsidR="000D6E6A" w:rsidRDefault="000D6E6A">
      <w:pPr>
        <w:pStyle w:val="BodycopyBulletspaceunder"/>
        <w:rPr>
          <w:spacing w:val="2"/>
        </w:rPr>
      </w:pPr>
      <w:r>
        <w:rPr>
          <w:spacing w:val="2"/>
        </w:rPr>
        <w:t xml:space="preserve">the annual Environment Survey, which achieved a 22 per cent (2,000 staff) participation rate. Analysis showed that almost 64 per cent of staff who responded use a Keep Cup or other reusable cup; 74 per cent felt that the department is committed to improving its environmental performance; and 52 per cent were aware of the department’s environment programs and projects, representing a 21 per cent increase from last year, which puts the department on track to meet its targeted increase over the </w:t>
      </w:r>
      <w:proofErr w:type="gramStart"/>
      <w:r>
        <w:rPr>
          <w:spacing w:val="2"/>
        </w:rPr>
        <w:t>two year</w:t>
      </w:r>
      <w:proofErr w:type="gramEnd"/>
      <w:r>
        <w:rPr>
          <w:spacing w:val="2"/>
        </w:rPr>
        <w:t xml:space="preserve"> period.</w:t>
      </w:r>
    </w:p>
    <w:p w:rsidR="000D6E6A" w:rsidRDefault="000D6E6A">
      <w:pPr>
        <w:pStyle w:val="OutputheaderOutputs"/>
      </w:pPr>
      <w:r>
        <w:t xml:space="preserve">2017–19 environmental compliance, communication and training target </w:t>
      </w:r>
    </w:p>
    <w:p w:rsidR="000D6E6A" w:rsidRDefault="000D6E6A">
      <w:pPr>
        <w:pStyle w:val="PurpleTextunderlineOutputs"/>
      </w:pPr>
      <w:r>
        <w:t>Increase the number of staff who are aware of the department’s environment program (as per the 2017 Environment Survey) by ten per cent.</w:t>
      </w:r>
    </w:p>
    <w:p w:rsidR="000D6E6A" w:rsidRDefault="000D6E6A">
      <w:pPr>
        <w:pStyle w:val="H3"/>
      </w:pPr>
      <w:r>
        <w:t>Partnerships and land management</w:t>
      </w:r>
    </w:p>
    <w:p w:rsidR="000D6E6A" w:rsidRDefault="000D6E6A">
      <w:pPr>
        <w:pStyle w:val="Bodycopy"/>
        <w:rPr>
          <w:spacing w:val="2"/>
        </w:rPr>
      </w:pPr>
      <w:r>
        <w:rPr>
          <w:spacing w:val="2"/>
        </w:rPr>
        <w:t xml:space="preserve">CCS area works in partnership with other government departments, industries, educational providers and not-for-profit organisations to develop and manage community work programs. Some court orders have a requirement that offenders undertake unpaid community work in the community. CCS facilitates a range of un-paid community work projects in order for offenders to successfully meet the requirements of their orders and repay the community. CCS also encourages the engagement of offenders in sociably valuable work which is aimed at developing and promoting a positive work ethic and other </w:t>
      </w:r>
      <w:proofErr w:type="gramStart"/>
      <w:r>
        <w:rPr>
          <w:spacing w:val="2"/>
        </w:rPr>
        <w:t>work related</w:t>
      </w:r>
      <w:proofErr w:type="gramEnd"/>
      <w:r>
        <w:rPr>
          <w:spacing w:val="2"/>
        </w:rPr>
        <w:t xml:space="preserve"> skills. Suitable offenders can engage in work for the community that provides environmental benefits. Examples of environment related activities in 2017–18 include:</w:t>
      </w:r>
    </w:p>
    <w:p w:rsidR="000D6E6A" w:rsidRDefault="000D6E6A">
      <w:pPr>
        <w:pStyle w:val="BodycopyBullet"/>
      </w:pPr>
      <w:r>
        <w:t>using approximately 58,000 litres of locally harvested rain water on community work projects</w:t>
      </w:r>
    </w:p>
    <w:p w:rsidR="000D6E6A" w:rsidRDefault="000D6E6A">
      <w:pPr>
        <w:pStyle w:val="BodycopyBullet"/>
      </w:pPr>
      <w:r>
        <w:t>undertaking fuel reduction works in fire-prone areas and related maintenance work on over 1,900,000 square metres of land</w:t>
      </w:r>
    </w:p>
    <w:p w:rsidR="000D6E6A" w:rsidRDefault="000D6E6A">
      <w:pPr>
        <w:pStyle w:val="BodycopyBullet"/>
      </w:pPr>
      <w:r>
        <w:t xml:space="preserve">the collection of 75,000 kilograms of rubbish </w:t>
      </w:r>
    </w:p>
    <w:p w:rsidR="000D6E6A" w:rsidRDefault="000D6E6A">
      <w:pPr>
        <w:pStyle w:val="BodycopyBullet"/>
      </w:pPr>
      <w:r>
        <w:t xml:space="preserve">land management activities, such as mulching and mowing, on over 1,700,000 square metres of land </w:t>
      </w:r>
    </w:p>
    <w:p w:rsidR="000D6E6A" w:rsidRDefault="000D6E6A">
      <w:pPr>
        <w:pStyle w:val="BodycopyBullet"/>
      </w:pPr>
      <w:r>
        <w:t xml:space="preserve">reducing waste to landfill by removing logos from uniforms of private organisations that would have otherwise have been sent to landfill. This activity provides at least 8,000 items of clothing to those in need in Australia and abroad </w:t>
      </w:r>
    </w:p>
    <w:p w:rsidR="000D6E6A" w:rsidRDefault="000D6E6A">
      <w:pPr>
        <w:pStyle w:val="BodycopyBullet"/>
      </w:pPr>
      <w:r>
        <w:t>restoring and donating over 400 abandoned bicycles to community groups</w:t>
      </w:r>
    </w:p>
    <w:p w:rsidR="000D6E6A" w:rsidRDefault="000D6E6A">
      <w:pPr>
        <w:pStyle w:val="BodycopyBullet"/>
      </w:pPr>
      <w:r>
        <w:t>donating items made from recycled materials such as knitted products, benches, tables, chairs, nesting and planter boxes and 1,500 Boomerang bags</w:t>
      </w:r>
    </w:p>
    <w:p w:rsidR="000D6E6A" w:rsidRDefault="000D6E6A">
      <w:pPr>
        <w:pStyle w:val="BodycopyBullet"/>
      </w:pPr>
      <w:r>
        <w:t>conservation of local indigenous vegetation, including planting approximately 6,000 native trees and shrubs and removal of approximately 60,000 square metres of noxious weeds</w:t>
      </w:r>
    </w:p>
    <w:p w:rsidR="000D6E6A" w:rsidRDefault="000D6E6A">
      <w:pPr>
        <w:pStyle w:val="BodycopyBulletspaceunder"/>
        <w:rPr>
          <w:spacing w:val="1"/>
        </w:rPr>
      </w:pPr>
      <w:r>
        <w:rPr>
          <w:spacing w:val="1"/>
        </w:rPr>
        <w:t>using recycled water and biodegradable cleaning products and paint in the graffiti removal program. Since 2005, the program has conservatively removed an equivalent of 164 Melbourne Cricket Ground playing fields of graffiti.</w:t>
      </w:r>
    </w:p>
    <w:p w:rsidR="000D6E6A" w:rsidRDefault="000D6E6A">
      <w:pPr>
        <w:pStyle w:val="Bodycopy"/>
        <w:rPr>
          <w:spacing w:val="-4"/>
        </w:rPr>
      </w:pPr>
      <w:r>
        <w:t xml:space="preserve">Through 2017–18 the department has continued to strengthen the consistency of the prisoner </w:t>
      </w:r>
      <w:proofErr w:type="spellStart"/>
      <w:r>
        <w:rPr>
          <w:spacing w:val="-4"/>
        </w:rPr>
        <w:t>Landmate</w:t>
      </w:r>
      <w:proofErr w:type="spellEnd"/>
      <w:r>
        <w:rPr>
          <w:spacing w:val="-4"/>
        </w:rPr>
        <w:t xml:space="preserve"> Environmental Program across the state.</w:t>
      </w:r>
    </w:p>
    <w:p w:rsidR="000D6E6A" w:rsidRDefault="000D6E6A">
      <w:pPr>
        <w:pStyle w:val="Bodycopy"/>
      </w:pPr>
      <w:r>
        <w:t>The program, consists of supervised prisoner crews working on environmental projects and provides reparation to the community by the prisoners involved. Prisoners also gain education and training in natural resource management related skills, with the aims of improving their successful reintegration to the community and reducing recidivism.</w:t>
      </w:r>
    </w:p>
    <w:p w:rsidR="000D6E6A" w:rsidRDefault="000D6E6A">
      <w:pPr>
        <w:pStyle w:val="Bodycopy"/>
      </w:pPr>
      <w:r>
        <w:t xml:space="preserve">The program’s Memorandum of Understanding (MOU) between the Department of Environment, Land, Water and Planning (DELWP) and the department sets out how the program works. </w:t>
      </w:r>
    </w:p>
    <w:p w:rsidR="000D6E6A" w:rsidRDefault="000D6E6A">
      <w:pPr>
        <w:pStyle w:val="Bodycopy"/>
      </w:pPr>
      <w:r>
        <w:t xml:space="preserve">Now in its third year, the program has seen better understanding from the key users of the program, such as </w:t>
      </w:r>
      <w:proofErr w:type="spellStart"/>
      <w:r>
        <w:t>Landcare</w:t>
      </w:r>
      <w:proofErr w:type="spellEnd"/>
      <w:r>
        <w:t xml:space="preserve"> groups and Catchment Management Authorities, and an increase of work enquiry from local shire councils.</w:t>
      </w:r>
    </w:p>
    <w:p w:rsidR="000D6E6A" w:rsidRDefault="000D6E6A">
      <w:pPr>
        <w:pStyle w:val="Bodycopy"/>
      </w:pPr>
      <w:r>
        <w:t>18,720 prisoner crew days were delivered from five prison sites on environmental projects in the year to March 2018. This included 20 disaster recovery days, planting of around 15,720 trees, and erecting 20.5 kilometres of environmental fencing. This translates to approximately 4636 individual prisoner days, providing much benefit to the community.</w:t>
      </w:r>
    </w:p>
    <w:p w:rsidR="000D6E6A" w:rsidRDefault="000D6E6A">
      <w:pPr>
        <w:pStyle w:val="Bodycopy"/>
        <w:rPr>
          <w:rStyle w:val="italic"/>
          <w:color w:val="542E8E"/>
        </w:rPr>
      </w:pPr>
    </w:p>
    <w:p w:rsidR="009B6B2A" w:rsidRDefault="009B6B2A">
      <w:pPr>
        <w:rPr>
          <w:rFonts w:ascii="Arial" w:hAnsi="Arial" w:cs="Arial"/>
          <w:b/>
          <w:bCs/>
          <w:color w:val="542E8E"/>
          <w:sz w:val="36"/>
          <w:szCs w:val="36"/>
          <w:lang w:val="en-GB"/>
        </w:rPr>
      </w:pPr>
      <w:r>
        <w:br w:type="page"/>
      </w:r>
    </w:p>
    <w:p w:rsidR="000D6E6A" w:rsidRDefault="000D6E6A">
      <w:pPr>
        <w:pStyle w:val="H1"/>
      </w:pPr>
      <w:bookmarkStart w:id="11" w:name="_Toc525300166"/>
      <w:r>
        <w:lastRenderedPageBreak/>
        <w:t>8. Assurance</w:t>
      </w:r>
      <w:bookmarkEnd w:id="11"/>
    </w:p>
    <w:p w:rsidR="000D6E6A" w:rsidRDefault="000D6E6A">
      <w:pPr>
        <w:pStyle w:val="H2"/>
      </w:pPr>
      <w:r>
        <w:t xml:space="preserve">Monitoring of youth justice and corrections </w:t>
      </w:r>
    </w:p>
    <w:p w:rsidR="000D6E6A" w:rsidRDefault="000D6E6A">
      <w:pPr>
        <w:pStyle w:val="Bodycopy"/>
      </w:pPr>
      <w:r>
        <w:t>In August 2007, the Office of Correctional Services Review (OCSR) was established as an oversight body to advise the Secretary of the department on the performance of Victoria’s adult correctional system. Over the last ten years, its focus has changed and more recently, the OCSR has adopted an assurance model to increase its focus on proactive, strategic and risk-based activities.</w:t>
      </w:r>
    </w:p>
    <w:p w:rsidR="000D6E6A" w:rsidRDefault="000D6E6A">
      <w:pPr>
        <w:pStyle w:val="Bodycopy"/>
      </w:pPr>
      <w:r>
        <w:t xml:space="preserve">In April 2017, the OCSR’s assurance role was expanded to include the youth justice portfolio following the transfer of youth justice custodial services, </w:t>
      </w:r>
      <w:proofErr w:type="gramStart"/>
      <w:r>
        <w:t>community based</w:t>
      </w:r>
      <w:proofErr w:type="gramEnd"/>
      <w:r>
        <w:t xml:space="preserve"> youth justice and youth justice policy from the DHHS to the department. To reflect this expanded role, the title of the office was changed from the OCSR to the Justice Assurance and Review Office (JARO).</w:t>
      </w:r>
    </w:p>
    <w:p w:rsidR="000D6E6A" w:rsidRDefault="000D6E6A">
      <w:pPr>
        <w:pStyle w:val="Bodycopy"/>
      </w:pPr>
      <w:r>
        <w:t xml:space="preserve">JARO has responsibility to assist the Secretary to fulfil his statutory obligations to monitor the performance of all adult correctional and youth justice services under the </w:t>
      </w:r>
      <w:r>
        <w:rPr>
          <w:rStyle w:val="italic"/>
        </w:rPr>
        <w:t>Children, Youth and Families Act 2005</w:t>
      </w:r>
      <w:r>
        <w:t xml:space="preserve"> and section 7 of the </w:t>
      </w:r>
      <w:r>
        <w:rPr>
          <w:rStyle w:val="italic"/>
        </w:rPr>
        <w:t>Corrections Act 1986</w:t>
      </w:r>
      <w:r>
        <w:t xml:space="preserve">. </w:t>
      </w:r>
    </w:p>
    <w:p w:rsidR="000D6E6A" w:rsidRDefault="000D6E6A">
      <w:pPr>
        <w:pStyle w:val="Bodycopy"/>
      </w:pPr>
      <w:r>
        <w:t>JARO operates as an internal review and assurance function to advise the Secretary on the performance of the youth justice and adult correctional systems. JARO exists separately and independently from the department’s Youth Justice and Corrections Victoria divisions and acts as an additional line of assurance against emerging and enduring risk within both systems.</w:t>
      </w:r>
    </w:p>
    <w:p w:rsidR="000D6E6A" w:rsidRDefault="000D6E6A">
      <w:pPr>
        <w:pStyle w:val="Bodycopy"/>
      </w:pPr>
      <w:r>
        <w:t>JARO provides the Secretary with current, objective information on areas of risk, the adequacy of existing controls and opportunities for improvement through activities including:</w:t>
      </w:r>
    </w:p>
    <w:p w:rsidR="000D6E6A" w:rsidRDefault="000D6E6A">
      <w:pPr>
        <w:pStyle w:val="BodycopyBullet"/>
      </w:pPr>
      <w:r>
        <w:t xml:space="preserve">proactive reviews into areas of risk in youth justice and adult correctional systems </w:t>
      </w:r>
    </w:p>
    <w:p w:rsidR="000D6E6A" w:rsidRDefault="000D6E6A">
      <w:pPr>
        <w:pStyle w:val="BodycopyBullet"/>
      </w:pPr>
      <w:r>
        <w:t>reviews into serious incidents and allegations within youth justice and adult correctional systems</w:t>
      </w:r>
    </w:p>
    <w:p w:rsidR="000D6E6A" w:rsidRDefault="000D6E6A">
      <w:pPr>
        <w:pStyle w:val="BodycopyBullet"/>
      </w:pPr>
      <w:r>
        <w:t>monitoring the performance of the systems including youth justice precincts, youth justice community services, prisons, CCS and other adult correctional services</w:t>
      </w:r>
    </w:p>
    <w:p w:rsidR="000D6E6A" w:rsidRDefault="000D6E6A">
      <w:pPr>
        <w:pStyle w:val="BodycopyBulletspaceunder"/>
      </w:pPr>
      <w:r>
        <w:t>coordinating the Minister for Corrections’ volunteer Independent Prison Visitor Scheme.</w:t>
      </w:r>
    </w:p>
    <w:p w:rsidR="000D6E6A" w:rsidRDefault="000D6E6A">
      <w:pPr>
        <w:pStyle w:val="Bodycopy"/>
      </w:pPr>
      <w:r>
        <w:t xml:space="preserve">Where JARO identifies opportunities for improvement, it makes recommendations for change in consultation with Corrections Victoria or the Youth Justice divisions.  JARO also considers recommendations within wider system reforms, ensuring consistency and avoiding duplication.  </w:t>
      </w:r>
    </w:p>
    <w:p w:rsidR="000D6E6A" w:rsidRDefault="000D6E6A">
      <w:pPr>
        <w:pStyle w:val="H4"/>
      </w:pPr>
      <w:r>
        <w:t>Independent prison visitors</w:t>
      </w:r>
    </w:p>
    <w:p w:rsidR="000D6E6A" w:rsidRDefault="000D6E6A">
      <w:pPr>
        <w:pStyle w:val="Bodycopy"/>
      </w:pPr>
      <w:r>
        <w:t>The Independent Prison Visitor Scheme, established in 1986, is coordinated by JARO. Independent prison visitors are volunteers appointed by the Minister for Corrections for a five-year term.</w:t>
      </w:r>
    </w:p>
    <w:p w:rsidR="000D6E6A" w:rsidRDefault="000D6E6A">
      <w:pPr>
        <w:pStyle w:val="Bodycopy"/>
      </w:pPr>
      <w:r>
        <w:t>As at 30 June 2018, there were 32 independent prison visitors. These volunteers attend prisons, speak to prisoners and staff, and provide the Minister for Corrections with independent and objective advice from a community perspective on the operation of Victoria’s prisons.</w:t>
      </w:r>
    </w:p>
    <w:p w:rsidR="000D6E6A" w:rsidRDefault="000D6E6A">
      <w:pPr>
        <w:pStyle w:val="Bodycopy"/>
      </w:pPr>
      <w:r>
        <w:t xml:space="preserve">During the period 1 July 2017 to 30 June 2018, visitors provided JARO with 249 reports. These reports made both positive observations and identified matters requiring action and/or follow up by either JARO, the relevant prison and/or Corrections Victoria. </w:t>
      </w:r>
    </w:p>
    <w:p w:rsidR="000D6E6A" w:rsidRDefault="000D6E6A">
      <w:pPr>
        <w:pStyle w:val="H4"/>
      </w:pPr>
      <w:r>
        <w:t>Proactive reviews</w:t>
      </w:r>
    </w:p>
    <w:p w:rsidR="000D6E6A" w:rsidRDefault="000D6E6A">
      <w:pPr>
        <w:pStyle w:val="H5"/>
        <w:rPr>
          <w:rStyle w:val="italic"/>
          <w:i/>
          <w:iCs/>
        </w:rPr>
      </w:pPr>
      <w:r>
        <w:rPr>
          <w:rStyle w:val="italic"/>
          <w:i/>
          <w:iCs/>
        </w:rPr>
        <w:t>Reviews completed in 2017–18</w:t>
      </w:r>
    </w:p>
    <w:p w:rsidR="000D6E6A" w:rsidRDefault="000D6E6A">
      <w:pPr>
        <w:pStyle w:val="Bodycopy"/>
      </w:pPr>
      <w:r>
        <w:t>JARO conducts proactive reviews to provide the Secretary with objective advice regarding current and emerging issues in the youth justice and adult correctional systems. Thematic reviews assure the Secretary about the performance of the system and foster continuous improvement for a high-performing system.</w:t>
      </w:r>
    </w:p>
    <w:p w:rsidR="000D6E6A" w:rsidRDefault="000D6E6A">
      <w:pPr>
        <w:pStyle w:val="Bodycopy"/>
      </w:pPr>
      <w:r>
        <w:t>JARO completed two thematic reviews in 2017–18.</w:t>
      </w:r>
    </w:p>
    <w:p w:rsidR="000D6E6A" w:rsidRDefault="000D6E6A">
      <w:pPr>
        <w:pStyle w:val="H5"/>
        <w:rPr>
          <w:rStyle w:val="italic"/>
          <w:i/>
          <w:iCs/>
        </w:rPr>
      </w:pPr>
      <w:r>
        <w:rPr>
          <w:rStyle w:val="italic"/>
          <w:i/>
          <w:iCs/>
        </w:rPr>
        <w:t>Review of the operational impacts and management of the ‘smoke-free’ prison policy</w:t>
      </w:r>
    </w:p>
    <w:p w:rsidR="000D6E6A" w:rsidRDefault="000D6E6A">
      <w:pPr>
        <w:pStyle w:val="Bodycopy"/>
      </w:pPr>
      <w:r>
        <w:t xml:space="preserve">The </w:t>
      </w:r>
      <w:r>
        <w:rPr>
          <w:rStyle w:val="italic"/>
        </w:rPr>
        <w:t>Corrections Amendment (Smoke-free Prisons) Act 2014</w:t>
      </w:r>
      <w:r>
        <w:t xml:space="preserve"> commenced on 1 July 2015. At the request of the Secretary, and as part of its proactive assurance program, JARO conducted a review which focused on how Corrections Victoria managed the impacts of implementation and whether there were any new or unforeseen risks to the corrections system arising from the smoke-free prison policy (SFPP).   </w:t>
      </w:r>
    </w:p>
    <w:p w:rsidR="000D6E6A" w:rsidRDefault="000D6E6A">
      <w:pPr>
        <w:pStyle w:val="Bodycopy"/>
      </w:pPr>
      <w:r>
        <w:t>To provide guidance to the review, JARO established a reference group comprising senior and experienced subject matter experts from Corrections Victoria.</w:t>
      </w:r>
    </w:p>
    <w:p w:rsidR="000D6E6A" w:rsidRDefault="000D6E6A">
      <w:pPr>
        <w:pStyle w:val="Bodycopy"/>
        <w:rPr>
          <w:spacing w:val="-2"/>
        </w:rPr>
      </w:pPr>
      <w:r>
        <w:rPr>
          <w:spacing w:val="-2"/>
        </w:rPr>
        <w:t>The review found that the SFPP’s impact was far reaching. The SFPP impacted (or has been perceived to have impacted) various areas of prison operations from dynamic security to staff workload. The most significant and widely reported impact of the SFPP’s implementation was the misuse of nicotine replacement therapy (NRT) (both patches and lozenges) to manufacture ‘</w:t>
      </w:r>
      <w:proofErr w:type="spellStart"/>
      <w:r>
        <w:rPr>
          <w:spacing w:val="-2"/>
        </w:rPr>
        <w:t>teabacco</w:t>
      </w:r>
      <w:proofErr w:type="spellEnd"/>
      <w:r>
        <w:rPr>
          <w:spacing w:val="-2"/>
        </w:rPr>
        <w:t xml:space="preserve">’ (prisoner made cigarettes). The creation of </w:t>
      </w:r>
      <w:proofErr w:type="spellStart"/>
      <w:r>
        <w:rPr>
          <w:spacing w:val="-2"/>
        </w:rPr>
        <w:t>teabacco</w:t>
      </w:r>
      <w:proofErr w:type="spellEnd"/>
      <w:r>
        <w:rPr>
          <w:spacing w:val="-2"/>
        </w:rPr>
        <w:t xml:space="preserve"> led to a range of perceived associated risks such as an increase in assaults and </w:t>
      </w:r>
      <w:proofErr w:type="spellStart"/>
      <w:r>
        <w:rPr>
          <w:spacing w:val="-2"/>
        </w:rPr>
        <w:t>standover</w:t>
      </w:r>
      <w:proofErr w:type="spellEnd"/>
      <w:r>
        <w:rPr>
          <w:spacing w:val="-2"/>
        </w:rPr>
        <w:t xml:space="preserve"> activities (related to obtaining patches and lozenges) and increased incidents of property misuse (in order to ignite </w:t>
      </w:r>
      <w:proofErr w:type="spellStart"/>
      <w:r>
        <w:rPr>
          <w:spacing w:val="-2"/>
        </w:rPr>
        <w:t>teabacco</w:t>
      </w:r>
      <w:proofErr w:type="spellEnd"/>
      <w:r>
        <w:rPr>
          <w:spacing w:val="-2"/>
        </w:rPr>
        <w:t xml:space="preserve">). </w:t>
      </w:r>
    </w:p>
    <w:p w:rsidR="000D6E6A" w:rsidRDefault="000D6E6A">
      <w:pPr>
        <w:pStyle w:val="Bodycopy"/>
      </w:pPr>
      <w:r>
        <w:t xml:space="preserve">Acknowledging that NRT misuse is not unique to Victorian prisons, JARO sought advice from other jurisdictions about how they manage NRT misuse. In addition to NRT management, JARO identified a number of other opportunities for Corrections Victoria to consider, to assist in the ongoing management of the SFPP relating to prisoner programs, communications to staff on </w:t>
      </w:r>
      <w:r>
        <w:lastRenderedPageBreak/>
        <w:t>smoking-related matters and smoking incident classification. The review made four recommendations and presented a further four matters for consideration.</w:t>
      </w:r>
    </w:p>
    <w:p w:rsidR="000D6E6A" w:rsidRDefault="000D6E6A">
      <w:pPr>
        <w:pStyle w:val="H5"/>
        <w:rPr>
          <w:rStyle w:val="italic"/>
          <w:i/>
          <w:iCs/>
        </w:rPr>
      </w:pPr>
      <w:r>
        <w:rPr>
          <w:rStyle w:val="italic"/>
          <w:i/>
          <w:iCs/>
        </w:rPr>
        <w:t>Review of the application and management of reasonable force in a corrections custodial environment – Part 2</w:t>
      </w:r>
    </w:p>
    <w:p w:rsidR="000D6E6A" w:rsidRDefault="000D6E6A">
      <w:pPr>
        <w:pStyle w:val="Bodycopy"/>
      </w:pPr>
      <w:r>
        <w:t xml:space="preserve">As part of its proactive assurance program, JARO also conducted part 2 of its thematic review, initiated in 2016, which considered the management and application of ‘reasonable force’ in custodial environments. </w:t>
      </w:r>
    </w:p>
    <w:p w:rsidR="000D6E6A" w:rsidRDefault="000D6E6A">
      <w:pPr>
        <w:pStyle w:val="Bodycopy"/>
        <w:rPr>
          <w:spacing w:val="-2"/>
        </w:rPr>
      </w:pPr>
      <w:r>
        <w:rPr>
          <w:spacing w:val="-2"/>
        </w:rPr>
        <w:t>Part 1 considered the risks and controls associated with the reasonable use of force, examining trends relating to the use of force, identifying risks and examining the controls in place to provide assurance to the Secretary that these are appropriately managed. The review made five recommendations and presented a further six matters for consideration which were accepted, or accepted in principle, by Corrections Victoria.</w:t>
      </w:r>
    </w:p>
    <w:p w:rsidR="000D6E6A" w:rsidRDefault="000D6E6A">
      <w:pPr>
        <w:pStyle w:val="Bodycopy"/>
      </w:pPr>
      <w:r>
        <w:t xml:space="preserve">Part 2 of this review explored staff perceptions of the controls, particularly options and alternatives to the use of force. JARO drew on prison officers’ </w:t>
      </w:r>
      <w:proofErr w:type="gramStart"/>
      <w:r>
        <w:t>experiences, and</w:t>
      </w:r>
      <w:proofErr w:type="gramEnd"/>
      <w:r>
        <w:t xml:space="preserve"> explored perceptions of their ability to de-escalate situations and use force only where required. The review also considered training received by officers and the support officers received from management.</w:t>
      </w:r>
    </w:p>
    <w:p w:rsidR="000D6E6A" w:rsidRDefault="000D6E6A">
      <w:pPr>
        <w:pStyle w:val="Bodycopy"/>
      </w:pPr>
      <w:r>
        <w:t xml:space="preserve">JARO found that staff routinely employ alternatives to the use of force, primarily through the use of tactical communication. In all interviews, staff agreed that effective communication and relationship building were at the core of a prison officer’s role. These skills provided staff with the capability to effectively communicate with prisoners in situations that become heightened and volatile. They also enabled them to de-escalate situations. </w:t>
      </w:r>
    </w:p>
    <w:p w:rsidR="000D6E6A" w:rsidRDefault="000D6E6A">
      <w:pPr>
        <w:pStyle w:val="Bodycopy"/>
      </w:pPr>
      <w:r>
        <w:t>Staff at each location raised concerns about how to effectively communicate with prisoners with complex issues, such as psychiatric and mental health issues, drug addiction and acquired brain injuries. This concern was shared by managers who believed that staff could be provided with more information and tools in how best to approach prisoners affected by these issues.</w:t>
      </w:r>
    </w:p>
    <w:p w:rsidR="000D6E6A" w:rsidRDefault="000D6E6A">
      <w:pPr>
        <w:pStyle w:val="Bodycopy"/>
      </w:pPr>
      <w:r>
        <w:t xml:space="preserve">Part 2 of the review made three recommendations, all of which have been accepted and are currently being implemented by Corrections Victoria. </w:t>
      </w:r>
    </w:p>
    <w:p w:rsidR="000D6E6A" w:rsidRDefault="000D6E6A">
      <w:pPr>
        <w:pStyle w:val="H4"/>
      </w:pPr>
      <w:r>
        <w:t>Incident reviews</w:t>
      </w:r>
    </w:p>
    <w:p w:rsidR="000D6E6A" w:rsidRDefault="000D6E6A">
      <w:pPr>
        <w:pStyle w:val="Bodycopy"/>
        <w:rPr>
          <w:spacing w:val="-2"/>
        </w:rPr>
      </w:pPr>
      <w:r>
        <w:rPr>
          <w:spacing w:val="-2"/>
        </w:rPr>
        <w:t xml:space="preserve">JARO reviews serious incidents within youth justice precincts, youth justice community services, prisons, CCS and other adult correctional services to identify systemic risks, consider the adequacy of existing controls and the appropriateness of the response to the incident. Through this function, JARO provides the Secretary with objective advice on the operation of the youth justice and </w:t>
      </w:r>
      <w:proofErr w:type="gramStart"/>
      <w:r>
        <w:rPr>
          <w:spacing w:val="-2"/>
        </w:rPr>
        <w:t>corrections systems, and</w:t>
      </w:r>
      <w:proofErr w:type="gramEnd"/>
      <w:r>
        <w:rPr>
          <w:spacing w:val="-2"/>
        </w:rPr>
        <w:t xml:space="preserve"> identifies opportunities to reduce the risk of similar incidents occurring in the future. Incidents are selected for review based on level of risk. The level of risk is determined using JARO’s risk assessment framework or through referral by the Secretary, the divisional heads or the relevant Minister.</w:t>
      </w:r>
    </w:p>
    <w:p w:rsidR="000D6E6A" w:rsidRDefault="000D6E6A">
      <w:pPr>
        <w:pStyle w:val="H5"/>
        <w:rPr>
          <w:rStyle w:val="italic"/>
          <w:i/>
          <w:iCs/>
        </w:rPr>
      </w:pPr>
      <w:r>
        <w:rPr>
          <w:rStyle w:val="italic"/>
          <w:i/>
          <w:iCs/>
        </w:rPr>
        <w:t>Corrections Victoria</w:t>
      </w:r>
    </w:p>
    <w:p w:rsidR="000D6E6A" w:rsidRDefault="000D6E6A">
      <w:pPr>
        <w:pStyle w:val="Bodycopy"/>
      </w:pPr>
      <w:r>
        <w:t xml:space="preserve">In 2017–18, (as at 30 June 2018), JARO completed six reviews into significant incidents that occurred within adult correctional centres. </w:t>
      </w:r>
    </w:p>
    <w:p w:rsidR="000D6E6A" w:rsidRDefault="000D6E6A">
      <w:pPr>
        <w:pStyle w:val="H5"/>
        <w:rPr>
          <w:rStyle w:val="italic"/>
          <w:i/>
          <w:iCs/>
        </w:rPr>
      </w:pPr>
      <w:r>
        <w:rPr>
          <w:rStyle w:val="italic"/>
          <w:i/>
          <w:iCs/>
        </w:rPr>
        <w:t>Youth Justice</w:t>
      </w:r>
    </w:p>
    <w:p w:rsidR="000D6E6A" w:rsidRDefault="000D6E6A">
      <w:pPr>
        <w:pStyle w:val="Bodycopy"/>
      </w:pPr>
      <w:r>
        <w:t xml:space="preserve">In 2017–18, (as at 30 June 2018), JARO completed eight reviews into significant incidents that occurred within youth justice precincts. </w:t>
      </w:r>
    </w:p>
    <w:p w:rsidR="000D6E6A" w:rsidRDefault="000D6E6A">
      <w:pPr>
        <w:pStyle w:val="H4"/>
      </w:pPr>
      <w:r>
        <w:t>Death reviews</w:t>
      </w:r>
    </w:p>
    <w:p w:rsidR="000D6E6A" w:rsidRDefault="000D6E6A">
      <w:pPr>
        <w:pStyle w:val="Bodycopy"/>
      </w:pPr>
      <w:r>
        <w:t>JARO conducts reviews in response to natural and unnatural deaths within a custodial or correctional facility.  The death of offenders or young persons, who were subject to youth justice or Community Corrections Order (CCO), may also be reviewed in certain circumstances.  As a central contact point for the department, JARO plays a critical role in the provision of advice to the Coroners Court of Victoria.</w:t>
      </w:r>
    </w:p>
    <w:p w:rsidR="000D6E6A" w:rsidRDefault="000D6E6A">
      <w:pPr>
        <w:pStyle w:val="H5"/>
        <w:rPr>
          <w:rStyle w:val="italic"/>
          <w:i/>
          <w:iCs/>
        </w:rPr>
      </w:pPr>
      <w:r>
        <w:rPr>
          <w:rStyle w:val="italic"/>
          <w:i/>
          <w:iCs/>
        </w:rPr>
        <w:t>Adult deaths in custody</w:t>
      </w:r>
    </w:p>
    <w:p w:rsidR="000D6E6A" w:rsidRDefault="000D6E6A">
      <w:pPr>
        <w:pStyle w:val="Bodycopy"/>
      </w:pPr>
      <w:r>
        <w:t xml:space="preserve">JARO prepares a report for the Secretary and the Coroner each time </w:t>
      </w:r>
      <w:proofErr w:type="gramStart"/>
      <w:r>
        <w:t>an adult dies</w:t>
      </w:r>
      <w:proofErr w:type="gramEnd"/>
      <w:r>
        <w:t xml:space="preserve"> in custody. Following the completion of its report, JARO monitors the coronial investigation and any recommendations.</w:t>
      </w:r>
    </w:p>
    <w:p w:rsidR="000D6E6A" w:rsidRDefault="000D6E6A">
      <w:pPr>
        <w:pStyle w:val="Bodycopy"/>
      </w:pPr>
      <w:r>
        <w:t>Between 1 July 2017 and 30 June 2018, there were 17 deaths in adult correctional centres across Victoria compared with 20 the previous year. The majority of deaths within this period have been, or appear to be, the result of natural causes. During this period, JARO completed and provided the Coroner with fourteen reviews into the death of adult prisoners.</w:t>
      </w:r>
    </w:p>
    <w:p w:rsidR="000D6E6A" w:rsidRDefault="000D6E6A">
      <w:pPr>
        <w:pStyle w:val="H5"/>
        <w:rPr>
          <w:rStyle w:val="italic"/>
          <w:i/>
          <w:iCs/>
        </w:rPr>
      </w:pPr>
      <w:r>
        <w:rPr>
          <w:rStyle w:val="italic"/>
          <w:i/>
          <w:iCs/>
        </w:rPr>
        <w:t>Offender deaths</w:t>
      </w:r>
    </w:p>
    <w:p w:rsidR="000D6E6A" w:rsidRDefault="000D6E6A">
      <w:pPr>
        <w:pStyle w:val="Bodycopy"/>
        <w:rPr>
          <w:spacing w:val="2"/>
        </w:rPr>
      </w:pPr>
      <w:r>
        <w:rPr>
          <w:spacing w:val="2"/>
        </w:rPr>
        <w:t>JARO also prepares a report for the Coroner when a parolee or a person subject to a CCO combined with a period of imprisonment, dies within three months of their release from prison. A report may also be completed, at the request of the Coroner, for any person who has been in custody or under supervision of CCS. During the period 1 July 2017 to 30 June 2018, JARO prepared 26 reports for the Coroner into parolee and offender deaths.</w:t>
      </w:r>
    </w:p>
    <w:p w:rsidR="000D6E6A" w:rsidRDefault="000D6E6A">
      <w:pPr>
        <w:pStyle w:val="H5"/>
        <w:rPr>
          <w:rStyle w:val="italic"/>
          <w:i/>
          <w:iCs/>
        </w:rPr>
      </w:pPr>
      <w:r>
        <w:rPr>
          <w:rStyle w:val="italic"/>
          <w:i/>
          <w:iCs/>
        </w:rPr>
        <w:t>Young persons’ deaths in youth justice custodial precincts</w:t>
      </w:r>
    </w:p>
    <w:p w:rsidR="000D6E6A" w:rsidRDefault="000D6E6A">
      <w:pPr>
        <w:pStyle w:val="Bodycopy"/>
        <w:rPr>
          <w:spacing w:val="2"/>
        </w:rPr>
      </w:pPr>
      <w:r>
        <w:rPr>
          <w:spacing w:val="2"/>
        </w:rPr>
        <w:t>There were no deaths of young people in youth justice custody in Victoria between 1 July 2017 and 30 June 2018.</w:t>
      </w:r>
    </w:p>
    <w:p w:rsidR="000D6E6A" w:rsidRDefault="000D6E6A">
      <w:pPr>
        <w:pStyle w:val="H4"/>
      </w:pPr>
      <w:r>
        <w:t>Impact of reviews</w:t>
      </w:r>
    </w:p>
    <w:p w:rsidR="000D6E6A" w:rsidRDefault="000D6E6A">
      <w:pPr>
        <w:pStyle w:val="Bodycopy"/>
        <w:rPr>
          <w:spacing w:val="-2"/>
        </w:rPr>
      </w:pPr>
      <w:r>
        <w:rPr>
          <w:spacing w:val="-2"/>
        </w:rPr>
        <w:t xml:space="preserve">Through its reviews, JARO aims to mitigate emerging and enduring risks and drive continuous improvement within the adult correctional and youth justice systems.    </w:t>
      </w:r>
    </w:p>
    <w:p w:rsidR="000D6E6A" w:rsidRDefault="000D6E6A">
      <w:pPr>
        <w:pStyle w:val="H5"/>
        <w:rPr>
          <w:rStyle w:val="italic"/>
          <w:i/>
          <w:iCs/>
        </w:rPr>
      </w:pPr>
      <w:r>
        <w:rPr>
          <w:rStyle w:val="italic"/>
          <w:i/>
          <w:iCs/>
        </w:rPr>
        <w:t>Corrections Victoria</w:t>
      </w:r>
    </w:p>
    <w:p w:rsidR="000D6E6A" w:rsidRDefault="000D6E6A">
      <w:pPr>
        <w:pStyle w:val="Bodycopy"/>
      </w:pPr>
      <w:r>
        <w:lastRenderedPageBreak/>
        <w:t xml:space="preserve">A number of key changes and improvements have been made to the adult correctional system in 2017-18 as a result of recommendations made by JARO. Recommendations relate to:  </w:t>
      </w:r>
    </w:p>
    <w:p w:rsidR="000D6E6A" w:rsidRDefault="000D6E6A">
      <w:pPr>
        <w:pStyle w:val="BodycopyBullet"/>
      </w:pPr>
      <w:r>
        <w:t>safety and security</w:t>
      </w:r>
    </w:p>
    <w:p w:rsidR="000D6E6A" w:rsidRDefault="000D6E6A">
      <w:pPr>
        <w:pStyle w:val="BodycopyBullet"/>
      </w:pPr>
      <w:r>
        <w:t>prisoner management</w:t>
      </w:r>
    </w:p>
    <w:p w:rsidR="000D6E6A" w:rsidRDefault="000D6E6A">
      <w:pPr>
        <w:pStyle w:val="BodycopyBullet"/>
      </w:pPr>
      <w:r>
        <w:t>incident reporting</w:t>
      </w:r>
    </w:p>
    <w:p w:rsidR="000D6E6A" w:rsidRDefault="000D6E6A">
      <w:pPr>
        <w:pStyle w:val="BodycopyBulletspaceunder"/>
      </w:pPr>
      <w:r>
        <w:t>case management.</w:t>
      </w:r>
    </w:p>
    <w:p w:rsidR="000D6E6A" w:rsidRDefault="000D6E6A">
      <w:pPr>
        <w:pStyle w:val="Bodycopy"/>
      </w:pPr>
      <w:r>
        <w:t>Corrections Victoria have implemented, or are currently implementing, the recommendations.</w:t>
      </w:r>
    </w:p>
    <w:p w:rsidR="000D6E6A" w:rsidRDefault="000D6E6A">
      <w:pPr>
        <w:pStyle w:val="H5"/>
        <w:rPr>
          <w:rStyle w:val="italic"/>
          <w:i/>
          <w:iCs/>
        </w:rPr>
      </w:pPr>
      <w:r>
        <w:rPr>
          <w:rStyle w:val="italic"/>
          <w:i/>
          <w:iCs/>
        </w:rPr>
        <w:t xml:space="preserve">Youth justice </w:t>
      </w:r>
    </w:p>
    <w:p w:rsidR="000D6E6A" w:rsidRDefault="000D6E6A">
      <w:pPr>
        <w:pStyle w:val="Bodycopy"/>
        <w:rPr>
          <w:spacing w:val="2"/>
        </w:rPr>
      </w:pPr>
      <w:r>
        <w:rPr>
          <w:spacing w:val="2"/>
        </w:rPr>
        <w:t>JARO’s reviews of the youth justice system have resulted in a number of recommendations for consideration. These recommendations are consistent with the Youth Justice Review and Strategy – independent review into youth justice, July 2017 (</w:t>
      </w:r>
      <w:proofErr w:type="spellStart"/>
      <w:r>
        <w:rPr>
          <w:spacing w:val="2"/>
        </w:rPr>
        <w:t>Armytage</w:t>
      </w:r>
      <w:proofErr w:type="spellEnd"/>
      <w:r>
        <w:rPr>
          <w:spacing w:val="2"/>
        </w:rPr>
        <w:t xml:space="preserve"> and </w:t>
      </w:r>
      <w:proofErr w:type="spellStart"/>
      <w:r>
        <w:rPr>
          <w:spacing w:val="2"/>
        </w:rPr>
        <w:t>Ogloff</w:t>
      </w:r>
      <w:proofErr w:type="spellEnd"/>
      <w:r>
        <w:rPr>
          <w:spacing w:val="2"/>
        </w:rPr>
        <w:t xml:space="preserve"> Review), and relate to the following key areas: </w:t>
      </w:r>
    </w:p>
    <w:p w:rsidR="000D6E6A" w:rsidRDefault="000D6E6A">
      <w:pPr>
        <w:pStyle w:val="BodycopyBullet"/>
      </w:pPr>
      <w:r>
        <w:t xml:space="preserve">assessment and classification </w:t>
      </w:r>
    </w:p>
    <w:p w:rsidR="000D6E6A" w:rsidRDefault="000D6E6A">
      <w:pPr>
        <w:pStyle w:val="BodycopyBullet"/>
      </w:pPr>
      <w:r>
        <w:t>behaviour and case management of young people</w:t>
      </w:r>
    </w:p>
    <w:p w:rsidR="000D6E6A" w:rsidRDefault="000D6E6A">
      <w:pPr>
        <w:pStyle w:val="BodycopyBullet"/>
      </w:pPr>
      <w:r>
        <w:t>incident and emergency management response</w:t>
      </w:r>
    </w:p>
    <w:p w:rsidR="000D6E6A" w:rsidRDefault="000D6E6A">
      <w:pPr>
        <w:pStyle w:val="BodycopyBullet"/>
      </w:pPr>
      <w:r>
        <w:t>application of reasonable force</w:t>
      </w:r>
    </w:p>
    <w:p w:rsidR="000D6E6A" w:rsidRDefault="000D6E6A">
      <w:pPr>
        <w:pStyle w:val="BodycopyBullet"/>
      </w:pPr>
      <w:r>
        <w:t>workforce strategies</w:t>
      </w:r>
    </w:p>
    <w:p w:rsidR="000D6E6A" w:rsidRDefault="000D6E6A">
      <w:pPr>
        <w:pStyle w:val="BodycopyBulletspaceunder"/>
      </w:pPr>
      <w:r>
        <w:t>infrastructure and procedures.</w:t>
      </w:r>
    </w:p>
    <w:p w:rsidR="000D6E6A" w:rsidRDefault="000D6E6A">
      <w:pPr>
        <w:pStyle w:val="Bodycopy"/>
      </w:pPr>
      <w:r>
        <w:t xml:space="preserve">The Youth Justice division is currently in the process of developing strategies to implement these recommendations within the system. </w:t>
      </w:r>
    </w:p>
    <w:p w:rsidR="000D6E6A" w:rsidRDefault="000D6E6A">
      <w:pPr>
        <w:pStyle w:val="H2"/>
      </w:pPr>
      <w:r>
        <w:t>Inspector-General for Emergency Management</w:t>
      </w:r>
    </w:p>
    <w:p w:rsidR="000D6E6A" w:rsidRDefault="000D6E6A">
      <w:pPr>
        <w:pStyle w:val="Bodycopy"/>
        <w:rPr>
          <w:b/>
          <w:bCs/>
        </w:rPr>
      </w:pPr>
      <w:r>
        <w:t>The Inspector-General for Emergency Management (IGEM) is an assurance entity created through the 2014 reforms of Victoria’s emergency management arrangements.</w:t>
      </w:r>
    </w:p>
    <w:p w:rsidR="000D6E6A" w:rsidRDefault="000D6E6A">
      <w:pPr>
        <w:pStyle w:val="Bodycopy"/>
        <w:rPr>
          <w:b/>
          <w:bCs/>
          <w:spacing w:val="2"/>
        </w:rPr>
      </w:pPr>
      <w:r>
        <w:rPr>
          <w:spacing w:val="2"/>
        </w:rPr>
        <w:t>Established through the </w:t>
      </w:r>
      <w:r>
        <w:rPr>
          <w:rStyle w:val="italic"/>
          <w:spacing w:val="2"/>
        </w:rPr>
        <w:t>Emergency Management Act 2013</w:t>
      </w:r>
      <w:r>
        <w:rPr>
          <w:spacing w:val="2"/>
        </w:rPr>
        <w:t>, IGEM works with its emergency management partners and the community to strengthen emergency management arrangements and community safety in Victoria.</w:t>
      </w:r>
    </w:p>
    <w:p w:rsidR="000D6E6A" w:rsidRDefault="000D6E6A">
      <w:pPr>
        <w:pStyle w:val="Bodycopy"/>
      </w:pPr>
      <w:r>
        <w:t xml:space="preserve">Its purpose flows from two core legislative objectives – to provide assurance to the government and the community in respect of emergency management arrangements in Victoria, and to foster their continuous improvement. </w:t>
      </w:r>
    </w:p>
    <w:p w:rsidR="000D6E6A" w:rsidRDefault="000D6E6A">
      <w:pPr>
        <w:pStyle w:val="Bodycopy"/>
        <w:rPr>
          <w:b/>
          <w:bCs/>
        </w:rPr>
      </w:pPr>
      <w:r>
        <w:t>Through a range of assurance activities–including monitoring, evaluation, review and investigation–IGEM progressively monitors and assesses the capacity, capability and performance of the emergency management sector (the sector).</w:t>
      </w:r>
    </w:p>
    <w:p w:rsidR="000D6E6A" w:rsidRDefault="000D6E6A">
      <w:pPr>
        <w:pStyle w:val="Bodycopy"/>
      </w:pPr>
      <w:r>
        <w:t xml:space="preserve">IGEM identifies opportunities for continuous improvement and provides the government and community with the confidence that Victoria’s emergency management arrangements are </w:t>
      </w:r>
      <w:proofErr w:type="gramStart"/>
      <w:r>
        <w:t>effective</w:t>
      </w:r>
      <w:proofErr w:type="gramEnd"/>
      <w:r>
        <w:t xml:space="preserve"> and agencies are implementing the State’s agreed reform agenda.</w:t>
      </w:r>
    </w:p>
    <w:p w:rsidR="000D6E6A" w:rsidRDefault="000D6E6A">
      <w:pPr>
        <w:pStyle w:val="H4"/>
      </w:pPr>
      <w:r>
        <w:t>Assurance Frameworks and Monitoring</w:t>
      </w:r>
    </w:p>
    <w:p w:rsidR="000D6E6A" w:rsidRDefault="000D6E6A">
      <w:pPr>
        <w:pStyle w:val="H5"/>
        <w:rPr>
          <w:rStyle w:val="italic"/>
          <w:i/>
          <w:iCs/>
          <w:spacing w:val="-4"/>
        </w:rPr>
      </w:pPr>
      <w:r>
        <w:rPr>
          <w:rStyle w:val="italic"/>
          <w:i/>
          <w:iCs/>
          <w:spacing w:val="-4"/>
        </w:rPr>
        <w:t xml:space="preserve">Refreshing the Monitoring and Assurance Framework </w:t>
      </w:r>
    </w:p>
    <w:p w:rsidR="000D6E6A" w:rsidRDefault="000D6E6A">
      <w:pPr>
        <w:pStyle w:val="Bodycopy"/>
        <w:rPr>
          <w:spacing w:val="2"/>
        </w:rPr>
      </w:pPr>
      <w:r>
        <w:rPr>
          <w:spacing w:val="2"/>
        </w:rPr>
        <w:t>First released in 2015, the Monitoring and Assurance Framework for Emergency Management (the Framework) is the overarching assurance framework for Victoria’s emergency management sector. IGEM is currently undertaking a refresh of the Framework to ensure it is contemporary and continues to be fit for purpose following its first three years of operation.</w:t>
      </w:r>
    </w:p>
    <w:p w:rsidR="000D6E6A" w:rsidRDefault="000D6E6A">
      <w:pPr>
        <w:pStyle w:val="H5"/>
        <w:rPr>
          <w:rStyle w:val="italic"/>
          <w:i/>
          <w:iCs/>
        </w:rPr>
      </w:pPr>
      <w:r>
        <w:rPr>
          <w:rStyle w:val="italic"/>
          <w:i/>
          <w:iCs/>
        </w:rPr>
        <w:t xml:space="preserve">Annual Assurance Summary </w:t>
      </w:r>
    </w:p>
    <w:p w:rsidR="000D6E6A" w:rsidRDefault="000D6E6A">
      <w:pPr>
        <w:pStyle w:val="Bodycopy"/>
      </w:pPr>
      <w:r>
        <w:t>Through the</w:t>
      </w:r>
      <w:r>
        <w:rPr>
          <w:rStyle w:val="italic"/>
        </w:rPr>
        <w:t xml:space="preserve"> </w:t>
      </w:r>
      <w:r>
        <w:t>Annual Assurance Summary (the Summary), IGEM collates and provides a high-level summary of assurance activities conducted by different organisations and independent bodies across the sector under the Framework each year. The Summary does not make any recommendations or create any additional layers of reporting for sector organisations.</w:t>
      </w:r>
    </w:p>
    <w:p w:rsidR="000D6E6A" w:rsidRDefault="000D6E6A">
      <w:pPr>
        <w:pStyle w:val="Bodycopy"/>
      </w:pPr>
      <w:r>
        <w:t xml:space="preserve">The </w:t>
      </w:r>
      <w:r>
        <w:rPr>
          <w:rStyle w:val="italic"/>
        </w:rPr>
        <w:t>2016–17 Annual Assurance Summary</w:t>
      </w:r>
      <w:r>
        <w:t xml:space="preserve"> </w:t>
      </w:r>
      <w:r>
        <w:rPr>
          <w:rStyle w:val="italic"/>
        </w:rPr>
        <w:t xml:space="preserve">– The Year in Review </w:t>
      </w:r>
      <w:r>
        <w:t>was published in January 2018 and IGEM has commenced the development of the 2017–18 Summary.</w:t>
      </w:r>
    </w:p>
    <w:p w:rsidR="000D6E6A" w:rsidRDefault="000D6E6A">
      <w:pPr>
        <w:pStyle w:val="H5"/>
        <w:rPr>
          <w:rStyle w:val="italic"/>
          <w:i/>
          <w:iCs/>
        </w:rPr>
      </w:pPr>
      <w:r>
        <w:rPr>
          <w:rStyle w:val="italic"/>
          <w:i/>
          <w:iCs/>
        </w:rPr>
        <w:t>Critical infrastructure resilience assurance</w:t>
      </w:r>
    </w:p>
    <w:p w:rsidR="000D6E6A" w:rsidRDefault="000D6E6A">
      <w:pPr>
        <w:pStyle w:val="Bodycopy"/>
      </w:pPr>
      <w:r>
        <w:t>IGEM’s</w:t>
      </w:r>
      <w:r>
        <w:rPr>
          <w:rStyle w:val="italic"/>
        </w:rPr>
        <w:t xml:space="preserve"> Critical Infrastructure Resilience Implementation Progress Report 2017</w:t>
      </w:r>
      <w:r>
        <w:t> was published on 19 April 2018, outlining the progress of the Victorian Government and industry partners in implementing Victoria’s critical infrastructure resilience arrangements.</w:t>
      </w:r>
    </w:p>
    <w:p w:rsidR="000D6E6A" w:rsidRDefault="000D6E6A">
      <w:pPr>
        <w:pStyle w:val="Bodycopy"/>
      </w:pPr>
      <w:r>
        <w:t>In its second annual progress report, overall IGEM found that through 2016–17, government organisations are working collaboratively with industry partners to build the resilience of Victoria’s critical infrastructure. For the purposes of continuous improvement, IGEM also identified a number of good practices and improvement opportunities for government and industry to consider.</w:t>
      </w:r>
    </w:p>
    <w:p w:rsidR="000D6E6A" w:rsidRDefault="000D6E6A">
      <w:pPr>
        <w:pStyle w:val="H5"/>
        <w:rPr>
          <w:rStyle w:val="italic"/>
          <w:i/>
          <w:iCs/>
        </w:rPr>
      </w:pPr>
      <w:r>
        <w:rPr>
          <w:rStyle w:val="italic"/>
          <w:i/>
          <w:iCs/>
        </w:rPr>
        <w:t xml:space="preserve">Parliamentary Inquiry into the CFA Training College at </w:t>
      </w:r>
      <w:proofErr w:type="spellStart"/>
      <w:r>
        <w:rPr>
          <w:rStyle w:val="italic"/>
          <w:i/>
          <w:iCs/>
        </w:rPr>
        <w:t>Fiskville</w:t>
      </w:r>
      <w:proofErr w:type="spellEnd"/>
      <w:r>
        <w:rPr>
          <w:rStyle w:val="italic"/>
          <w:i/>
          <w:iCs/>
        </w:rPr>
        <w:t xml:space="preserve"> – Monitoring</w:t>
      </w:r>
    </w:p>
    <w:p w:rsidR="000D6E6A" w:rsidRDefault="000D6E6A">
      <w:pPr>
        <w:pStyle w:val="Bodycopy"/>
      </w:pPr>
      <w:r>
        <w:t>At government’s request, IGEM is monitoring the implementation of government commitments in response to the Environment, Natural Resources and Regional Development Committee’s final report – Inquiry into the CFA Training College at </w:t>
      </w:r>
      <w:proofErr w:type="spellStart"/>
      <w:r>
        <w:t>Fiskville</w:t>
      </w:r>
      <w:proofErr w:type="spellEnd"/>
      <w:r>
        <w:t>.</w:t>
      </w:r>
    </w:p>
    <w:p w:rsidR="000D6E6A" w:rsidRDefault="000D6E6A">
      <w:pPr>
        <w:pStyle w:val="Bodycopy"/>
      </w:pPr>
      <w:r>
        <w:lastRenderedPageBreak/>
        <w:t>To support this function, IGEM has developed an assurance framework, which includes a monitoring regime that considers the safety of the operations of Victoria’s emergency management training centres in consultation with WorkSafe Victoria.</w:t>
      </w:r>
    </w:p>
    <w:p w:rsidR="000D6E6A" w:rsidRDefault="000D6E6A">
      <w:pPr>
        <w:pStyle w:val="Bodycopy"/>
      </w:pPr>
      <w:r>
        <w:t>IGEM commenced the development of a progress report on the implementation of government commitments during 2017–18.</w:t>
      </w:r>
    </w:p>
    <w:p w:rsidR="000D6E6A" w:rsidRDefault="000D6E6A">
      <w:pPr>
        <w:pStyle w:val="H5"/>
        <w:rPr>
          <w:rStyle w:val="italic"/>
          <w:i/>
          <w:iCs/>
        </w:rPr>
      </w:pPr>
      <w:r>
        <w:rPr>
          <w:rStyle w:val="italic"/>
          <w:i/>
          <w:iCs/>
        </w:rPr>
        <w:t>Victorian Emergency Management Strategic Action Plan - implementation monitoring</w:t>
      </w:r>
    </w:p>
    <w:p w:rsidR="000D6E6A" w:rsidRDefault="000D6E6A">
      <w:pPr>
        <w:pStyle w:val="Bodycopy"/>
        <w:rPr>
          <w:spacing w:val="2"/>
        </w:rPr>
      </w:pPr>
      <w:r>
        <w:rPr>
          <w:spacing w:val="2"/>
        </w:rPr>
        <w:t xml:space="preserve">The Victorian Emergency Management Strategic Action Plan (SAP) guides emergency management sector </w:t>
      </w:r>
      <w:proofErr w:type="gramStart"/>
      <w:r>
        <w:rPr>
          <w:spacing w:val="2"/>
        </w:rPr>
        <w:t>reform, and</w:t>
      </w:r>
      <w:proofErr w:type="gramEnd"/>
      <w:r>
        <w:rPr>
          <w:spacing w:val="2"/>
        </w:rPr>
        <w:t xml:space="preserve"> supports Victoria in achieving its emergency management vision of safer and more resilient communities.</w:t>
      </w:r>
    </w:p>
    <w:p w:rsidR="000D6E6A" w:rsidRDefault="000D6E6A">
      <w:pPr>
        <w:pStyle w:val="Bodycopy"/>
      </w:pPr>
      <w:r>
        <w:t xml:space="preserve">IGEM monitors and reports to the Minister for Emergency Services on the SAP’s implementation progress. </w:t>
      </w:r>
      <w:proofErr w:type="gramStart"/>
      <w:r>
        <w:t>IGEM‘</w:t>
      </w:r>
      <w:proofErr w:type="gramEnd"/>
      <w:r>
        <w:t>s second annual progress report on SAP implementation was published in December 2017.</w:t>
      </w:r>
    </w:p>
    <w:p w:rsidR="000D6E6A" w:rsidRDefault="000D6E6A">
      <w:pPr>
        <w:pStyle w:val="H5"/>
        <w:rPr>
          <w:rStyle w:val="italic"/>
          <w:i/>
          <w:iCs/>
        </w:rPr>
      </w:pPr>
      <w:r>
        <w:rPr>
          <w:rStyle w:val="italic"/>
          <w:i/>
          <w:iCs/>
        </w:rPr>
        <w:t>Thunderstorm asthma–implementation monitoring</w:t>
      </w:r>
    </w:p>
    <w:p w:rsidR="000D6E6A" w:rsidRDefault="000D6E6A">
      <w:pPr>
        <w:pStyle w:val="Bodycopy"/>
      </w:pPr>
      <w:r>
        <w:t xml:space="preserve">IGEM has completed its first progress report on the implementation progress of the recommendations from the </w:t>
      </w:r>
      <w:r>
        <w:rPr>
          <w:rStyle w:val="italic"/>
        </w:rPr>
        <w:t>Review of response to the thunderstorm asthma event of 21–22 November 2016 – Final Report</w:t>
      </w:r>
      <w:r>
        <w:t xml:space="preserve">. The progress report was delivered to the minister and the Minister for Health, and Minister for Ambulance Services on 23 April 2018. </w:t>
      </w:r>
    </w:p>
    <w:p w:rsidR="000D6E6A" w:rsidRDefault="000D6E6A">
      <w:pPr>
        <w:pStyle w:val="H5"/>
        <w:rPr>
          <w:rStyle w:val="italic"/>
          <w:i/>
          <w:iCs/>
        </w:rPr>
      </w:pPr>
      <w:r>
        <w:rPr>
          <w:rStyle w:val="italic"/>
          <w:i/>
          <w:iCs/>
        </w:rPr>
        <w:t>Victorian Bushfires Royal Commission–implementation monitoring</w:t>
      </w:r>
    </w:p>
    <w:p w:rsidR="000D6E6A" w:rsidRDefault="000D6E6A">
      <w:pPr>
        <w:pStyle w:val="Bodycopy"/>
        <w:rPr>
          <w:spacing w:val="2"/>
        </w:rPr>
      </w:pPr>
      <w:r>
        <w:rPr>
          <w:spacing w:val="2"/>
        </w:rPr>
        <w:t xml:space="preserve">IGEM’s responsibility for annual Victorian Bushfires Royal Commission implementation reporting concluded with its 2016 Progress Report. </w:t>
      </w:r>
      <w:proofErr w:type="gramStart"/>
      <w:r>
        <w:rPr>
          <w:spacing w:val="2"/>
        </w:rPr>
        <w:t>However</w:t>
      </w:r>
      <w:proofErr w:type="gramEnd"/>
      <w:r>
        <w:rPr>
          <w:spacing w:val="2"/>
        </w:rPr>
        <w:t xml:space="preserve"> it continues to monitor implementation of two remaining ongoing and interrelated actions, and report their progress directly to the minister.</w:t>
      </w:r>
    </w:p>
    <w:p w:rsidR="000D6E6A" w:rsidRDefault="000D6E6A">
      <w:pPr>
        <w:pStyle w:val="Bodycopy"/>
      </w:pPr>
      <w:r>
        <w:t>In December 2017, IGEM advised the minister that Action 49(h), Amend Building Regulations 2006 to adopt performance requirements, has been completed. IGEM will continue to monitor the progress of the final action, Action 49(</w:t>
      </w:r>
      <w:proofErr w:type="spellStart"/>
      <w:r>
        <w:t>i</w:t>
      </w:r>
      <w:proofErr w:type="spellEnd"/>
      <w:r>
        <w:t>), Develop guidelines for retrofitting Class 9 buildings, until it is completed.</w:t>
      </w:r>
    </w:p>
    <w:p w:rsidR="000D6E6A" w:rsidRDefault="000D6E6A">
      <w:pPr>
        <w:pStyle w:val="H5"/>
        <w:rPr>
          <w:rStyle w:val="italic"/>
          <w:i/>
          <w:iCs/>
        </w:rPr>
      </w:pPr>
      <w:r>
        <w:rPr>
          <w:rStyle w:val="italic"/>
          <w:i/>
          <w:iCs/>
        </w:rPr>
        <w:t>Hazelwood Mine Fire Inquiry–implementation monitoring</w:t>
      </w:r>
    </w:p>
    <w:p w:rsidR="000D6E6A" w:rsidRDefault="000D6E6A">
      <w:pPr>
        <w:pStyle w:val="Bodycopy"/>
        <w:rPr>
          <w:spacing w:val="2"/>
        </w:rPr>
      </w:pPr>
      <w:r>
        <w:rPr>
          <w:spacing w:val="2"/>
        </w:rPr>
        <w:t xml:space="preserve">IGEM provides independent monitoring of the recommendations and affirmations from the 2014 and 2015–16 Hazelwood mine fire inquiries. </w:t>
      </w:r>
    </w:p>
    <w:p w:rsidR="000D6E6A" w:rsidRDefault="000D6E6A">
      <w:pPr>
        <w:pStyle w:val="Bodycopy"/>
      </w:pPr>
      <w:r>
        <w:t xml:space="preserve">IGEM’s second annual report on the progress of implementation of recommendations and affirmations was tabled in Parliament on 14 December 2017. Overall the report found the government has delivered on 187 of the 246 actions laid out in the </w:t>
      </w:r>
      <w:r>
        <w:rPr>
          <w:rStyle w:val="italic"/>
        </w:rPr>
        <w:t>Victorian Government Implementation Plan</w:t>
      </w:r>
      <w:r>
        <w:t>.</w:t>
      </w:r>
    </w:p>
    <w:p w:rsidR="000D6E6A" w:rsidRDefault="000D6E6A">
      <w:pPr>
        <w:pStyle w:val="H5"/>
        <w:rPr>
          <w:rStyle w:val="italic"/>
          <w:i/>
          <w:iCs/>
        </w:rPr>
      </w:pPr>
      <w:r>
        <w:rPr>
          <w:rStyle w:val="italic"/>
          <w:i/>
          <w:iCs/>
        </w:rPr>
        <w:t>Bushfire fuel management–implementation monitoring</w:t>
      </w:r>
    </w:p>
    <w:p w:rsidR="000D6E6A" w:rsidRDefault="000D6E6A">
      <w:pPr>
        <w:pStyle w:val="Bodycopy"/>
      </w:pPr>
      <w:r>
        <w:t>In October 2017, IGEM delivered its second and final annual progress report on the implementation of bushfire fuel management recommendations</w:t>
      </w:r>
      <w:r>
        <w:rPr>
          <w:rStyle w:val="italic"/>
        </w:rPr>
        <w:t xml:space="preserve"> </w:t>
      </w:r>
      <w:r>
        <w:t>to the minister and the Minister for Energy, Environment and Climate Change. This included monitoring the implementation of recommendations from IGEM’s 2015 Review of performance targets for bushfire fuel management on public land and the 2015 Independent Investigation of the Lancefield-</w:t>
      </w:r>
      <w:proofErr w:type="spellStart"/>
      <w:r>
        <w:t>Cobaw</w:t>
      </w:r>
      <w:proofErr w:type="spellEnd"/>
      <w:r>
        <w:t xml:space="preserve"> Fire.</w:t>
      </w:r>
    </w:p>
    <w:p w:rsidR="000D6E6A" w:rsidRDefault="000D6E6A">
      <w:pPr>
        <w:pStyle w:val="Bodycopy"/>
      </w:pPr>
      <w:r>
        <w:t xml:space="preserve">IGEM found all recommendations from the review were complete or had transitioned to business as usual. Importantly, this signals the completion of the move from a hectare-based fuel reduction target, to a risk reduction target. One recommendation from the investigation was reported as complete and two were ongoing. </w:t>
      </w:r>
    </w:p>
    <w:p w:rsidR="000D6E6A" w:rsidRDefault="000D6E6A">
      <w:pPr>
        <w:pStyle w:val="Bodycopy"/>
      </w:pPr>
      <w:r>
        <w:t>Monitoring of the ongoing recommendations will continue and will be reported as part of the annual summary of investigations into breaches of planned burn control lines.</w:t>
      </w:r>
    </w:p>
    <w:p w:rsidR="000D6E6A" w:rsidRDefault="000D6E6A">
      <w:pPr>
        <w:pStyle w:val="H5"/>
        <w:rPr>
          <w:rStyle w:val="italic"/>
          <w:i/>
          <w:iCs/>
        </w:rPr>
      </w:pPr>
      <w:r>
        <w:rPr>
          <w:rStyle w:val="italic"/>
          <w:i/>
          <w:iCs/>
        </w:rPr>
        <w:t>Investigations into breaches of planned burns control lines</w:t>
      </w:r>
    </w:p>
    <w:p w:rsidR="000D6E6A" w:rsidRDefault="000D6E6A">
      <w:pPr>
        <w:pStyle w:val="Bodycopy"/>
      </w:pPr>
      <w:r>
        <w:t xml:space="preserve">IGEM and the DELWP have a collaborative approach to establish a prompt, efficient, sustainable and accountable process for managing the investigation of planned burns that breach control lines. </w:t>
      </w:r>
    </w:p>
    <w:p w:rsidR="000D6E6A" w:rsidRDefault="000D6E6A">
      <w:pPr>
        <w:pStyle w:val="Bodycopy"/>
        <w:rPr>
          <w:spacing w:val="2"/>
        </w:rPr>
      </w:pPr>
      <w:r>
        <w:rPr>
          <w:spacing w:val="2"/>
        </w:rPr>
        <w:t>Published in January 2018, IGEM’s second summary report brings together observations, findings and recommendations from its management of investigations into planned burn breaches for the period 1 July 2016 to 30 June 2017.</w:t>
      </w:r>
    </w:p>
    <w:p w:rsidR="000D6E6A" w:rsidRDefault="000D6E6A">
      <w:pPr>
        <w:pStyle w:val="Bodycopy"/>
        <w:rPr>
          <w:b/>
          <w:bCs/>
        </w:rPr>
      </w:pPr>
      <w:r>
        <w:t xml:space="preserve">IGEM derived five themes, eight findings and six recommendations from its analysis of the nine breaches of control lines to assist DELWP in its commitment to continuous improvement of its planned burning program. </w:t>
      </w:r>
    </w:p>
    <w:p w:rsidR="000D6E6A" w:rsidRDefault="000D6E6A">
      <w:pPr>
        <w:pStyle w:val="H5"/>
        <w:rPr>
          <w:rStyle w:val="italic"/>
          <w:i/>
          <w:iCs/>
        </w:rPr>
      </w:pPr>
      <w:r>
        <w:rPr>
          <w:rStyle w:val="italic"/>
          <w:i/>
          <w:iCs/>
        </w:rPr>
        <w:t>Assurance of fire services’ response times data</w:t>
      </w:r>
    </w:p>
    <w:p w:rsidR="000D6E6A" w:rsidRDefault="000D6E6A">
      <w:pPr>
        <w:pStyle w:val="Bodycopy"/>
      </w:pPr>
      <w:r>
        <w:t xml:space="preserve">On 30 October 2017, the government announced that the fire services’ (CFA and MFB) response data will be published for the first time and requested that IGEM implement an independent assurance process to ensure the ongoing integrity of the data. </w:t>
      </w:r>
    </w:p>
    <w:p w:rsidR="000D6E6A" w:rsidRDefault="000D6E6A">
      <w:pPr>
        <w:pStyle w:val="Bodycopy"/>
      </w:pPr>
      <w:r>
        <w:t xml:space="preserve">IGEM has commenced its assurance process by developing a business process map of the processes applied by Emergency Services Telecommunications Authority (ESTA), CFA and MFB in preparing and publishing response data. IGEM will prepare a report for the minister on its findings. </w:t>
      </w:r>
    </w:p>
    <w:p w:rsidR="000D6E6A" w:rsidRDefault="000D6E6A">
      <w:pPr>
        <w:pStyle w:val="H5"/>
        <w:rPr>
          <w:rStyle w:val="italic"/>
          <w:i/>
          <w:iCs/>
        </w:rPr>
      </w:pPr>
      <w:r>
        <w:rPr>
          <w:rStyle w:val="italic"/>
          <w:i/>
          <w:iCs/>
        </w:rPr>
        <w:t>Performance of the Emergency Services Telecommunications Authority</w:t>
      </w:r>
    </w:p>
    <w:p w:rsidR="000D6E6A" w:rsidRDefault="000D6E6A">
      <w:pPr>
        <w:pStyle w:val="Bodycopy"/>
      </w:pPr>
      <w:r>
        <w:rPr>
          <w:spacing w:val="-4"/>
        </w:rPr>
        <w:t xml:space="preserve">IGEM is responsible for monitoring and investigating </w:t>
      </w:r>
      <w:r>
        <w:t xml:space="preserve">the non-financial performance of the ESTA. ESTA manages the call-taking and dispatch system for approximately 7,000 emergency, non-emergency and operational calls each day for Victoria’s police and emergency services. </w:t>
      </w:r>
    </w:p>
    <w:p w:rsidR="000D6E6A" w:rsidRDefault="000D6E6A">
      <w:pPr>
        <w:pStyle w:val="Bodycopy"/>
      </w:pPr>
      <w:r>
        <w:t xml:space="preserve">Through 2017–18, IGEM worked closely with ESTA to provide assurance of its internal quality improvement system and, where appropriate, investigated its performance in relation to specific issues or incidents. </w:t>
      </w:r>
    </w:p>
    <w:p w:rsidR="000D6E6A" w:rsidRDefault="000D6E6A">
      <w:pPr>
        <w:pStyle w:val="Bodycopy"/>
        <w:rPr>
          <w:rStyle w:val="italic"/>
        </w:rPr>
      </w:pPr>
      <w:r>
        <w:t>During 2017–18, IGEM screened 37 potential adverse events. While ESTA undertook internal investigations for the majority, the Inspector-General elected to undertake a thematic investigation of 10 events that related to patients with breathing problems following an increase in events specific to this issue.</w:t>
      </w:r>
    </w:p>
    <w:p w:rsidR="000D6E6A" w:rsidRDefault="000D6E6A">
      <w:pPr>
        <w:pStyle w:val="Bodycopy"/>
      </w:pPr>
      <w:r>
        <w:lastRenderedPageBreak/>
        <w:t xml:space="preserve">IGEM also monitors ESTA’s implementation of recommendations from internal and external investigations, reviews and inquiries into its performance. IGEM analyses these recommendations to determine if they will reduce the likelihood of ESTA’s operational risks being realised. At the conclusion of the 2017–18 financial year, IGEM was monitoring 33 implementation actions. IGEM has assessed 19 of these as completed with one in progress and 13 actions categorised as overdue. </w:t>
      </w:r>
    </w:p>
    <w:p w:rsidR="000D6E6A" w:rsidRDefault="000D6E6A">
      <w:pPr>
        <w:pStyle w:val="H5"/>
        <w:rPr>
          <w:rStyle w:val="italic"/>
          <w:i/>
          <w:iCs/>
        </w:rPr>
      </w:pPr>
      <w:r>
        <w:rPr>
          <w:rStyle w:val="italic"/>
          <w:i/>
          <w:iCs/>
        </w:rPr>
        <w:t>Collaborating for better community outcomes</w:t>
      </w:r>
    </w:p>
    <w:p w:rsidR="000D6E6A" w:rsidRDefault="000D6E6A">
      <w:pPr>
        <w:pStyle w:val="Bodycopy"/>
      </w:pPr>
      <w:r>
        <w:t>An IGEM–ESTA joint initiative ‘Revised IGEM risk profiling methodology for ESTA potential adverse events’ was recognised with the 2017 Justice Risk Award for collaboration in risk management.</w:t>
      </w:r>
    </w:p>
    <w:p w:rsidR="000D6E6A" w:rsidRDefault="000D6E6A">
      <w:pPr>
        <w:pStyle w:val="Bodycopy"/>
      </w:pPr>
      <w:r>
        <w:t>The risk-based screening process provides a critical link for both agencies to identify issues and risks that, if not addressed, may continue to impact safety and wellbeing of Victorian communities.</w:t>
      </w:r>
    </w:p>
    <w:p w:rsidR="000D6E6A" w:rsidRDefault="000D6E6A">
      <w:pPr>
        <w:pStyle w:val="Bodycopy"/>
      </w:pPr>
      <w:r>
        <w:t>This collaborative approach to risk management has resulted in a steady and significant reduction in the number of high-risk potential adverse events ETSA reports to IGEM year-on-year. It also demonstrates ESTA’s commitment to building a more resilient system based on identifying and addressing systemic risk.</w:t>
      </w:r>
    </w:p>
    <w:p w:rsidR="000D6E6A" w:rsidRDefault="000D6E6A">
      <w:pPr>
        <w:pStyle w:val="Bodycopy"/>
        <w:rPr>
          <w:color w:val="542E8E"/>
          <w:sz w:val="21"/>
          <w:szCs w:val="21"/>
        </w:rPr>
      </w:pPr>
      <w:r>
        <w:rPr>
          <w:color w:val="542E8E"/>
          <w:sz w:val="21"/>
          <w:szCs w:val="21"/>
        </w:rPr>
        <w:t>Reviewing Victoria’s emergency management arrangements</w:t>
      </w:r>
    </w:p>
    <w:p w:rsidR="000D6E6A" w:rsidRDefault="000D6E6A">
      <w:pPr>
        <w:pStyle w:val="Bodycopy"/>
      </w:pPr>
      <w:r>
        <w:t>IGEM conducts system-wide reviews of Victoria’s emergency management arrangements based on an Annual Forward Plan of Reviews (forward plan) or at the request of the minister.</w:t>
      </w:r>
    </w:p>
    <w:p w:rsidR="000D6E6A" w:rsidRDefault="000D6E6A">
      <w:pPr>
        <w:pStyle w:val="Bodycopy"/>
      </w:pPr>
      <w:r>
        <w:t>In developing each forward plan, IGEM consults with emergency management sector organisations on key strategic system-level issues and risks. Each forward plan and review report is provided to the minister prior to publication.</w:t>
      </w:r>
    </w:p>
    <w:p w:rsidR="000D6E6A" w:rsidRDefault="000D6E6A">
      <w:pPr>
        <w:pStyle w:val="H5"/>
        <w:rPr>
          <w:rStyle w:val="italic"/>
          <w:i/>
          <w:iCs/>
        </w:rPr>
      </w:pPr>
      <w:r>
        <w:rPr>
          <w:rStyle w:val="italic"/>
          <w:i/>
          <w:iCs/>
        </w:rPr>
        <w:t>Annual Forward Plan of Reviews 2017</w:t>
      </w:r>
    </w:p>
    <w:p w:rsidR="000D6E6A" w:rsidRDefault="000D6E6A">
      <w:pPr>
        <w:pStyle w:val="Bodycopy"/>
      </w:pPr>
      <w:r>
        <w:t>Under its Annual Forward Plan of Reviews 2017, IGEM completed two planned reviews:</w:t>
      </w:r>
    </w:p>
    <w:p w:rsidR="000D6E6A" w:rsidRDefault="000D6E6A">
      <w:pPr>
        <w:pStyle w:val="BodycopyBullet"/>
      </w:pPr>
      <w:r>
        <w:t>Review of Victoria’s emergency management governance arrangements to assess the impact and effectiveness of current emergency management governance arrangements in Victoria. This includes the identification of opportunities for improvement in line with leading practice.</w:t>
      </w:r>
    </w:p>
    <w:p w:rsidR="000D6E6A" w:rsidRDefault="000D6E6A">
      <w:pPr>
        <w:pStyle w:val="BodycopyBullet"/>
      </w:pPr>
      <w:r>
        <w:t>Emergency management for high risk Victorian communities. This review assessed the effectiveness of how the sector identifies, plans for and mitigates the consequences of emergencies for high-risk Victorian communities.</w:t>
      </w:r>
    </w:p>
    <w:p w:rsidR="000D6E6A" w:rsidRDefault="000D6E6A">
      <w:pPr>
        <w:pStyle w:val="Bodycopy"/>
      </w:pPr>
      <w:r>
        <w:t>As at 30 June 2018, the publication of these reports was subject to Victorian Government approval.</w:t>
      </w:r>
    </w:p>
    <w:p w:rsidR="000D6E6A" w:rsidRDefault="000D6E6A">
      <w:pPr>
        <w:pStyle w:val="H5"/>
        <w:rPr>
          <w:rStyle w:val="italic"/>
          <w:i/>
          <w:iCs/>
        </w:rPr>
      </w:pPr>
      <w:r>
        <w:rPr>
          <w:rStyle w:val="italic"/>
          <w:i/>
          <w:iCs/>
        </w:rPr>
        <w:t xml:space="preserve">Annual Forward Plan of Reviews - 2018 </w:t>
      </w:r>
    </w:p>
    <w:p w:rsidR="000D6E6A" w:rsidRDefault="000D6E6A">
      <w:pPr>
        <w:pStyle w:val="Bodycopy"/>
      </w:pPr>
      <w:r>
        <w:t>In 2018, IGEM commenced two planned reviews:</w:t>
      </w:r>
    </w:p>
    <w:p w:rsidR="000D6E6A" w:rsidRDefault="000D6E6A">
      <w:pPr>
        <w:pStyle w:val="BodycopyBullet"/>
      </w:pPr>
      <w:r>
        <w:t>Impact assessment and consequence management. This review will assess selected arrangements for impact assessment and consequence management to ensure alignment to performance expectations, leading practice and intended community outcomes.</w:t>
      </w:r>
    </w:p>
    <w:p w:rsidR="000D6E6A" w:rsidRDefault="000D6E6A">
      <w:pPr>
        <w:pStyle w:val="BodycopyBullet"/>
      </w:pPr>
      <w:r>
        <w:t xml:space="preserve">Black Saturday bushfires review to evaluate selected programs and arrangements implemented in response to the Victorian Black Saturday bushfires, focusing on their effectiveness in enhancing sector preparedness and building community resilience. </w:t>
      </w:r>
    </w:p>
    <w:p w:rsidR="000D6E6A" w:rsidRDefault="000D6E6A">
      <w:pPr>
        <w:pStyle w:val="Bodycopy"/>
      </w:pPr>
      <w:r>
        <w:t>The Impact assessment and consequence management review is scheduled for completion in December 2018. The Black Saturday bushfires review is scheduled for completion by December 2019, and will require significant planning, resourcing and sector engagement.</w:t>
      </w:r>
    </w:p>
    <w:p w:rsidR="000D6E6A" w:rsidRDefault="000D6E6A">
      <w:pPr>
        <w:pStyle w:val="H5"/>
        <w:rPr>
          <w:rStyle w:val="italic"/>
          <w:i/>
          <w:iCs/>
        </w:rPr>
      </w:pPr>
      <w:r>
        <w:rPr>
          <w:rStyle w:val="italic"/>
          <w:i/>
          <w:iCs/>
        </w:rPr>
        <w:t xml:space="preserve">Review of the SKM </w:t>
      </w:r>
      <w:proofErr w:type="spellStart"/>
      <w:r>
        <w:rPr>
          <w:rStyle w:val="italic"/>
          <w:i/>
          <w:iCs/>
        </w:rPr>
        <w:t>Coolaroo</w:t>
      </w:r>
      <w:proofErr w:type="spellEnd"/>
      <w:r>
        <w:rPr>
          <w:rStyle w:val="italic"/>
          <w:i/>
          <w:iCs/>
        </w:rPr>
        <w:t xml:space="preserve"> Recycling Plant Fire </w:t>
      </w:r>
    </w:p>
    <w:p w:rsidR="000D6E6A" w:rsidRDefault="000D6E6A">
      <w:pPr>
        <w:pStyle w:val="Bodycopy"/>
      </w:pPr>
      <w:r>
        <w:t xml:space="preserve">On 13 July 2017, a fire broke out at the SKM </w:t>
      </w:r>
      <w:proofErr w:type="spellStart"/>
      <w:r>
        <w:t>Coolaroo</w:t>
      </w:r>
      <w:proofErr w:type="spellEnd"/>
      <w:r>
        <w:t xml:space="preserve"> Recycling Plant and burned for 11 days. With the fire involving high hazard materials and occurring in a densely populated area, there were some similarities surrounding the </w:t>
      </w:r>
      <w:proofErr w:type="spellStart"/>
      <w:r>
        <w:t>Coolaroo</w:t>
      </w:r>
      <w:proofErr w:type="spellEnd"/>
      <w:r>
        <w:t xml:space="preserve"> fire and the 2014 Hazelwood mine fire.</w:t>
      </w:r>
    </w:p>
    <w:p w:rsidR="000D6E6A" w:rsidRDefault="000D6E6A">
      <w:pPr>
        <w:pStyle w:val="Bodycopy"/>
      </w:pPr>
      <w:r>
        <w:t xml:space="preserve">Working closely with emergency management agencies, IGEM examined how well the improvements introduced following the Hazelwood mine fire were applied in the </w:t>
      </w:r>
      <w:proofErr w:type="spellStart"/>
      <w:r>
        <w:t>Coolaroo</w:t>
      </w:r>
      <w:proofErr w:type="spellEnd"/>
      <w:r>
        <w:t xml:space="preserve"> fire response. </w:t>
      </w:r>
    </w:p>
    <w:p w:rsidR="000D6E6A" w:rsidRDefault="000D6E6A">
      <w:pPr>
        <w:pStyle w:val="Bodycopy"/>
      </w:pPr>
      <w:r>
        <w:t>IGEM’s review identified key improvements including:</w:t>
      </w:r>
    </w:p>
    <w:p w:rsidR="000D6E6A" w:rsidRDefault="000D6E6A">
      <w:pPr>
        <w:pStyle w:val="BodycopyBullet"/>
      </w:pPr>
      <w:r>
        <w:t>improved emergency management sector coordination and collaboration for planning and response to managing smoke hazards</w:t>
      </w:r>
    </w:p>
    <w:p w:rsidR="000D6E6A" w:rsidRDefault="000D6E6A">
      <w:pPr>
        <w:pStyle w:val="BodycopyBullet"/>
      </w:pPr>
      <w:r>
        <w:t>reduced community exposure to harmful smoke</w:t>
      </w:r>
    </w:p>
    <w:p w:rsidR="000D6E6A" w:rsidRDefault="000D6E6A">
      <w:pPr>
        <w:pStyle w:val="BodycopyBulletspaceunder"/>
      </w:pPr>
      <w:r>
        <w:t>improved health, safety and wellbeing of emergency service personnel for smoke hazard incidents.</w:t>
      </w:r>
    </w:p>
    <w:p w:rsidR="000D6E6A" w:rsidRDefault="000D6E6A">
      <w:pPr>
        <w:pStyle w:val="Bodycopy"/>
      </w:pPr>
      <w:r>
        <w:t xml:space="preserve">IGEM’s Review of the SKM </w:t>
      </w:r>
      <w:proofErr w:type="spellStart"/>
      <w:r>
        <w:t>Coolaroo</w:t>
      </w:r>
      <w:proofErr w:type="spellEnd"/>
      <w:r>
        <w:t xml:space="preserve"> Recycling Plant Fire was released on 14 December 2017.</w:t>
      </w:r>
    </w:p>
    <w:p w:rsidR="000D6E6A" w:rsidRDefault="000D6E6A">
      <w:pPr>
        <w:pStyle w:val="H4"/>
      </w:pPr>
      <w:r>
        <w:t>Other activities</w:t>
      </w:r>
    </w:p>
    <w:p w:rsidR="000D6E6A" w:rsidRDefault="000D6E6A">
      <w:pPr>
        <w:pStyle w:val="H5"/>
        <w:rPr>
          <w:rStyle w:val="italic"/>
          <w:i/>
          <w:iCs/>
        </w:rPr>
      </w:pPr>
      <w:r>
        <w:rPr>
          <w:rStyle w:val="italic"/>
          <w:i/>
          <w:iCs/>
        </w:rPr>
        <w:t xml:space="preserve">Building a human </w:t>
      </w:r>
      <w:proofErr w:type="gramStart"/>
      <w:r>
        <w:rPr>
          <w:rStyle w:val="italic"/>
          <w:i/>
          <w:iCs/>
        </w:rPr>
        <w:t>rights based</w:t>
      </w:r>
      <w:proofErr w:type="gramEnd"/>
      <w:r>
        <w:rPr>
          <w:rStyle w:val="italic"/>
          <w:i/>
          <w:iCs/>
        </w:rPr>
        <w:t xml:space="preserve"> culture</w:t>
      </w:r>
    </w:p>
    <w:p w:rsidR="000D6E6A" w:rsidRDefault="000D6E6A">
      <w:pPr>
        <w:pStyle w:val="Bodycopy"/>
      </w:pPr>
      <w:r>
        <w:t>In 2017, IGEM partnered with the Victorian Equal Opportunity and Human Rights Commission Charter Project to set the foundations for the development of a Human Rights Action Plan under its 2017-21 Strategic Plan.</w:t>
      </w:r>
    </w:p>
    <w:p w:rsidR="000D6E6A" w:rsidRDefault="000D6E6A">
      <w:pPr>
        <w:pStyle w:val="Bodycopy"/>
      </w:pPr>
      <w:r>
        <w:t xml:space="preserve">The Commission facilitated a series of sessions with staff to identify action points for the human rights action plan and to identify the human rights impact of IGEM’s current approaches–taking account of the full spectrum of human rights, the range of affected groups, and adjusting that approach through effective organisational learning. </w:t>
      </w:r>
    </w:p>
    <w:p w:rsidR="000D6E6A" w:rsidRDefault="000D6E6A">
      <w:pPr>
        <w:pStyle w:val="Bodycopy"/>
      </w:pPr>
      <w:r>
        <w:lastRenderedPageBreak/>
        <w:t>This approach complements the government’s commitment to prioritising human rights in the public sector, and IGEM’s commitment to continuous improvement and community-centred emergency management arrangements.</w:t>
      </w:r>
    </w:p>
    <w:p w:rsidR="000D6E6A" w:rsidRDefault="000D6E6A">
      <w:pPr>
        <w:pStyle w:val="H5"/>
        <w:rPr>
          <w:rStyle w:val="italic"/>
          <w:i/>
          <w:iCs/>
        </w:rPr>
      </w:pPr>
      <w:r>
        <w:rPr>
          <w:rStyle w:val="italic"/>
          <w:i/>
          <w:iCs/>
        </w:rPr>
        <w:t>Integrity</w:t>
      </w:r>
    </w:p>
    <w:p w:rsidR="000D6E6A" w:rsidRDefault="000D6E6A">
      <w:pPr>
        <w:pStyle w:val="Bodycopy"/>
      </w:pPr>
      <w:r>
        <w:t>The integrity of IGEM’s work and reputation is critical to maintaining the confidence of the Victorian government and community, as well as IGEM’s partners in the emergency management sector. In accordance with the department’s Integrity Framework, IGEM has implemented an integrity strategy that embeds the integrity principles into its day-to-day operations, ensuring the transparency and accountability of IGEM’s work.</w:t>
      </w:r>
    </w:p>
    <w:p w:rsidR="000D6E6A" w:rsidRDefault="000D6E6A">
      <w:pPr>
        <w:pStyle w:val="Bodycopy"/>
      </w:pPr>
      <w:r>
        <w:t>IGEM’s integrity strategy employs effective policies and controls and demonstrates its commitment to strengthening its work culture to reduce the potential for, and incidence of, actions that may undermine IGEM’s work and reputation.</w:t>
      </w:r>
    </w:p>
    <w:p w:rsidR="000D6E6A" w:rsidRDefault="000D6E6A">
      <w:pPr>
        <w:pStyle w:val="H2"/>
      </w:pPr>
      <w:r>
        <w:t>Establishing the Post Sentence Authority</w:t>
      </w:r>
    </w:p>
    <w:p w:rsidR="000D6E6A" w:rsidRDefault="000D6E6A">
      <w:pPr>
        <w:pStyle w:val="Bodycopy"/>
      </w:pPr>
      <w:r>
        <w:t xml:space="preserve">The government appointed a Complex Adult Victorian Sex Offender Management Review Panel, led by the Honourable Justice David Harper, to review the management of serious sex offenders under the </w:t>
      </w:r>
      <w:r>
        <w:rPr>
          <w:rStyle w:val="italic"/>
        </w:rPr>
        <w:t xml:space="preserve">Serious Sex Offenders (Detention and Supervision) Act 2009. </w:t>
      </w:r>
    </w:p>
    <w:p w:rsidR="000D6E6A" w:rsidRDefault="000D6E6A">
      <w:pPr>
        <w:pStyle w:val="Bodycopy"/>
      </w:pPr>
      <w:r>
        <w:t>On 27 February 2018, the government established the Post Sentence Authority in response to recommendations made in the Harper Review. The Post Sentence Authority is responsible for monitoring serious sex offenders who are placed on post-sentence orders at the conclusion of their custodial sentence, reviewing the delivery of coordinated services by government agencies to offenders, and reporting to Parliament on the performance of the post-sentence scheme.</w:t>
      </w:r>
    </w:p>
    <w:p w:rsidR="000D6E6A" w:rsidRDefault="000D6E6A">
      <w:pPr>
        <w:pStyle w:val="Bodycopy"/>
      </w:pPr>
      <w:r>
        <w:t xml:space="preserve">These functions will contribute to community protection, system improvement and aid the rehabilitation of serious sex offenders in the post-sentence scheme. </w:t>
      </w:r>
    </w:p>
    <w:p w:rsidR="000D6E6A" w:rsidRDefault="000D6E6A">
      <w:pPr>
        <w:pStyle w:val="Bodycopy"/>
      </w:pPr>
      <w:r>
        <w:t xml:space="preserve">A total of nine board members have been appointed to the Authority. The Authority is led by His Honour Ian </w:t>
      </w:r>
      <w:proofErr w:type="spellStart"/>
      <w:r>
        <w:t>Gray</w:t>
      </w:r>
      <w:proofErr w:type="spellEnd"/>
      <w:r>
        <w:t xml:space="preserve">, as Chair, and The Honourable David Harper as Deputy Chair. Three full-time members and four sessional members have also been appointed. </w:t>
      </w:r>
    </w:p>
    <w:p w:rsidR="000D6E6A" w:rsidRDefault="000D6E6A">
      <w:pPr>
        <w:pStyle w:val="Bodycopy"/>
      </w:pPr>
      <w:r>
        <w:t xml:space="preserve">The department provides secretariat support to the Authority. The secretariat assists the Authority in carrying out its functions and responsibilities and it is led by the Chief Administrative Officer. </w:t>
      </w:r>
    </w:p>
    <w:p w:rsidR="000D6E6A" w:rsidRDefault="000D6E6A">
      <w:pPr>
        <w:pStyle w:val="Bodycopy"/>
        <w:rPr>
          <w:spacing w:val="4"/>
        </w:rPr>
      </w:pPr>
      <w:r>
        <w:rPr>
          <w:spacing w:val="4"/>
        </w:rPr>
        <w:t xml:space="preserve">The Authority’s Annual Report for 2017–18 financial year is available via its website: </w:t>
      </w:r>
      <w:r>
        <w:rPr>
          <w:spacing w:val="4"/>
        </w:rPr>
        <w:br/>
        <w:t xml:space="preserve">www.postsentenceauthority.vic.gov.au/ </w:t>
      </w:r>
    </w:p>
    <w:p w:rsidR="000D6E6A" w:rsidRDefault="000D6E6A">
      <w:pPr>
        <w:pStyle w:val="H2"/>
      </w:pPr>
      <w:r>
        <w:t>Community Safety Trustee</w:t>
      </w:r>
    </w:p>
    <w:p w:rsidR="000D6E6A" w:rsidRDefault="000D6E6A">
      <w:pPr>
        <w:pStyle w:val="Bodycopy"/>
      </w:pPr>
      <w:r>
        <w:t xml:space="preserve">On 20 April 2017, the Victorian Government announced the appointment of Mr Ron </w:t>
      </w:r>
      <w:proofErr w:type="spellStart"/>
      <w:r>
        <w:t>Iddles</w:t>
      </w:r>
      <w:proofErr w:type="spellEnd"/>
      <w:r>
        <w:t xml:space="preserve"> OAM, APM as the Community Safety Trustee (Trustee).</w:t>
      </w:r>
    </w:p>
    <w:p w:rsidR="000D6E6A" w:rsidRDefault="000D6E6A">
      <w:pPr>
        <w:pStyle w:val="Bodycopy"/>
      </w:pPr>
      <w:r>
        <w:t>The Trustee provides independent, expert advice about community safety and monitors the implementation of the Victorian Government’s Community Safety Statement.</w:t>
      </w:r>
    </w:p>
    <w:p w:rsidR="000D6E6A" w:rsidRDefault="000D6E6A">
      <w:pPr>
        <w:pStyle w:val="Bodycopy"/>
      </w:pPr>
      <w:r>
        <w:t>The Trustee is independent to government and JARO provides administrative and program management support to assist the Trustee to fulfil his functions.</w:t>
      </w:r>
    </w:p>
    <w:p w:rsidR="000D6E6A" w:rsidRDefault="000D6E6A">
      <w:pPr>
        <w:pStyle w:val="Bodycopy"/>
      </w:pPr>
      <w:r>
        <w:t>To date, the Trustee has provided three independent reports to the Minister for Police. These focus on government’s implementation progress of Community Safety Statement initiatives, as well as tracking towards its outcomes.</w:t>
      </w:r>
    </w:p>
    <w:p w:rsidR="000D6E6A" w:rsidRDefault="000D6E6A">
      <w:pPr>
        <w:pStyle w:val="notestable"/>
      </w:pPr>
    </w:p>
    <w:p w:rsidR="009B6B2A" w:rsidRDefault="009B6B2A">
      <w:pPr>
        <w:rPr>
          <w:rFonts w:ascii="Arial" w:hAnsi="Arial" w:cs="Arial"/>
          <w:b/>
          <w:bCs/>
          <w:color w:val="542E8E"/>
          <w:sz w:val="36"/>
          <w:szCs w:val="36"/>
          <w:lang w:val="en-GB"/>
        </w:rPr>
      </w:pPr>
      <w:r>
        <w:br w:type="page"/>
      </w:r>
    </w:p>
    <w:p w:rsidR="000D6E6A" w:rsidRDefault="000D6E6A">
      <w:pPr>
        <w:pStyle w:val="H1"/>
      </w:pPr>
      <w:bookmarkStart w:id="12" w:name="_Toc525300167"/>
      <w:r>
        <w:lastRenderedPageBreak/>
        <w:t>9. Statutory compliance</w:t>
      </w:r>
      <w:bookmarkEnd w:id="12"/>
    </w:p>
    <w:p w:rsidR="000D6E6A" w:rsidRDefault="000D6E6A">
      <w:pPr>
        <w:pStyle w:val="H2"/>
      </w:pPr>
      <w:r>
        <w:t>Financial Management Compliance Attestation 2017-18</w:t>
      </w:r>
    </w:p>
    <w:p w:rsidR="000D6E6A" w:rsidRDefault="000D6E6A">
      <w:pPr>
        <w:pStyle w:val="Bodycopy"/>
        <w:rPr>
          <w:rStyle w:val="italic"/>
        </w:rPr>
      </w:pPr>
      <w:r>
        <w:t xml:space="preserve">I </w:t>
      </w:r>
      <w:r>
        <w:rPr>
          <w:rStyle w:val="italic"/>
        </w:rPr>
        <w:t>Greg Wilson,</w:t>
      </w:r>
      <w:r>
        <w:t xml:space="preserve"> Secretary of the Department of Justice and Regulation (DJR), certify that DJR has complied with the applicable Standing Directions of the Minister for Finance under the </w:t>
      </w:r>
      <w:r>
        <w:rPr>
          <w:rStyle w:val="italic"/>
        </w:rPr>
        <w:t>Financial Management Act 1994</w:t>
      </w:r>
      <w:r>
        <w:t xml:space="preserve"> and Instructions, except for the following Material Compliance Deficiency:</w:t>
      </w:r>
    </w:p>
    <w:p w:rsidR="000D6E6A" w:rsidRDefault="000D6E6A">
      <w:pPr>
        <w:pStyle w:val="Bodycopy"/>
      </w:pPr>
      <w:r>
        <w:t>Instruction 3.4.3 Internal Control System Managing Revenue: The Accountable Officer must ensure that the Agency’s revenue is managed in accordance with the Agency’s revenue policies, which must provide for promptly, completely and accurately identifying, managing, recording and reporting of revenue; the timely and appropriate writing off of revenue; and collecting and securing revenue.</w:t>
      </w:r>
    </w:p>
    <w:p w:rsidR="000D6E6A" w:rsidRDefault="000D6E6A">
      <w:pPr>
        <w:pStyle w:val="Bodycopy"/>
      </w:pPr>
      <w:r>
        <w:rPr>
          <w:rStyle w:val="italic"/>
        </w:rPr>
        <w:t>Brief summary of the reasons for/circumstances of the Material Compliance Deficiency</w:t>
      </w:r>
      <w:r>
        <w:t xml:space="preserve"> </w:t>
      </w:r>
    </w:p>
    <w:p w:rsidR="000D6E6A" w:rsidRDefault="000D6E6A">
      <w:pPr>
        <w:pStyle w:val="Bodycopy"/>
      </w:pPr>
      <w:r>
        <w:t xml:space="preserve">DJR is responsible for managing the end-to-end infringement system in Victoria and has delivered effective monitoring of the road-safety camera program for the financial year.  Associated with this activity are administrative arrangements related to the collection, recording and reporting of infringement penalty revenue.  From 1 January 2018, following the implementation of a new system to manage these responsibilities, issues associated with the production of financial reports from the new system led to DJR not being able to comply in full </w:t>
      </w:r>
      <w:proofErr w:type="gramStart"/>
      <w:r>
        <w:t>with</w:t>
      </w:r>
      <w:proofErr w:type="gramEnd"/>
      <w:r>
        <w:t xml:space="preserve"> the requirements relating to the financial reporting of revenue. </w:t>
      </w:r>
    </w:p>
    <w:p w:rsidR="000D6E6A" w:rsidRDefault="000D6E6A">
      <w:pPr>
        <w:pStyle w:val="Bodycopy"/>
        <w:rPr>
          <w:rStyle w:val="italic"/>
        </w:rPr>
      </w:pPr>
      <w:r>
        <w:rPr>
          <w:rStyle w:val="italic"/>
        </w:rPr>
        <w:t xml:space="preserve">Details of planned and completed remedial actions to address deficiency </w:t>
      </w:r>
    </w:p>
    <w:p w:rsidR="000D6E6A" w:rsidRDefault="000D6E6A">
      <w:pPr>
        <w:pStyle w:val="Bodycopy"/>
      </w:pPr>
      <w:r>
        <w:t xml:space="preserve">For 2017-18 DJR received independent assurance that the new infringement penalty system is operating effectively. In the absence of system generated financial reports available from 1 January 2018 to 30 June 2018, a third party has verified the accuracy of the infringement penalty revenue recorded in the system. DJR is working with the infringement penalty system technology provider to finalise the outstanding financial reports required for its business needs. It is anticipated that a full suite of financial reports will be completed in the second quarter of the 2018-19 financial year.  </w:t>
      </w:r>
    </w:p>
    <w:p w:rsidR="000D6E6A" w:rsidRDefault="000D6E6A">
      <w:pPr>
        <w:pStyle w:val="Bodycopy"/>
      </w:pPr>
    </w:p>
    <w:p w:rsidR="000D6E6A" w:rsidRDefault="000D6E6A">
      <w:pPr>
        <w:pStyle w:val="Bodycopy"/>
      </w:pPr>
      <w:r>
        <w:t>Signed</w:t>
      </w:r>
    </w:p>
    <w:p w:rsidR="000D6E6A" w:rsidRDefault="003E113F">
      <w:pPr>
        <w:pStyle w:val="Bodycopy"/>
      </w:pPr>
      <w:r>
        <w:rPr>
          <w:noProof/>
        </w:rPr>
        <w:drawing>
          <wp:inline distT="0" distB="0" distL="0" distR="0">
            <wp:extent cx="1004552" cy="417166"/>
            <wp:effectExtent l="0" t="0" r="0" b="254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3" name="Picture 13" descr="Greg Wilson"/>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Picture 13"/>
                    <pic:cNvPicPr>
                      <a:picLocks/>
                    </pic:cNvPicPr>
                  </pic:nvPicPr>
                  <pic:blipFill>
                    <a:blip r:embed="rId14">
                      <a:extLst>
                        <a:ext uri="{28A0092B-C50C-407E-A947-70E740481C1C}">
                          <a14:useLocalDpi val="false"/>
                        </a:ext>
                      </a:extLst>
                    </a:blip>
                    <a:srcRect/>
                    <a:stretch>
                      <a:fillRect/>
                    </a:stretch>
                  </pic:blipFill>
                  <pic:spPr bwMode="auto">
                    <a:xfrm>
                      <a:off x="0" y="0"/>
                      <a:ext cx="1012320" cy="420392"/>
                    </a:xfrm>
                    <a:prstGeom prst="rect">
                      <a:avLst/>
                    </a:prstGeom>
                    <a:noFill/>
                    <a:ln>
                      <a:noFill/>
                    </a:ln>
                  </pic:spPr>
                </pic:pic>
              </a:graphicData>
            </a:graphic>
          </wp:inline>
        </w:drawing>
      </w:r>
    </w:p>
    <w:p w:rsidR="000D6E6A" w:rsidRDefault="000D6E6A">
      <w:pPr>
        <w:pStyle w:val="Bodycopy"/>
        <w:spacing w:after="0"/>
        <w:rPr>
          <w:rStyle w:val="medium"/>
          <w:b/>
          <w:bCs/>
        </w:rPr>
      </w:pPr>
      <w:r>
        <w:rPr>
          <w:rStyle w:val="medium"/>
          <w:b/>
          <w:bCs/>
        </w:rPr>
        <w:t xml:space="preserve">Greg Wilson </w:t>
      </w:r>
    </w:p>
    <w:p w:rsidR="000D6E6A" w:rsidRDefault="000D6E6A">
      <w:pPr>
        <w:pStyle w:val="Bodycopy"/>
        <w:spacing w:after="0"/>
      </w:pPr>
      <w:r>
        <w:t>SECRETARY, DEPARTMENT OF JUSTICE AND REGULATION</w:t>
      </w:r>
    </w:p>
    <w:p w:rsidR="000D6E6A" w:rsidRDefault="000D6E6A">
      <w:pPr>
        <w:pStyle w:val="Bodycopy"/>
      </w:pPr>
      <w:r>
        <w:t xml:space="preserve">Date 10 September 2018 </w:t>
      </w:r>
    </w:p>
    <w:p w:rsidR="000D6E6A" w:rsidRDefault="000D6E6A">
      <w:pPr>
        <w:pStyle w:val="notestable"/>
      </w:pPr>
    </w:p>
    <w:p w:rsidR="000D6E6A" w:rsidRDefault="000D6E6A">
      <w:pPr>
        <w:pStyle w:val="H2"/>
      </w:pPr>
      <w:r>
        <w:t>Capital projects/asset investment programs</w:t>
      </w:r>
    </w:p>
    <w:p w:rsidR="000D6E6A" w:rsidRDefault="000D6E6A">
      <w:pPr>
        <w:pStyle w:val="Bodycopy"/>
      </w:pPr>
      <w:r>
        <w:t xml:space="preserve">The department and its related portfolio entities manage a range of capital projects to deliver services for government. </w:t>
      </w:r>
    </w:p>
    <w:p w:rsidR="000D6E6A" w:rsidRDefault="000D6E6A">
      <w:pPr>
        <w:pStyle w:val="Bodycopy"/>
      </w:pPr>
      <w:r>
        <w:t>Information on the new and existing capital projects for departments and the broader Victorian public sector is contained in the most recent Budget Paper No. 4 State Capital Program (BP4) which is available on the Department of Treasury and Finance’s website.</w:t>
      </w:r>
    </w:p>
    <w:p w:rsidR="000D6E6A" w:rsidRDefault="000D6E6A">
      <w:pPr>
        <w:pStyle w:val="Bodycopy"/>
      </w:pPr>
      <w:r>
        <w:t>During the year, the Department/agency completed the following capital projects with a total estimated investment [TEI] of $10 million or greater. The details related to these projects are reported below.</w:t>
      </w:r>
    </w:p>
    <w:p w:rsidR="000D6E6A" w:rsidRDefault="000D6E6A">
      <w:pPr>
        <w:pStyle w:val="Bodycopy"/>
        <w:rPr>
          <w:rStyle w:val="RegularItalic"/>
        </w:rPr>
      </w:pPr>
      <w:r>
        <w:rPr>
          <w:rStyle w:val="RegularItalic"/>
        </w:rPr>
        <w:t>Capital projects reaching practical completion during the financial year ended 30 June 2018</w:t>
      </w:r>
    </w:p>
    <w:tbl>
      <w:tblPr>
        <w:tblW w:w="0" w:type="auto"/>
        <w:tblInd w:w="57" w:type="dxa"/>
        <w:tblLayout w:type="fixed"/>
        <w:tblCellMar>
          <w:left w:w="0" w:type="dxa"/>
          <w:right w:w="0" w:type="dxa"/>
        </w:tblCellMar>
        <w:tblLook w:firstRow="0" w:lastRow="0" w:firstColumn="0" w:lastColumn="0" w:noHBand="0" w:noVBand="0" w:val="0000"/>
      </w:tblPr>
      <w:tblGrid>
        <w:gridCol w:w="924"/>
        <w:gridCol w:w="862"/>
        <w:gridCol w:w="992"/>
        <w:gridCol w:w="993"/>
        <w:gridCol w:w="992"/>
        <w:gridCol w:w="1134"/>
        <w:gridCol w:w="1083"/>
        <w:gridCol w:w="901"/>
        <w:gridCol w:w="1134"/>
        <w:gridCol w:w="1134"/>
      </w:tblGrid>
      <w:tr w:rsidRPr="009B6B2A" w:rsidR="000D6E6A" w:rsidTr="009B6B2A">
        <w:tblPrEx>
          <w:tblCellMar>
            <w:top w:w="0" w:type="dxa"/>
            <w:left w:w="0" w:type="dxa"/>
            <w:bottom w:w="0" w:type="dxa"/>
            <w:right w:w="0" w:type="dxa"/>
          </w:tblCellMar>
        </w:tblPrEx>
        <w:trPr>
          <w:trHeight w:val="113"/>
          <w:tblHeader/>
        </w:trPr>
        <w:tc>
          <w:tcPr>
            <w:tcW w:w="924"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9B6B2A" w:rsidR="000D6E6A" w:rsidP="009B6B2A" w:rsidRDefault="000D6E6A">
            <w:pPr>
              <w:pStyle w:val="bodycopytabletable"/>
              <w:rPr>
                <w:sz w:val="14"/>
                <w:szCs w:val="14"/>
              </w:rPr>
            </w:pPr>
            <w:r w:rsidRPr="009B6B2A">
              <w:rPr>
                <w:rStyle w:val="mediumpurple"/>
                <w:b/>
                <w:bCs/>
                <w:sz w:val="14"/>
                <w:szCs w:val="14"/>
              </w:rPr>
              <w:t>Project Name</w:t>
            </w:r>
          </w:p>
        </w:tc>
        <w:tc>
          <w:tcPr>
            <w:tcW w:w="862"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9B6B2A" w:rsidR="000D6E6A" w:rsidP="009B6B2A" w:rsidRDefault="000D6E6A">
            <w:pPr>
              <w:pStyle w:val="bodycopytabletable"/>
              <w:jc w:val="right"/>
              <w:rPr>
                <w:sz w:val="14"/>
                <w:szCs w:val="14"/>
              </w:rPr>
            </w:pPr>
            <w:r w:rsidRPr="009B6B2A">
              <w:rPr>
                <w:rStyle w:val="mediumpurple"/>
                <w:b/>
                <w:bCs/>
                <w:sz w:val="14"/>
                <w:szCs w:val="14"/>
              </w:rPr>
              <w:t>Original completion date</w:t>
            </w:r>
          </w:p>
        </w:tc>
        <w:tc>
          <w:tcPr>
            <w:tcW w:w="992"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9B6B2A" w:rsidR="000D6E6A" w:rsidP="009B6B2A" w:rsidRDefault="000D6E6A">
            <w:pPr>
              <w:pStyle w:val="bodycopytabletable"/>
              <w:jc w:val="right"/>
              <w:rPr>
                <w:sz w:val="14"/>
                <w:szCs w:val="14"/>
              </w:rPr>
            </w:pPr>
            <w:r w:rsidRPr="009B6B2A">
              <w:rPr>
                <w:rStyle w:val="mediumpurple"/>
                <w:b/>
                <w:bCs/>
                <w:sz w:val="14"/>
                <w:szCs w:val="14"/>
              </w:rPr>
              <w:t>Latest approved completion date</w:t>
            </w:r>
          </w:p>
        </w:tc>
        <w:tc>
          <w:tcPr>
            <w:tcW w:w="993"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9B6B2A" w:rsidR="000D6E6A" w:rsidP="009B6B2A" w:rsidRDefault="000D6E6A">
            <w:pPr>
              <w:pStyle w:val="bodycopytabletable"/>
              <w:jc w:val="right"/>
              <w:rPr>
                <w:rStyle w:val="mediumpurple"/>
                <w:b/>
                <w:bCs/>
                <w:sz w:val="14"/>
                <w:szCs w:val="14"/>
              </w:rPr>
            </w:pPr>
            <w:r w:rsidRPr="009B6B2A">
              <w:rPr>
                <w:rStyle w:val="mediumpurple"/>
                <w:b/>
                <w:bCs/>
                <w:sz w:val="14"/>
                <w:szCs w:val="14"/>
              </w:rPr>
              <w:t>Practical</w:t>
            </w:r>
          </w:p>
          <w:p w:rsidRPr="009B6B2A" w:rsidR="000D6E6A" w:rsidP="009B6B2A" w:rsidRDefault="000D6E6A">
            <w:pPr>
              <w:pStyle w:val="bodycopytabletable"/>
              <w:jc w:val="right"/>
              <w:rPr>
                <w:sz w:val="14"/>
                <w:szCs w:val="14"/>
              </w:rPr>
            </w:pPr>
            <w:r w:rsidRPr="009B6B2A">
              <w:rPr>
                <w:rStyle w:val="mediumpurple"/>
                <w:b/>
                <w:bCs/>
                <w:sz w:val="14"/>
                <w:szCs w:val="14"/>
              </w:rPr>
              <w:t>completion date</w:t>
            </w:r>
          </w:p>
        </w:tc>
        <w:tc>
          <w:tcPr>
            <w:tcW w:w="992"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9B6B2A" w:rsidR="000D6E6A" w:rsidP="009B6B2A" w:rsidRDefault="000D6E6A">
            <w:pPr>
              <w:pStyle w:val="bodycopytabletable"/>
              <w:jc w:val="right"/>
              <w:rPr>
                <w:sz w:val="14"/>
                <w:szCs w:val="14"/>
              </w:rPr>
            </w:pPr>
            <w:r w:rsidRPr="009B6B2A">
              <w:rPr>
                <w:rStyle w:val="mediumpurple"/>
                <w:b/>
                <w:bCs/>
                <w:sz w:val="14"/>
                <w:szCs w:val="14"/>
              </w:rPr>
              <w:t xml:space="preserve">Reason for variance in completion dates </w:t>
            </w:r>
          </w:p>
        </w:tc>
        <w:tc>
          <w:tcPr>
            <w:tcW w:w="1134"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9B6B2A" w:rsidR="000D6E6A" w:rsidP="009B6B2A" w:rsidRDefault="000D6E6A">
            <w:pPr>
              <w:pStyle w:val="bodycopytabletable"/>
              <w:jc w:val="right"/>
              <w:rPr>
                <w:sz w:val="14"/>
                <w:szCs w:val="14"/>
              </w:rPr>
            </w:pPr>
            <w:r w:rsidRPr="009B6B2A">
              <w:rPr>
                <w:rStyle w:val="mediumpurple"/>
                <w:b/>
                <w:bCs/>
                <w:sz w:val="14"/>
                <w:szCs w:val="14"/>
              </w:rPr>
              <w:t xml:space="preserve">Original approved TEI (a) budget </w:t>
            </w:r>
            <w:r w:rsidRPr="009B6B2A">
              <w:rPr>
                <w:rStyle w:val="mediumpurple"/>
                <w:b/>
                <w:bCs/>
                <w:sz w:val="14"/>
                <w:szCs w:val="14"/>
              </w:rPr>
              <w:br/>
              <w:t>($ million)</w:t>
            </w:r>
          </w:p>
        </w:tc>
        <w:tc>
          <w:tcPr>
            <w:tcW w:w="1083"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9B6B2A" w:rsidR="000D6E6A" w:rsidP="009B6B2A" w:rsidRDefault="000D6E6A">
            <w:pPr>
              <w:pStyle w:val="bodycopytabletable"/>
              <w:jc w:val="right"/>
              <w:rPr>
                <w:sz w:val="14"/>
                <w:szCs w:val="14"/>
              </w:rPr>
            </w:pPr>
            <w:r w:rsidRPr="009B6B2A">
              <w:rPr>
                <w:rStyle w:val="mediumpurple"/>
                <w:b/>
                <w:bCs/>
                <w:sz w:val="14"/>
                <w:szCs w:val="14"/>
              </w:rPr>
              <w:t>Latest approved TEI</w:t>
            </w:r>
            <w:r w:rsidRPr="009B6B2A">
              <w:rPr>
                <w:rStyle w:val="mediumpurple"/>
                <w:b/>
                <w:bCs/>
                <w:sz w:val="14"/>
                <w:szCs w:val="14"/>
              </w:rPr>
              <w:br/>
              <w:t xml:space="preserve">budget </w:t>
            </w:r>
            <w:r w:rsidRPr="009B6B2A">
              <w:rPr>
                <w:rStyle w:val="mediumpurple"/>
                <w:b/>
                <w:bCs/>
                <w:sz w:val="14"/>
                <w:szCs w:val="14"/>
              </w:rPr>
              <w:br/>
              <w:t>($ million)</w:t>
            </w:r>
          </w:p>
        </w:tc>
        <w:tc>
          <w:tcPr>
            <w:tcW w:w="901"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9B6B2A" w:rsidR="000D6E6A" w:rsidP="009B6B2A" w:rsidRDefault="000D6E6A">
            <w:pPr>
              <w:pStyle w:val="bodycopytabletable"/>
              <w:jc w:val="right"/>
              <w:rPr>
                <w:sz w:val="14"/>
                <w:szCs w:val="14"/>
              </w:rPr>
            </w:pPr>
            <w:r w:rsidRPr="009B6B2A">
              <w:rPr>
                <w:rStyle w:val="mediumpurple"/>
                <w:b/>
                <w:bCs/>
                <w:sz w:val="14"/>
                <w:szCs w:val="14"/>
              </w:rPr>
              <w:t xml:space="preserve">Actual </w:t>
            </w:r>
            <w:r w:rsidRPr="009B6B2A">
              <w:rPr>
                <w:rStyle w:val="mediumpurple"/>
                <w:b/>
                <w:bCs/>
                <w:sz w:val="14"/>
                <w:szCs w:val="14"/>
              </w:rPr>
              <w:br/>
              <w:t xml:space="preserve">TEI cost </w:t>
            </w:r>
            <w:r w:rsidRPr="009B6B2A">
              <w:rPr>
                <w:rStyle w:val="mediumpurple"/>
                <w:b/>
                <w:bCs/>
                <w:sz w:val="14"/>
                <w:szCs w:val="14"/>
              </w:rPr>
              <w:br/>
              <w:t>($ million)</w:t>
            </w:r>
          </w:p>
        </w:tc>
        <w:tc>
          <w:tcPr>
            <w:tcW w:w="1134"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9B6B2A" w:rsidR="000D6E6A" w:rsidP="009B6B2A" w:rsidRDefault="000D6E6A">
            <w:pPr>
              <w:pStyle w:val="bodycopytabletable"/>
              <w:jc w:val="right"/>
              <w:rPr>
                <w:sz w:val="14"/>
                <w:szCs w:val="14"/>
              </w:rPr>
            </w:pPr>
            <w:r w:rsidRPr="009B6B2A">
              <w:rPr>
                <w:rStyle w:val="mediumpurple"/>
                <w:b/>
                <w:bCs/>
                <w:sz w:val="14"/>
                <w:szCs w:val="14"/>
              </w:rPr>
              <w:t>Variation between actual cost and latest approved TEI budget</w:t>
            </w:r>
          </w:p>
        </w:tc>
        <w:tc>
          <w:tcPr>
            <w:tcW w:w="1134"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9B6B2A" w:rsidR="000D6E6A" w:rsidP="009B6B2A" w:rsidRDefault="000D6E6A">
            <w:pPr>
              <w:pStyle w:val="bodycopytabletable"/>
              <w:jc w:val="right"/>
              <w:rPr>
                <w:sz w:val="14"/>
                <w:szCs w:val="14"/>
              </w:rPr>
            </w:pPr>
            <w:r w:rsidRPr="009B6B2A">
              <w:rPr>
                <w:rStyle w:val="mediumpurple"/>
                <w:b/>
                <w:bCs/>
                <w:sz w:val="14"/>
                <w:szCs w:val="14"/>
              </w:rPr>
              <w:t>Reason for variance from latest approved TEI Budget</w:t>
            </w:r>
          </w:p>
        </w:tc>
      </w:tr>
      <w:tr w:rsidRPr="009B6B2A" w:rsidR="000D6E6A" w:rsidTr="009B6B2A">
        <w:tblPrEx>
          <w:tblCellMar>
            <w:top w:w="0" w:type="dxa"/>
            <w:left w:w="0" w:type="dxa"/>
            <w:bottom w:w="0" w:type="dxa"/>
            <w:right w:w="0" w:type="dxa"/>
          </w:tblCellMar>
        </w:tblPrEx>
        <w:trPr>
          <w:trHeight w:val="113"/>
        </w:trPr>
        <w:tc>
          <w:tcPr>
            <w:tcW w:w="92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rPr>
                <w:sz w:val="14"/>
                <w:szCs w:val="14"/>
              </w:rPr>
            </w:pPr>
            <w:r w:rsidRPr="009B6B2A">
              <w:rPr>
                <w:sz w:val="14"/>
                <w:szCs w:val="14"/>
              </w:rPr>
              <w:t>Increase Prison Capacity*</w:t>
            </w:r>
          </w:p>
        </w:tc>
        <w:tc>
          <w:tcPr>
            <w:tcW w:w="86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rPr>
                <w:sz w:val="14"/>
                <w:szCs w:val="14"/>
              </w:rPr>
            </w:pPr>
            <w:r w:rsidRPr="009B6B2A">
              <w:rPr>
                <w:sz w:val="14"/>
                <w:szCs w:val="14"/>
              </w:rPr>
              <w:t>June 2014</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rPr>
                <w:sz w:val="14"/>
                <w:szCs w:val="14"/>
              </w:rPr>
            </w:pPr>
            <w:r w:rsidRPr="009B6B2A">
              <w:rPr>
                <w:sz w:val="14"/>
                <w:szCs w:val="14"/>
              </w:rPr>
              <w:t>December 2017</w:t>
            </w:r>
          </w:p>
        </w:tc>
        <w:tc>
          <w:tcPr>
            <w:tcW w:w="993"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rPr>
                <w:sz w:val="14"/>
                <w:szCs w:val="14"/>
              </w:rPr>
            </w:pPr>
            <w:r w:rsidRPr="009B6B2A">
              <w:rPr>
                <w:sz w:val="14"/>
                <w:szCs w:val="14"/>
              </w:rPr>
              <w:t>November 2017</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rPr>
                <w:sz w:val="14"/>
                <w:szCs w:val="14"/>
              </w:rPr>
            </w:pPr>
            <w:r w:rsidRPr="009B6B2A">
              <w:rPr>
                <w:sz w:val="14"/>
                <w:szCs w:val="14"/>
              </w:rPr>
              <w:t>Construction completed ahead of schedule</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rPr>
                <w:sz w:val="14"/>
                <w:szCs w:val="14"/>
              </w:rPr>
            </w:pPr>
            <w:r w:rsidRPr="009B6B2A">
              <w:rPr>
                <w:sz w:val="14"/>
                <w:szCs w:val="14"/>
              </w:rPr>
              <w:t>670.41</w:t>
            </w:r>
          </w:p>
        </w:tc>
        <w:tc>
          <w:tcPr>
            <w:tcW w:w="1083"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rPr>
                <w:sz w:val="14"/>
                <w:szCs w:val="14"/>
              </w:rPr>
            </w:pPr>
            <w:r w:rsidRPr="009B6B2A">
              <w:rPr>
                <w:sz w:val="14"/>
                <w:szCs w:val="14"/>
              </w:rPr>
              <w:t>253.63</w:t>
            </w:r>
          </w:p>
        </w:tc>
        <w:tc>
          <w:tcPr>
            <w:tcW w:w="901"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rPr>
                <w:sz w:val="14"/>
                <w:szCs w:val="14"/>
              </w:rPr>
            </w:pPr>
            <w:r w:rsidRPr="009B6B2A">
              <w:rPr>
                <w:sz w:val="14"/>
                <w:szCs w:val="14"/>
              </w:rPr>
              <w:t>253.63</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rPr>
                <w:sz w:val="14"/>
                <w:szCs w:val="14"/>
              </w:rPr>
            </w:pPr>
            <w:r w:rsidRPr="009B6B2A">
              <w:rPr>
                <w:sz w:val="14"/>
                <w:szCs w:val="14"/>
              </w:rPr>
              <w:t>0</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rPr>
                <w:sz w:val="14"/>
                <w:szCs w:val="14"/>
              </w:rPr>
            </w:pPr>
            <w:r w:rsidRPr="009B6B2A">
              <w:rPr>
                <w:sz w:val="14"/>
                <w:szCs w:val="14"/>
              </w:rPr>
              <w:t>See below</w:t>
            </w:r>
          </w:p>
        </w:tc>
      </w:tr>
      <w:tr w:rsidRPr="009B6B2A" w:rsidR="000D6E6A" w:rsidTr="009B6B2A">
        <w:tblPrEx>
          <w:tblCellMar>
            <w:top w:w="0" w:type="dxa"/>
            <w:left w:w="0" w:type="dxa"/>
            <w:bottom w:w="0" w:type="dxa"/>
            <w:right w:w="0" w:type="dxa"/>
          </w:tblCellMar>
        </w:tblPrEx>
        <w:trPr>
          <w:trHeight w:val="113"/>
        </w:trPr>
        <w:tc>
          <w:tcPr>
            <w:tcW w:w="92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rPr>
                <w:sz w:val="14"/>
                <w:szCs w:val="14"/>
              </w:rPr>
            </w:pPr>
            <w:proofErr w:type="spellStart"/>
            <w:r w:rsidRPr="009B6B2A">
              <w:rPr>
                <w:sz w:val="14"/>
                <w:szCs w:val="14"/>
              </w:rPr>
              <w:t>Mernda</w:t>
            </w:r>
            <w:proofErr w:type="spellEnd"/>
            <w:r w:rsidRPr="009B6B2A">
              <w:rPr>
                <w:sz w:val="14"/>
                <w:szCs w:val="14"/>
              </w:rPr>
              <w:t xml:space="preserve"> Police Station</w:t>
            </w:r>
          </w:p>
        </w:tc>
        <w:tc>
          <w:tcPr>
            <w:tcW w:w="86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rPr>
                <w:sz w:val="14"/>
                <w:szCs w:val="14"/>
              </w:rPr>
            </w:pPr>
            <w:r w:rsidRPr="009B6B2A">
              <w:rPr>
                <w:sz w:val="14"/>
                <w:szCs w:val="14"/>
              </w:rPr>
              <w:t>September 2017</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rPr>
                <w:sz w:val="14"/>
                <w:szCs w:val="14"/>
              </w:rPr>
            </w:pPr>
            <w:r w:rsidRPr="009B6B2A">
              <w:rPr>
                <w:sz w:val="14"/>
                <w:szCs w:val="14"/>
              </w:rPr>
              <w:t>September 2017</w:t>
            </w:r>
          </w:p>
        </w:tc>
        <w:tc>
          <w:tcPr>
            <w:tcW w:w="993"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rPr>
                <w:sz w:val="14"/>
                <w:szCs w:val="14"/>
              </w:rPr>
            </w:pPr>
            <w:r w:rsidRPr="009B6B2A">
              <w:rPr>
                <w:sz w:val="14"/>
                <w:szCs w:val="14"/>
              </w:rPr>
              <w:t>October 2017</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rPr>
                <w:sz w:val="14"/>
                <w:szCs w:val="14"/>
              </w:rPr>
            </w:pPr>
            <w:r w:rsidRPr="009B6B2A">
              <w:rPr>
                <w:sz w:val="14"/>
                <w:szCs w:val="14"/>
              </w:rPr>
              <w:t>Minor delays due to latent weather conditions</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rPr>
                <w:sz w:val="14"/>
                <w:szCs w:val="14"/>
              </w:rPr>
            </w:pPr>
            <w:r w:rsidRPr="009B6B2A">
              <w:rPr>
                <w:sz w:val="14"/>
                <w:szCs w:val="14"/>
              </w:rPr>
              <w:t>15</w:t>
            </w:r>
          </w:p>
        </w:tc>
        <w:tc>
          <w:tcPr>
            <w:tcW w:w="1083"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rPr>
                <w:sz w:val="14"/>
                <w:szCs w:val="14"/>
              </w:rPr>
            </w:pPr>
            <w:r w:rsidRPr="009B6B2A">
              <w:rPr>
                <w:sz w:val="14"/>
                <w:szCs w:val="14"/>
              </w:rPr>
              <w:t>15</w:t>
            </w:r>
          </w:p>
        </w:tc>
        <w:tc>
          <w:tcPr>
            <w:tcW w:w="901"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rPr>
                <w:sz w:val="14"/>
                <w:szCs w:val="14"/>
              </w:rPr>
            </w:pPr>
            <w:r w:rsidRPr="009B6B2A">
              <w:rPr>
                <w:sz w:val="14"/>
                <w:szCs w:val="14"/>
              </w:rPr>
              <w:t>15</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rPr>
                <w:sz w:val="14"/>
                <w:szCs w:val="14"/>
              </w:rPr>
            </w:pPr>
            <w:r w:rsidRPr="009B6B2A">
              <w:rPr>
                <w:sz w:val="14"/>
                <w:szCs w:val="14"/>
              </w:rPr>
              <w:t>0</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rPr>
                <w:sz w:val="14"/>
                <w:szCs w:val="14"/>
              </w:rPr>
            </w:pPr>
            <w:r w:rsidRPr="009B6B2A">
              <w:rPr>
                <w:sz w:val="14"/>
                <w:szCs w:val="14"/>
              </w:rPr>
              <w:t>NA</w:t>
            </w:r>
          </w:p>
        </w:tc>
      </w:tr>
      <w:tr w:rsidRPr="009B6B2A" w:rsidR="000D6E6A" w:rsidTr="009B6B2A">
        <w:tblPrEx>
          <w:tblCellMar>
            <w:top w:w="0" w:type="dxa"/>
            <w:left w:w="0" w:type="dxa"/>
            <w:bottom w:w="0" w:type="dxa"/>
            <w:right w:w="0" w:type="dxa"/>
          </w:tblCellMar>
        </w:tblPrEx>
        <w:trPr>
          <w:trHeight w:val="113"/>
        </w:trPr>
        <w:tc>
          <w:tcPr>
            <w:tcW w:w="924"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9B6B2A" w:rsidR="000D6E6A" w:rsidRDefault="000D6E6A">
            <w:pPr>
              <w:pStyle w:val="bodycopytabletable"/>
              <w:rPr>
                <w:sz w:val="14"/>
                <w:szCs w:val="14"/>
              </w:rPr>
            </w:pPr>
            <w:r w:rsidRPr="009B6B2A">
              <w:rPr>
                <w:sz w:val="14"/>
                <w:szCs w:val="14"/>
              </w:rPr>
              <w:t>Corrections Remand upgrades</w:t>
            </w:r>
          </w:p>
        </w:tc>
        <w:tc>
          <w:tcPr>
            <w:tcW w:w="862"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9B6B2A" w:rsidR="000D6E6A" w:rsidRDefault="000D6E6A">
            <w:pPr>
              <w:pStyle w:val="bodycopytabletable"/>
              <w:jc w:val="right"/>
              <w:rPr>
                <w:sz w:val="14"/>
                <w:szCs w:val="14"/>
              </w:rPr>
            </w:pPr>
            <w:r w:rsidRPr="009B6B2A">
              <w:rPr>
                <w:sz w:val="14"/>
                <w:szCs w:val="14"/>
              </w:rPr>
              <w:t>June 2018</w:t>
            </w:r>
          </w:p>
        </w:tc>
        <w:tc>
          <w:tcPr>
            <w:tcW w:w="992"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9B6B2A" w:rsidR="000D6E6A" w:rsidRDefault="000D6E6A">
            <w:pPr>
              <w:pStyle w:val="bodycopytabletable"/>
              <w:jc w:val="right"/>
              <w:rPr>
                <w:sz w:val="14"/>
                <w:szCs w:val="14"/>
              </w:rPr>
            </w:pPr>
            <w:r w:rsidRPr="009B6B2A">
              <w:rPr>
                <w:sz w:val="14"/>
                <w:szCs w:val="14"/>
              </w:rPr>
              <w:t>June 2018</w:t>
            </w:r>
          </w:p>
        </w:tc>
        <w:tc>
          <w:tcPr>
            <w:tcW w:w="993"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9B6B2A" w:rsidR="000D6E6A" w:rsidRDefault="000D6E6A">
            <w:pPr>
              <w:pStyle w:val="bodycopytabletable"/>
              <w:jc w:val="right"/>
              <w:rPr>
                <w:sz w:val="14"/>
                <w:szCs w:val="14"/>
              </w:rPr>
            </w:pPr>
            <w:r w:rsidRPr="009B6B2A">
              <w:rPr>
                <w:sz w:val="14"/>
                <w:szCs w:val="14"/>
              </w:rPr>
              <w:t>June 2018</w:t>
            </w:r>
          </w:p>
        </w:tc>
        <w:tc>
          <w:tcPr>
            <w:tcW w:w="992"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9B6B2A" w:rsidR="000D6E6A" w:rsidRDefault="000D6E6A">
            <w:pPr>
              <w:pStyle w:val="bodycopytabletable"/>
              <w:jc w:val="right"/>
              <w:rPr>
                <w:sz w:val="14"/>
                <w:szCs w:val="14"/>
              </w:rPr>
            </w:pPr>
            <w:r w:rsidRPr="009B6B2A">
              <w:rPr>
                <w:sz w:val="14"/>
                <w:szCs w:val="14"/>
              </w:rPr>
              <w:t>NA</w:t>
            </w:r>
          </w:p>
        </w:tc>
        <w:tc>
          <w:tcPr>
            <w:tcW w:w="1134"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9B6B2A" w:rsidR="000D6E6A" w:rsidRDefault="000D6E6A">
            <w:pPr>
              <w:pStyle w:val="bodycopytabletable"/>
              <w:jc w:val="right"/>
              <w:rPr>
                <w:sz w:val="14"/>
                <w:szCs w:val="14"/>
              </w:rPr>
            </w:pPr>
            <w:r w:rsidRPr="009B6B2A">
              <w:rPr>
                <w:sz w:val="14"/>
                <w:szCs w:val="14"/>
              </w:rPr>
              <w:t>74.86</w:t>
            </w:r>
          </w:p>
        </w:tc>
        <w:tc>
          <w:tcPr>
            <w:tcW w:w="1083"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9B6B2A" w:rsidR="000D6E6A" w:rsidRDefault="000D6E6A">
            <w:pPr>
              <w:pStyle w:val="bodycopytabletable"/>
              <w:jc w:val="right"/>
              <w:rPr>
                <w:sz w:val="14"/>
                <w:szCs w:val="14"/>
              </w:rPr>
            </w:pPr>
            <w:r w:rsidRPr="009B6B2A">
              <w:rPr>
                <w:sz w:val="14"/>
                <w:szCs w:val="14"/>
              </w:rPr>
              <w:t>68.06</w:t>
            </w:r>
          </w:p>
        </w:tc>
        <w:tc>
          <w:tcPr>
            <w:tcW w:w="901"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9B6B2A" w:rsidR="000D6E6A" w:rsidRDefault="000D6E6A">
            <w:pPr>
              <w:pStyle w:val="bodycopytabletable"/>
              <w:jc w:val="right"/>
              <w:rPr>
                <w:sz w:val="14"/>
                <w:szCs w:val="14"/>
              </w:rPr>
            </w:pPr>
            <w:r w:rsidRPr="009B6B2A">
              <w:rPr>
                <w:sz w:val="14"/>
                <w:szCs w:val="14"/>
              </w:rPr>
              <w:t>68.06</w:t>
            </w:r>
          </w:p>
        </w:tc>
        <w:tc>
          <w:tcPr>
            <w:tcW w:w="1134"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9B6B2A" w:rsidR="000D6E6A" w:rsidRDefault="000D6E6A">
            <w:pPr>
              <w:pStyle w:val="bodycopytabletable"/>
              <w:jc w:val="right"/>
              <w:rPr>
                <w:sz w:val="14"/>
                <w:szCs w:val="14"/>
              </w:rPr>
            </w:pPr>
            <w:r w:rsidRPr="009B6B2A">
              <w:rPr>
                <w:sz w:val="14"/>
                <w:szCs w:val="14"/>
              </w:rPr>
              <w:t>0</w:t>
            </w:r>
          </w:p>
        </w:tc>
        <w:tc>
          <w:tcPr>
            <w:tcW w:w="1134"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9B6B2A" w:rsidR="000D6E6A" w:rsidRDefault="000D6E6A">
            <w:pPr>
              <w:pStyle w:val="bodycopytabletable"/>
              <w:jc w:val="right"/>
              <w:rPr>
                <w:sz w:val="14"/>
                <w:szCs w:val="14"/>
              </w:rPr>
            </w:pPr>
            <w:r w:rsidRPr="009B6B2A">
              <w:rPr>
                <w:sz w:val="14"/>
                <w:szCs w:val="14"/>
              </w:rPr>
              <w:t>NA</w:t>
            </w:r>
          </w:p>
        </w:tc>
      </w:tr>
    </w:tbl>
    <w:p w:rsidR="000D6E6A" w:rsidP="009B6B2A" w:rsidRDefault="000D6E6A">
      <w:pPr>
        <w:pStyle w:val="notesspantable"/>
        <w:spacing w:before="60"/>
      </w:pPr>
      <w:r>
        <w:t xml:space="preserve">Notes: </w:t>
      </w:r>
    </w:p>
    <w:p w:rsidR="000D6E6A" w:rsidRDefault="000D6E6A">
      <w:pPr>
        <w:pStyle w:val="notesspantable"/>
      </w:pPr>
      <w:r>
        <w:t>*Increase Prison Capacity</w:t>
      </w:r>
    </w:p>
    <w:p w:rsidR="000D6E6A" w:rsidRDefault="000D6E6A">
      <w:pPr>
        <w:pStyle w:val="notesspantable"/>
        <w:spacing w:after="227"/>
      </w:pPr>
      <w:r>
        <w:t>Original funding provided for this project related to 395 additional beds across the corrections system and the construction of a new men’s prison and reflected previously reprioritised funding, a public private partnership policy and a reprioritisation of $5.8m to the Critical Infrastructure and Services project. The actual TEI reflects the final expenditure.</w:t>
      </w:r>
    </w:p>
    <w:p w:rsidR="009B6B2A" w:rsidRDefault="009B6B2A">
      <w:pPr>
        <w:rPr>
          <w:rStyle w:val="RegularItalic"/>
          <w:rFonts w:ascii="Arial" w:hAnsi="Arial" w:cs="Arial"/>
          <w:sz w:val="18"/>
          <w:szCs w:val="18"/>
          <w:lang w:val="en-GB"/>
        </w:rPr>
      </w:pPr>
      <w:r>
        <w:rPr>
          <w:rStyle w:val="RegularItalic"/>
        </w:rPr>
        <w:br w:type="page"/>
      </w:r>
    </w:p>
    <w:p w:rsidR="000D6E6A" w:rsidRDefault="000D6E6A">
      <w:pPr>
        <w:pStyle w:val="Bodycopy"/>
        <w:rPr>
          <w:rStyle w:val="RegularItalic"/>
        </w:rPr>
      </w:pPr>
      <w:r>
        <w:rPr>
          <w:rStyle w:val="RegularItalic"/>
        </w:rPr>
        <w:lastRenderedPageBreak/>
        <w:t>Capital projects reaching financial completion during the financial year ended 30 June 2018</w:t>
      </w:r>
    </w:p>
    <w:tbl>
      <w:tblPr>
        <w:tblW w:w="0" w:type="auto"/>
        <w:tblInd w:w="57" w:type="dxa"/>
        <w:tblLayout w:type="fixed"/>
        <w:tblCellMar>
          <w:left w:w="0" w:type="dxa"/>
          <w:right w:w="0" w:type="dxa"/>
        </w:tblCellMar>
        <w:tblLook w:firstRow="0" w:lastRow="0" w:firstColumn="0" w:lastColumn="0" w:noHBand="0" w:noVBand="0" w:val="0000"/>
      </w:tblPr>
      <w:tblGrid>
        <w:gridCol w:w="1503"/>
        <w:gridCol w:w="992"/>
        <w:gridCol w:w="1134"/>
        <w:gridCol w:w="1417"/>
        <w:gridCol w:w="1276"/>
        <w:gridCol w:w="851"/>
        <w:gridCol w:w="1701"/>
        <w:gridCol w:w="1275"/>
      </w:tblGrid>
      <w:tr w:rsidR="000D6E6A" w:rsidTr="009B6B2A">
        <w:tblPrEx>
          <w:tblCellMar>
            <w:top w:w="0" w:type="dxa"/>
            <w:left w:w="0" w:type="dxa"/>
            <w:bottom w:w="0" w:type="dxa"/>
            <w:right w:w="0" w:type="dxa"/>
          </w:tblCellMar>
        </w:tblPrEx>
        <w:trPr>
          <w:trHeight w:val="60"/>
          <w:tblHeader/>
        </w:trPr>
        <w:tc>
          <w:tcPr>
            <w:tcW w:w="1503" w:type="dxa"/>
            <w:tcBorders>
              <w:top w:val="dotted" w:color="000000" w:sz="6" w:space="0"/>
              <w:left w:val="nil"/>
              <w:bottom w:val="single" w:color="542E8E" w:sz="6" w:space="0"/>
              <w:right w:val="nil"/>
            </w:tcBorders>
            <w:shd w:val="solid" w:color="FFFFFF" w:fill="auto"/>
            <w:tcMar>
              <w:top w:w="68" w:type="dxa"/>
              <w:left w:w="57" w:type="dxa"/>
              <w:bottom w:w="68" w:type="dxa"/>
              <w:right w:w="57" w:type="dxa"/>
            </w:tcMar>
            <w:vAlign w:val="bottom"/>
          </w:tcPr>
          <w:p w:rsidR="000D6E6A" w:rsidRDefault="000D6E6A">
            <w:pPr>
              <w:pStyle w:val="bodycopytabletable"/>
            </w:pPr>
            <w:r>
              <w:rPr>
                <w:rStyle w:val="mediumpurple"/>
                <w:b/>
                <w:bCs/>
                <w:sz w:val="14"/>
                <w:szCs w:val="14"/>
              </w:rPr>
              <w:t>Project Name</w:t>
            </w:r>
          </w:p>
        </w:tc>
        <w:tc>
          <w:tcPr>
            <w:tcW w:w="992" w:type="dxa"/>
            <w:tcBorders>
              <w:top w:val="dotted" w:color="000000" w:sz="6" w:space="0"/>
              <w:left w:val="nil"/>
              <w:bottom w:val="single" w:color="542E8E" w:sz="6" w:space="0"/>
              <w:right w:val="nil"/>
            </w:tcBorders>
            <w:shd w:val="solid" w:color="FFFFFF" w:fill="auto"/>
            <w:tcMar>
              <w:top w:w="68" w:type="dxa"/>
              <w:left w:w="57" w:type="dxa"/>
              <w:bottom w:w="68" w:type="dxa"/>
              <w:right w:w="57" w:type="dxa"/>
            </w:tcMar>
            <w:vAlign w:val="bottom"/>
          </w:tcPr>
          <w:p w:rsidR="000D6E6A" w:rsidRDefault="000D6E6A">
            <w:pPr>
              <w:pStyle w:val="bodycopytabletable"/>
              <w:jc w:val="right"/>
            </w:pPr>
            <w:r>
              <w:rPr>
                <w:rStyle w:val="mediumpurple"/>
                <w:b/>
                <w:bCs/>
                <w:sz w:val="14"/>
                <w:szCs w:val="14"/>
              </w:rPr>
              <w:t>Practical</w:t>
            </w:r>
            <w:r>
              <w:rPr>
                <w:rStyle w:val="mediumpurple"/>
                <w:b/>
                <w:bCs/>
                <w:sz w:val="14"/>
                <w:szCs w:val="14"/>
              </w:rPr>
              <w:br/>
              <w:t>completion date</w:t>
            </w:r>
          </w:p>
        </w:tc>
        <w:tc>
          <w:tcPr>
            <w:tcW w:w="1134" w:type="dxa"/>
            <w:tcBorders>
              <w:top w:val="dotted" w:color="000000" w:sz="6" w:space="0"/>
              <w:left w:val="nil"/>
              <w:bottom w:val="single" w:color="542E8E" w:sz="6" w:space="0"/>
              <w:right w:val="nil"/>
            </w:tcBorders>
            <w:shd w:val="solid" w:color="FFFFFF" w:fill="auto"/>
            <w:tcMar>
              <w:top w:w="68" w:type="dxa"/>
              <w:left w:w="57" w:type="dxa"/>
              <w:bottom w:w="68" w:type="dxa"/>
              <w:right w:w="57" w:type="dxa"/>
            </w:tcMar>
            <w:vAlign w:val="bottom"/>
          </w:tcPr>
          <w:p w:rsidR="000D6E6A" w:rsidRDefault="000D6E6A">
            <w:pPr>
              <w:pStyle w:val="bodycopytabletable"/>
              <w:jc w:val="right"/>
            </w:pPr>
            <w:r>
              <w:rPr>
                <w:rStyle w:val="mediumpurple"/>
                <w:b/>
                <w:bCs/>
                <w:sz w:val="14"/>
                <w:szCs w:val="14"/>
              </w:rPr>
              <w:t>Financial completion date</w:t>
            </w:r>
          </w:p>
        </w:tc>
        <w:tc>
          <w:tcPr>
            <w:tcW w:w="1417" w:type="dxa"/>
            <w:tcBorders>
              <w:top w:val="dotted" w:color="000000" w:sz="6" w:space="0"/>
              <w:left w:val="nil"/>
              <w:bottom w:val="single" w:color="542E8E" w:sz="6" w:space="0"/>
              <w:right w:val="nil"/>
            </w:tcBorders>
            <w:shd w:val="solid" w:color="FFFFFF" w:fill="auto"/>
            <w:tcMar>
              <w:top w:w="68" w:type="dxa"/>
              <w:left w:w="57" w:type="dxa"/>
              <w:bottom w:w="68" w:type="dxa"/>
              <w:right w:w="57" w:type="dxa"/>
            </w:tcMar>
            <w:vAlign w:val="bottom"/>
          </w:tcPr>
          <w:p w:rsidR="000D6E6A" w:rsidRDefault="009B6B2A">
            <w:pPr>
              <w:pStyle w:val="bodycopytabletable"/>
              <w:jc w:val="right"/>
            </w:pPr>
            <w:r>
              <w:rPr>
                <w:rStyle w:val="mediumpurple"/>
                <w:b/>
                <w:bCs/>
                <w:sz w:val="14"/>
                <w:szCs w:val="14"/>
              </w:rPr>
              <w:t xml:space="preserve">Original approved </w:t>
            </w:r>
            <w:r>
              <w:rPr>
                <w:rStyle w:val="mediumpurple"/>
                <w:b/>
                <w:bCs/>
                <w:sz w:val="14"/>
                <w:szCs w:val="14"/>
              </w:rPr>
              <w:br/>
              <w:t xml:space="preserve">TEI (a) </w:t>
            </w:r>
            <w:r w:rsidR="000D6E6A">
              <w:rPr>
                <w:rStyle w:val="mediumpurple"/>
                <w:b/>
                <w:bCs/>
                <w:sz w:val="14"/>
                <w:szCs w:val="14"/>
              </w:rPr>
              <w:t xml:space="preserve">budget </w:t>
            </w:r>
            <w:r w:rsidR="000D6E6A">
              <w:rPr>
                <w:rStyle w:val="mediumpurple"/>
                <w:b/>
                <w:bCs/>
                <w:sz w:val="14"/>
                <w:szCs w:val="14"/>
              </w:rPr>
              <w:br/>
              <w:t>($ million)</w:t>
            </w:r>
          </w:p>
        </w:tc>
        <w:tc>
          <w:tcPr>
            <w:tcW w:w="1276" w:type="dxa"/>
            <w:tcBorders>
              <w:top w:val="dotted" w:color="000000" w:sz="6" w:space="0"/>
              <w:left w:val="nil"/>
              <w:bottom w:val="single" w:color="542E8E" w:sz="6" w:space="0"/>
              <w:right w:val="nil"/>
            </w:tcBorders>
            <w:shd w:val="solid" w:color="FFFFFF" w:fill="auto"/>
            <w:tcMar>
              <w:top w:w="68" w:type="dxa"/>
              <w:left w:w="57" w:type="dxa"/>
              <w:bottom w:w="68" w:type="dxa"/>
              <w:right w:w="57" w:type="dxa"/>
            </w:tcMar>
            <w:vAlign w:val="bottom"/>
          </w:tcPr>
          <w:p w:rsidR="000D6E6A" w:rsidRDefault="009B6B2A">
            <w:pPr>
              <w:pStyle w:val="bodycopytabletable"/>
              <w:jc w:val="right"/>
            </w:pPr>
            <w:r>
              <w:rPr>
                <w:rStyle w:val="mediumpurple"/>
                <w:b/>
                <w:bCs/>
                <w:sz w:val="14"/>
                <w:szCs w:val="14"/>
              </w:rPr>
              <w:t xml:space="preserve">Latest approved TEI </w:t>
            </w:r>
            <w:r w:rsidR="000D6E6A">
              <w:rPr>
                <w:rStyle w:val="mediumpurple"/>
                <w:b/>
                <w:bCs/>
                <w:sz w:val="14"/>
                <w:szCs w:val="14"/>
              </w:rPr>
              <w:t xml:space="preserve">budget </w:t>
            </w:r>
            <w:r w:rsidR="000D6E6A">
              <w:rPr>
                <w:rStyle w:val="mediumpurple"/>
                <w:b/>
                <w:bCs/>
                <w:sz w:val="14"/>
                <w:szCs w:val="14"/>
              </w:rPr>
              <w:br/>
              <w:t>($ million)</w:t>
            </w:r>
          </w:p>
        </w:tc>
        <w:tc>
          <w:tcPr>
            <w:tcW w:w="851" w:type="dxa"/>
            <w:tcBorders>
              <w:top w:val="dotted" w:color="000000" w:sz="6" w:space="0"/>
              <w:left w:val="nil"/>
              <w:bottom w:val="single" w:color="542E8E" w:sz="6" w:space="0"/>
              <w:right w:val="nil"/>
            </w:tcBorders>
            <w:shd w:val="solid" w:color="FFFFFF" w:fill="auto"/>
            <w:tcMar>
              <w:top w:w="68" w:type="dxa"/>
              <w:left w:w="57" w:type="dxa"/>
              <w:bottom w:w="68" w:type="dxa"/>
              <w:right w:w="57" w:type="dxa"/>
            </w:tcMar>
            <w:vAlign w:val="bottom"/>
          </w:tcPr>
          <w:p w:rsidR="000D6E6A" w:rsidRDefault="000D6E6A">
            <w:pPr>
              <w:pStyle w:val="bodycopytabletable"/>
              <w:jc w:val="right"/>
            </w:pPr>
            <w:r>
              <w:rPr>
                <w:rStyle w:val="mediumpurple"/>
                <w:b/>
                <w:bCs/>
                <w:sz w:val="14"/>
                <w:szCs w:val="14"/>
              </w:rPr>
              <w:t xml:space="preserve">Actual </w:t>
            </w:r>
            <w:r>
              <w:rPr>
                <w:rStyle w:val="mediumpurple"/>
                <w:b/>
                <w:bCs/>
                <w:sz w:val="14"/>
                <w:szCs w:val="14"/>
              </w:rPr>
              <w:br/>
              <w:t xml:space="preserve">TEI cost </w:t>
            </w:r>
            <w:r>
              <w:rPr>
                <w:rStyle w:val="mediumpurple"/>
                <w:b/>
                <w:bCs/>
                <w:sz w:val="14"/>
                <w:szCs w:val="14"/>
              </w:rPr>
              <w:br/>
              <w:t>($ million)</w:t>
            </w:r>
          </w:p>
        </w:tc>
        <w:tc>
          <w:tcPr>
            <w:tcW w:w="1701" w:type="dxa"/>
            <w:tcBorders>
              <w:top w:val="dotted" w:color="000000" w:sz="6" w:space="0"/>
              <w:left w:val="nil"/>
              <w:bottom w:val="single" w:color="542E8E" w:sz="6" w:space="0"/>
              <w:right w:val="nil"/>
            </w:tcBorders>
            <w:shd w:val="solid" w:color="FFFFFF" w:fill="auto"/>
            <w:tcMar>
              <w:top w:w="68" w:type="dxa"/>
              <w:left w:w="57" w:type="dxa"/>
              <w:bottom w:w="68" w:type="dxa"/>
              <w:right w:w="57" w:type="dxa"/>
            </w:tcMar>
            <w:vAlign w:val="bottom"/>
          </w:tcPr>
          <w:p w:rsidR="000D6E6A" w:rsidRDefault="000D6E6A">
            <w:pPr>
              <w:pStyle w:val="bodycopytabletable"/>
              <w:jc w:val="right"/>
            </w:pPr>
            <w:r>
              <w:rPr>
                <w:rStyle w:val="mediumpurple"/>
                <w:b/>
                <w:bCs/>
                <w:sz w:val="14"/>
                <w:szCs w:val="14"/>
              </w:rPr>
              <w:t>Variation between actual cost and latest approved TEI budget</w:t>
            </w:r>
          </w:p>
        </w:tc>
        <w:tc>
          <w:tcPr>
            <w:tcW w:w="1275" w:type="dxa"/>
            <w:tcBorders>
              <w:top w:val="dotted" w:color="000000" w:sz="6" w:space="0"/>
              <w:left w:val="nil"/>
              <w:bottom w:val="single" w:color="542E8E" w:sz="6" w:space="0"/>
              <w:right w:val="nil"/>
            </w:tcBorders>
            <w:shd w:val="solid" w:color="FFFFFF" w:fill="auto"/>
            <w:tcMar>
              <w:top w:w="68" w:type="dxa"/>
              <w:left w:w="57" w:type="dxa"/>
              <w:bottom w:w="68" w:type="dxa"/>
              <w:right w:w="57" w:type="dxa"/>
            </w:tcMar>
            <w:vAlign w:val="bottom"/>
          </w:tcPr>
          <w:p w:rsidR="000D6E6A" w:rsidRDefault="000D6E6A">
            <w:pPr>
              <w:pStyle w:val="bodycopytabletable"/>
              <w:jc w:val="right"/>
            </w:pPr>
            <w:r>
              <w:rPr>
                <w:rStyle w:val="mediumpurple"/>
                <w:b/>
                <w:bCs/>
                <w:sz w:val="14"/>
                <w:szCs w:val="14"/>
              </w:rPr>
              <w:t>Reason for variance from latest approved TEI Budget</w:t>
            </w:r>
          </w:p>
        </w:tc>
      </w:tr>
      <w:tr w:rsidR="000D6E6A" w:rsidTr="009B6B2A">
        <w:tblPrEx>
          <w:tblCellMar>
            <w:top w:w="0" w:type="dxa"/>
            <w:left w:w="0" w:type="dxa"/>
            <w:bottom w:w="0" w:type="dxa"/>
            <w:right w:w="0" w:type="dxa"/>
          </w:tblCellMar>
        </w:tblPrEx>
        <w:trPr>
          <w:trHeight w:val="60"/>
        </w:trPr>
        <w:tc>
          <w:tcPr>
            <w:tcW w:w="1503"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rPr>
                <w:sz w:val="14"/>
                <w:szCs w:val="14"/>
              </w:rPr>
              <w:t>Custody officers to free up 400 police</w:t>
            </w:r>
          </w:p>
        </w:tc>
        <w:tc>
          <w:tcPr>
            <w:tcW w:w="992"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jc w:val="right"/>
            </w:pPr>
            <w:r>
              <w:rPr>
                <w:sz w:val="14"/>
                <w:szCs w:val="14"/>
              </w:rPr>
              <w:t>March 2018</w:t>
            </w:r>
          </w:p>
        </w:tc>
        <w:tc>
          <w:tcPr>
            <w:tcW w:w="1134"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jc w:val="right"/>
            </w:pPr>
            <w:r>
              <w:rPr>
                <w:sz w:val="14"/>
                <w:szCs w:val="14"/>
              </w:rPr>
              <w:t>June 2018</w:t>
            </w:r>
          </w:p>
        </w:tc>
        <w:tc>
          <w:tcPr>
            <w:tcW w:w="1417"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jc w:val="right"/>
            </w:pPr>
            <w:r>
              <w:rPr>
                <w:sz w:val="14"/>
                <w:szCs w:val="14"/>
              </w:rPr>
              <w:t>10</w:t>
            </w:r>
          </w:p>
        </w:tc>
        <w:tc>
          <w:tcPr>
            <w:tcW w:w="1276"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jc w:val="right"/>
            </w:pPr>
            <w:r>
              <w:rPr>
                <w:sz w:val="14"/>
                <w:szCs w:val="14"/>
              </w:rPr>
              <w:t>10</w:t>
            </w:r>
          </w:p>
        </w:tc>
        <w:tc>
          <w:tcPr>
            <w:tcW w:w="851"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jc w:val="right"/>
            </w:pPr>
            <w:r>
              <w:rPr>
                <w:sz w:val="14"/>
                <w:szCs w:val="14"/>
              </w:rPr>
              <w:t>10</w:t>
            </w:r>
          </w:p>
        </w:tc>
        <w:tc>
          <w:tcPr>
            <w:tcW w:w="1701"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jc w:val="right"/>
            </w:pPr>
            <w:r>
              <w:rPr>
                <w:sz w:val="14"/>
                <w:szCs w:val="14"/>
              </w:rPr>
              <w:t>0</w:t>
            </w:r>
          </w:p>
        </w:tc>
        <w:tc>
          <w:tcPr>
            <w:tcW w:w="127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jc w:val="right"/>
            </w:pPr>
            <w:r>
              <w:rPr>
                <w:sz w:val="14"/>
                <w:szCs w:val="14"/>
              </w:rPr>
              <w:t>NA</w:t>
            </w:r>
          </w:p>
        </w:tc>
      </w:tr>
      <w:tr w:rsidR="000D6E6A" w:rsidTr="009B6B2A">
        <w:tblPrEx>
          <w:tblCellMar>
            <w:top w:w="0" w:type="dxa"/>
            <w:left w:w="0" w:type="dxa"/>
            <w:bottom w:w="0" w:type="dxa"/>
            <w:right w:w="0" w:type="dxa"/>
          </w:tblCellMar>
        </w:tblPrEx>
        <w:trPr>
          <w:trHeight w:val="60"/>
        </w:trPr>
        <w:tc>
          <w:tcPr>
            <w:tcW w:w="1503" w:type="dxa"/>
            <w:tcBorders>
              <w:top w:val="dotted" w:color="542E8E" w:sz="4" w:space="0"/>
              <w:left w:val="nil"/>
              <w:bottom w:val="single" w:color="542E8E" w:sz="4" w:space="0"/>
              <w:right w:val="nil"/>
            </w:tcBorders>
            <w:shd w:val="solid" w:color="FFFFFF" w:fill="auto"/>
            <w:tcMar>
              <w:top w:w="68" w:type="dxa"/>
              <w:left w:w="57" w:type="dxa"/>
              <w:bottom w:w="68" w:type="dxa"/>
              <w:right w:w="57" w:type="dxa"/>
            </w:tcMar>
            <w:vAlign w:val="center"/>
          </w:tcPr>
          <w:p w:rsidR="000D6E6A" w:rsidRDefault="000D6E6A">
            <w:pPr>
              <w:pStyle w:val="bodycopytabletable"/>
            </w:pPr>
            <w:r>
              <w:rPr>
                <w:sz w:val="14"/>
                <w:szCs w:val="14"/>
              </w:rPr>
              <w:t>Corrections system expansion*</w:t>
            </w:r>
          </w:p>
        </w:tc>
        <w:tc>
          <w:tcPr>
            <w:tcW w:w="992" w:type="dxa"/>
            <w:tcBorders>
              <w:top w:val="dotted" w:color="542E8E" w:sz="4" w:space="0"/>
              <w:left w:val="nil"/>
              <w:bottom w:val="single" w:color="542E8E" w:sz="4" w:space="0"/>
              <w:right w:val="nil"/>
            </w:tcBorders>
            <w:shd w:val="solid" w:color="FFFFFF" w:fill="auto"/>
            <w:tcMar>
              <w:top w:w="68" w:type="dxa"/>
              <w:left w:w="57" w:type="dxa"/>
              <w:bottom w:w="68" w:type="dxa"/>
              <w:right w:w="57" w:type="dxa"/>
            </w:tcMar>
            <w:vAlign w:val="center"/>
          </w:tcPr>
          <w:p w:rsidR="000D6E6A" w:rsidRDefault="000D6E6A">
            <w:pPr>
              <w:pStyle w:val="bodycopytabletable"/>
              <w:jc w:val="right"/>
            </w:pPr>
            <w:r>
              <w:rPr>
                <w:sz w:val="14"/>
                <w:szCs w:val="14"/>
              </w:rPr>
              <w:t>June 2018</w:t>
            </w:r>
          </w:p>
        </w:tc>
        <w:tc>
          <w:tcPr>
            <w:tcW w:w="1134" w:type="dxa"/>
            <w:tcBorders>
              <w:top w:val="dotted" w:color="542E8E" w:sz="4" w:space="0"/>
              <w:left w:val="nil"/>
              <w:bottom w:val="single" w:color="542E8E" w:sz="4" w:space="0"/>
              <w:right w:val="nil"/>
            </w:tcBorders>
            <w:shd w:val="solid" w:color="FFFFFF" w:fill="auto"/>
            <w:tcMar>
              <w:top w:w="68" w:type="dxa"/>
              <w:left w:w="57" w:type="dxa"/>
              <w:bottom w:w="68" w:type="dxa"/>
              <w:right w:w="57" w:type="dxa"/>
            </w:tcMar>
            <w:vAlign w:val="center"/>
          </w:tcPr>
          <w:p w:rsidR="000D6E6A" w:rsidRDefault="000D6E6A">
            <w:pPr>
              <w:pStyle w:val="bodycopytabletable"/>
              <w:jc w:val="right"/>
            </w:pPr>
            <w:r>
              <w:rPr>
                <w:sz w:val="14"/>
                <w:szCs w:val="14"/>
              </w:rPr>
              <w:t>June 2018</w:t>
            </w:r>
          </w:p>
        </w:tc>
        <w:tc>
          <w:tcPr>
            <w:tcW w:w="1417" w:type="dxa"/>
            <w:tcBorders>
              <w:top w:val="dotted" w:color="542E8E" w:sz="4" w:space="0"/>
              <w:left w:val="nil"/>
              <w:bottom w:val="single" w:color="542E8E" w:sz="4" w:space="0"/>
              <w:right w:val="nil"/>
            </w:tcBorders>
            <w:shd w:val="solid" w:color="FFFFFF" w:fill="auto"/>
            <w:tcMar>
              <w:top w:w="68" w:type="dxa"/>
              <w:left w:w="57" w:type="dxa"/>
              <w:bottom w:w="68" w:type="dxa"/>
              <w:right w:w="57" w:type="dxa"/>
            </w:tcMar>
            <w:vAlign w:val="center"/>
          </w:tcPr>
          <w:p w:rsidR="000D6E6A" w:rsidRDefault="000D6E6A">
            <w:pPr>
              <w:pStyle w:val="bodycopytabletable"/>
              <w:jc w:val="right"/>
            </w:pPr>
            <w:r>
              <w:rPr>
                <w:sz w:val="14"/>
                <w:szCs w:val="14"/>
              </w:rPr>
              <w:t>140.760</w:t>
            </w:r>
          </w:p>
        </w:tc>
        <w:tc>
          <w:tcPr>
            <w:tcW w:w="1276" w:type="dxa"/>
            <w:tcBorders>
              <w:top w:val="dotted" w:color="542E8E" w:sz="4" w:space="0"/>
              <w:left w:val="nil"/>
              <w:bottom w:val="single" w:color="542E8E" w:sz="4" w:space="0"/>
              <w:right w:val="nil"/>
            </w:tcBorders>
            <w:shd w:val="solid" w:color="FFFFFF" w:fill="auto"/>
            <w:tcMar>
              <w:top w:w="68" w:type="dxa"/>
              <w:left w:w="57" w:type="dxa"/>
              <w:bottom w:w="68" w:type="dxa"/>
              <w:right w:w="57" w:type="dxa"/>
            </w:tcMar>
            <w:vAlign w:val="center"/>
          </w:tcPr>
          <w:p w:rsidR="000D6E6A" w:rsidRDefault="000D6E6A">
            <w:pPr>
              <w:pStyle w:val="bodycopytabletable"/>
              <w:jc w:val="right"/>
            </w:pPr>
            <w:r>
              <w:rPr>
                <w:sz w:val="14"/>
                <w:szCs w:val="14"/>
              </w:rPr>
              <w:t>19.460</w:t>
            </w:r>
          </w:p>
        </w:tc>
        <w:tc>
          <w:tcPr>
            <w:tcW w:w="851" w:type="dxa"/>
            <w:tcBorders>
              <w:top w:val="dotted" w:color="542E8E" w:sz="4" w:space="0"/>
              <w:left w:val="nil"/>
              <w:bottom w:val="single" w:color="542E8E" w:sz="4" w:space="0"/>
              <w:right w:val="nil"/>
            </w:tcBorders>
            <w:shd w:val="solid" w:color="FFFFFF" w:fill="auto"/>
            <w:tcMar>
              <w:top w:w="68" w:type="dxa"/>
              <w:left w:w="57" w:type="dxa"/>
              <w:bottom w:w="68" w:type="dxa"/>
              <w:right w:w="57" w:type="dxa"/>
            </w:tcMar>
            <w:vAlign w:val="center"/>
          </w:tcPr>
          <w:p w:rsidR="000D6E6A" w:rsidRDefault="000D6E6A">
            <w:pPr>
              <w:pStyle w:val="bodycopytabletable"/>
              <w:jc w:val="right"/>
            </w:pPr>
            <w:r>
              <w:rPr>
                <w:sz w:val="14"/>
                <w:szCs w:val="14"/>
              </w:rPr>
              <w:t>19.460</w:t>
            </w:r>
          </w:p>
        </w:tc>
        <w:tc>
          <w:tcPr>
            <w:tcW w:w="1701" w:type="dxa"/>
            <w:tcBorders>
              <w:top w:val="dotted" w:color="542E8E" w:sz="4" w:space="0"/>
              <w:left w:val="nil"/>
              <w:bottom w:val="single" w:color="542E8E" w:sz="4" w:space="0"/>
              <w:right w:val="nil"/>
            </w:tcBorders>
            <w:shd w:val="solid" w:color="FFFFFF" w:fill="auto"/>
            <w:tcMar>
              <w:top w:w="68" w:type="dxa"/>
              <w:left w:w="57" w:type="dxa"/>
              <w:bottom w:w="68" w:type="dxa"/>
              <w:right w:w="57" w:type="dxa"/>
            </w:tcMar>
            <w:vAlign w:val="center"/>
          </w:tcPr>
          <w:p w:rsidR="000D6E6A" w:rsidRDefault="000D6E6A">
            <w:pPr>
              <w:pStyle w:val="bodycopytabletable"/>
              <w:jc w:val="right"/>
            </w:pPr>
            <w:r>
              <w:rPr>
                <w:sz w:val="14"/>
                <w:szCs w:val="14"/>
              </w:rPr>
              <w:t>0</w:t>
            </w:r>
          </w:p>
        </w:tc>
        <w:tc>
          <w:tcPr>
            <w:tcW w:w="1275" w:type="dxa"/>
            <w:tcBorders>
              <w:top w:val="dotted" w:color="542E8E" w:sz="4" w:space="0"/>
              <w:left w:val="nil"/>
              <w:bottom w:val="single" w:color="542E8E" w:sz="4" w:space="0"/>
              <w:right w:val="nil"/>
            </w:tcBorders>
            <w:shd w:val="solid" w:color="FFFFFF" w:fill="auto"/>
            <w:tcMar>
              <w:top w:w="68" w:type="dxa"/>
              <w:left w:w="57" w:type="dxa"/>
              <w:bottom w:w="68" w:type="dxa"/>
              <w:right w:w="57" w:type="dxa"/>
            </w:tcMar>
            <w:vAlign w:val="center"/>
          </w:tcPr>
          <w:p w:rsidR="000D6E6A" w:rsidRDefault="000D6E6A">
            <w:pPr>
              <w:pStyle w:val="bodycopytabletable"/>
              <w:jc w:val="right"/>
            </w:pPr>
            <w:r>
              <w:rPr>
                <w:sz w:val="14"/>
                <w:szCs w:val="14"/>
              </w:rPr>
              <w:t>See below</w:t>
            </w:r>
          </w:p>
        </w:tc>
      </w:tr>
    </w:tbl>
    <w:p w:rsidR="000D6E6A" w:rsidP="009B6B2A" w:rsidRDefault="000D6E6A">
      <w:pPr>
        <w:pStyle w:val="notesspantable"/>
        <w:spacing w:before="60"/>
      </w:pPr>
      <w:r>
        <w:t xml:space="preserve">Notes: </w:t>
      </w:r>
    </w:p>
    <w:p w:rsidR="000D6E6A" w:rsidRDefault="000D6E6A">
      <w:pPr>
        <w:pStyle w:val="notesspantable"/>
      </w:pPr>
      <w:r>
        <w:t>*Corrections system expansion</w:t>
      </w:r>
    </w:p>
    <w:p w:rsidR="000D6E6A" w:rsidRDefault="000D6E6A">
      <w:pPr>
        <w:pStyle w:val="notesspantable"/>
      </w:pPr>
      <w:r>
        <w:t>Funding from the original TEI has been redirected to a range of projects within the Corrections space, including:</w:t>
      </w:r>
    </w:p>
    <w:p w:rsidR="000D6E6A" w:rsidRDefault="000D6E6A">
      <w:pPr>
        <w:pStyle w:val="notesspantable"/>
      </w:pPr>
      <w:r>
        <w:t xml:space="preserve">• $10m to upgrade the </w:t>
      </w:r>
      <w:proofErr w:type="spellStart"/>
      <w:r>
        <w:t>Karreenga</w:t>
      </w:r>
      <w:proofErr w:type="spellEnd"/>
      <w:r>
        <w:t xml:space="preserve"> Annex at </w:t>
      </w:r>
      <w:proofErr w:type="spellStart"/>
      <w:r>
        <w:t>Margoneet</w:t>
      </w:r>
      <w:proofErr w:type="spellEnd"/>
      <w:r>
        <w:t xml:space="preserve"> Correctional Centre</w:t>
      </w:r>
    </w:p>
    <w:p w:rsidR="000D6E6A" w:rsidRDefault="000D6E6A">
      <w:pPr>
        <w:pStyle w:val="notesspantable"/>
      </w:pPr>
      <w:r>
        <w:t>• $22.4m towards the Critical Infrastructure and Services project</w:t>
      </w:r>
    </w:p>
    <w:p w:rsidR="000D6E6A" w:rsidRDefault="000D6E6A">
      <w:pPr>
        <w:pStyle w:val="notesspantable"/>
      </w:pPr>
      <w:r>
        <w:t>• $25m towards the Correction Remand upgrades</w:t>
      </w:r>
    </w:p>
    <w:p w:rsidR="000D6E6A" w:rsidRDefault="000D6E6A">
      <w:pPr>
        <w:pStyle w:val="notesspantable"/>
      </w:pPr>
      <w:r>
        <w:t xml:space="preserve">• $33.8m to be moved to the </w:t>
      </w:r>
      <w:proofErr w:type="spellStart"/>
      <w:r>
        <w:t>Womens</w:t>
      </w:r>
      <w:proofErr w:type="spellEnd"/>
      <w:r>
        <w:t xml:space="preserve"> Prison Expansion project for additional accommodation at Dame Phyllis Frost Centre</w:t>
      </w:r>
    </w:p>
    <w:p w:rsidR="000D6E6A" w:rsidRDefault="000D6E6A">
      <w:pPr>
        <w:pStyle w:val="notesspanlastrowtable"/>
      </w:pPr>
      <w:r>
        <w:t>• $67.2m to the Prison Capacity Expansion initiative accommodation and infrastructure works at Fulham Prison.</w:t>
      </w:r>
    </w:p>
    <w:p w:rsidR="000D6E6A" w:rsidRDefault="000D6E6A">
      <w:pPr>
        <w:pStyle w:val="H2"/>
        <w:rPr>
          <w:i/>
          <w:iCs/>
        </w:rPr>
      </w:pPr>
      <w:r>
        <w:t>Statement of compliance with the Building Act 1993</w:t>
      </w:r>
    </w:p>
    <w:p w:rsidR="000D6E6A" w:rsidRDefault="000D6E6A">
      <w:pPr>
        <w:pStyle w:val="Bodycopy"/>
      </w:pPr>
      <w:r>
        <w:t xml:space="preserve">The Minister for Finance guidelines, pursuant to section 220 of the </w:t>
      </w:r>
      <w:r>
        <w:rPr>
          <w:rStyle w:val="italic"/>
        </w:rPr>
        <w:t>Building Act 1993</w:t>
      </w:r>
      <w:r>
        <w:t>, promote better standards for buildings owned by the Crown and public authorities, and require entities to report on achievements. The department is responsible for 84 properties used for legal, court, prison and emergency services. Other corporate entities within the Justice portfolio, such as the CFA, the MFB and Victoria Police, report separately on building compliance issues.</w:t>
      </w:r>
    </w:p>
    <w:p w:rsidR="000D6E6A" w:rsidRDefault="000D6E6A">
      <w:pPr>
        <w:pStyle w:val="H4"/>
      </w:pPr>
      <w:r>
        <w:t>New buildings conforming to standards</w:t>
      </w:r>
    </w:p>
    <w:p w:rsidR="000D6E6A" w:rsidRDefault="000D6E6A">
      <w:pPr>
        <w:pStyle w:val="Bodycopy"/>
      </w:pPr>
      <w:r>
        <w:t>In 2017–18, all works controlled by the department were required to be conducted in accordance with the provisions of the Building Act, relevant building regulations and other statutory requirements.</w:t>
      </w:r>
    </w:p>
    <w:p w:rsidR="000D6E6A" w:rsidRDefault="000D6E6A">
      <w:pPr>
        <w:pStyle w:val="Bodycopy"/>
      </w:pPr>
      <w:r>
        <w:t>The department maintains appropriate mechanisms to ensure compliance, including the issuing of building permits and occupancy certificates and inspection of works. Agencies of the department are exempt from lodging building plans with local councils.</w:t>
      </w:r>
    </w:p>
    <w:p w:rsidR="000D6E6A" w:rsidRDefault="000D6E6A">
      <w:pPr>
        <w:pStyle w:val="H4"/>
      </w:pPr>
      <w:r>
        <w:t>Buildings maintained in a safe and serviceable condition</w:t>
      </w:r>
    </w:p>
    <w:p w:rsidR="000D6E6A" w:rsidRDefault="000D6E6A">
      <w:pPr>
        <w:pStyle w:val="Bodycopy"/>
      </w:pPr>
      <w:r>
        <w:t>Mechanisms in place within the department to ensure buildings are maintained in a safe and serviceable condition include:</w:t>
      </w:r>
    </w:p>
    <w:p w:rsidR="000D6E6A" w:rsidRDefault="000D6E6A">
      <w:pPr>
        <w:pStyle w:val="BodycopyBullet"/>
      </w:pPr>
      <w:r>
        <w:t>a contract with an external service provider to manage all building essential service tasks, in accordance with legislative requirements</w:t>
      </w:r>
    </w:p>
    <w:p w:rsidR="000D6E6A" w:rsidRDefault="000D6E6A">
      <w:pPr>
        <w:pStyle w:val="BodycopyBullet"/>
      </w:pPr>
      <w:r>
        <w:t>the development of a departmental works program forming part of the overall departmental investment strategy</w:t>
      </w:r>
    </w:p>
    <w:p w:rsidR="000D6E6A" w:rsidRDefault="000D6E6A">
      <w:pPr>
        <w:pStyle w:val="BodycopyBulletspaceunder"/>
      </w:pPr>
      <w:r>
        <w:t>a program to monitor and review effectiveness of these mechanisms.</w:t>
      </w:r>
    </w:p>
    <w:p w:rsidR="000D6E6A" w:rsidRDefault="000D6E6A">
      <w:pPr>
        <w:pStyle w:val="H4"/>
      </w:pPr>
      <w:r>
        <w:t>Existing buildings conforming to standards</w:t>
      </w:r>
    </w:p>
    <w:p w:rsidR="000D6E6A" w:rsidRDefault="000D6E6A">
      <w:pPr>
        <w:pStyle w:val="Bodycopy"/>
      </w:pPr>
      <w:r>
        <w:t>All departmental buildings comply with the Minister for Finance guidelines. The mechanisms established by the department are intended to maintain compliance and the effectiveness of those mechanisms is continuously monitored.</w:t>
      </w:r>
    </w:p>
    <w:p w:rsidR="000D6E6A" w:rsidRDefault="000D6E6A">
      <w:pPr>
        <w:pStyle w:val="H4"/>
      </w:pPr>
      <w:r>
        <w:t>Registered building practitioners</w:t>
      </w:r>
    </w:p>
    <w:p w:rsidR="000D6E6A" w:rsidRDefault="000D6E6A">
      <w:pPr>
        <w:pStyle w:val="Bodycopy"/>
      </w:pPr>
      <w:r>
        <w:t>The department requires building practitioners carrying out building works to be registered and for registration to be maintained throughout the course of the works.</w:t>
      </w:r>
    </w:p>
    <w:p w:rsidR="000D6E6A" w:rsidRDefault="000D6E6A">
      <w:pPr>
        <w:pStyle w:val="Bodycopy"/>
        <w:rPr>
          <w:rStyle w:val="RegularItalic"/>
        </w:rPr>
      </w:pPr>
      <w:r>
        <w:rPr>
          <w:rStyle w:val="RegularItalic"/>
        </w:rPr>
        <w:t>Capital projects commenced and completed 2017–18</w:t>
      </w:r>
    </w:p>
    <w:tbl>
      <w:tblPr>
        <w:tblW w:w="0" w:type="auto"/>
        <w:tblInd w:w="57" w:type="dxa"/>
        <w:tblLayout w:type="fixed"/>
        <w:tblCellMar>
          <w:left w:w="0" w:type="dxa"/>
          <w:right w:w="0" w:type="dxa"/>
        </w:tblCellMar>
        <w:tblLook w:firstRow="0" w:lastRow="0" w:firstColumn="0" w:lastColumn="0" w:noHBand="0" w:noVBand="0" w:val="0000"/>
      </w:tblPr>
      <w:tblGrid>
        <w:gridCol w:w="4905"/>
        <w:gridCol w:w="1275"/>
        <w:gridCol w:w="3969"/>
      </w:tblGrid>
      <w:tr w:rsidR="000D6E6A" w:rsidTr="009B6B2A">
        <w:tblPrEx>
          <w:tblCellMar>
            <w:top w:w="0" w:type="dxa"/>
            <w:left w:w="0" w:type="dxa"/>
            <w:bottom w:w="0" w:type="dxa"/>
            <w:right w:w="0" w:type="dxa"/>
          </w:tblCellMar>
        </w:tblPrEx>
        <w:trPr>
          <w:trHeight w:val="60"/>
          <w:tblHeader/>
        </w:trPr>
        <w:tc>
          <w:tcPr>
            <w:tcW w:w="4905" w:type="dxa"/>
            <w:tcBorders>
              <w:top w:val="dotted" w:color="000000" w:sz="6" w:space="0"/>
              <w:left w:val="nil"/>
              <w:bottom w:val="single" w:color="542E8E" w:sz="6" w:space="0"/>
              <w:right w:val="nil"/>
            </w:tcBorders>
            <w:shd w:val="solid" w:color="FFFFFF" w:fill="auto"/>
            <w:tcMar>
              <w:top w:w="68" w:type="dxa"/>
              <w:left w:w="57" w:type="dxa"/>
              <w:bottom w:w="68" w:type="dxa"/>
              <w:right w:w="57" w:type="dxa"/>
            </w:tcMar>
            <w:vAlign w:val="bottom"/>
          </w:tcPr>
          <w:p w:rsidR="000D6E6A" w:rsidRDefault="000D6E6A">
            <w:pPr>
              <w:pStyle w:val="bodycopytabletable"/>
            </w:pPr>
            <w:r>
              <w:rPr>
                <w:rStyle w:val="mediumpurple"/>
                <w:b/>
                <w:bCs/>
              </w:rPr>
              <w:t>Capital project</w:t>
            </w:r>
          </w:p>
        </w:tc>
        <w:tc>
          <w:tcPr>
            <w:tcW w:w="1275" w:type="dxa"/>
            <w:tcBorders>
              <w:top w:val="dotted" w:color="000000" w:sz="6" w:space="0"/>
              <w:left w:val="nil"/>
              <w:bottom w:val="single" w:color="542E8E" w:sz="6" w:space="0"/>
              <w:right w:val="nil"/>
            </w:tcBorders>
            <w:shd w:val="solid" w:color="FFFFFF" w:fill="auto"/>
            <w:tcMar>
              <w:top w:w="68" w:type="dxa"/>
              <w:left w:w="57" w:type="dxa"/>
              <w:bottom w:w="68" w:type="dxa"/>
              <w:right w:w="57" w:type="dxa"/>
            </w:tcMar>
            <w:vAlign w:val="bottom"/>
          </w:tcPr>
          <w:p w:rsidR="000D6E6A" w:rsidRDefault="000D6E6A">
            <w:pPr>
              <w:pStyle w:val="bodycopytabletable"/>
              <w:jc w:val="center"/>
            </w:pPr>
            <w:r>
              <w:rPr>
                <w:rStyle w:val="mediumpurple"/>
                <w:b/>
                <w:bCs/>
              </w:rPr>
              <w:t>Total project budget ($m)</w:t>
            </w:r>
          </w:p>
        </w:tc>
        <w:tc>
          <w:tcPr>
            <w:tcW w:w="3969" w:type="dxa"/>
            <w:tcBorders>
              <w:top w:val="dotted" w:color="000000" w:sz="6" w:space="0"/>
              <w:left w:val="nil"/>
              <w:bottom w:val="single" w:color="542E8E" w:sz="6" w:space="0"/>
              <w:right w:val="nil"/>
            </w:tcBorders>
            <w:shd w:val="solid" w:color="FFFFFF" w:fill="auto"/>
            <w:tcMar>
              <w:top w:w="68" w:type="dxa"/>
              <w:left w:w="57" w:type="dxa"/>
              <w:bottom w:w="68" w:type="dxa"/>
              <w:right w:w="57" w:type="dxa"/>
            </w:tcMar>
            <w:vAlign w:val="bottom"/>
          </w:tcPr>
          <w:p w:rsidR="000D6E6A" w:rsidRDefault="000D6E6A">
            <w:pPr>
              <w:pStyle w:val="bodycopytabletable"/>
            </w:pPr>
            <w:r>
              <w:rPr>
                <w:rStyle w:val="mediumpurple"/>
                <w:b/>
                <w:bCs/>
              </w:rPr>
              <w:t>Permits issued and works to be certified at end</w:t>
            </w:r>
          </w:p>
        </w:tc>
      </w:tr>
      <w:tr w:rsidR="000D6E6A" w:rsidTr="009B6B2A">
        <w:tblPrEx>
          <w:tblCellMar>
            <w:top w:w="0" w:type="dxa"/>
            <w:left w:w="0" w:type="dxa"/>
            <w:bottom w:w="0" w:type="dxa"/>
            <w:right w:w="0" w:type="dxa"/>
          </w:tblCellMar>
        </w:tblPrEx>
        <w:trPr>
          <w:trHeight w:val="60"/>
        </w:trPr>
        <w:tc>
          <w:tcPr>
            <w:tcW w:w="10149" w:type="dxa"/>
            <w:gridSpan w:val="3"/>
            <w:tcBorders>
              <w:top w:val="single" w:color="542E8E" w:sz="4" w:space="0"/>
              <w:left w:val="nil"/>
              <w:bottom w:val="single" w:color="542E8E" w:sz="4" w:space="0"/>
              <w:right w:val="nil"/>
            </w:tcBorders>
            <w:tcMar>
              <w:top w:w="85" w:type="dxa"/>
              <w:left w:w="57" w:type="dxa"/>
              <w:bottom w:w="85" w:type="dxa"/>
              <w:right w:w="57" w:type="dxa"/>
            </w:tcMar>
            <w:vAlign w:val="center"/>
          </w:tcPr>
          <w:p w:rsidR="000D6E6A" w:rsidRDefault="000D6E6A">
            <w:pPr>
              <w:pStyle w:val="bodycopytabletable"/>
            </w:pPr>
            <w:r>
              <w:rPr>
                <w:rStyle w:val="Purple"/>
              </w:rPr>
              <w:t>Commenced</w:t>
            </w:r>
          </w:p>
        </w:tc>
      </w:tr>
      <w:tr w:rsidR="000D6E6A" w:rsidTr="009B6B2A">
        <w:tblPrEx>
          <w:tblCellMar>
            <w:top w:w="0" w:type="dxa"/>
            <w:left w:w="0" w:type="dxa"/>
            <w:bottom w:w="0" w:type="dxa"/>
            <w:right w:w="0" w:type="dxa"/>
          </w:tblCellMar>
        </w:tblPrEx>
        <w:trPr>
          <w:trHeight w:val="60"/>
        </w:trPr>
        <w:tc>
          <w:tcPr>
            <w:tcW w:w="4905" w:type="dxa"/>
            <w:tcBorders>
              <w:top w:val="single"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proofErr w:type="spellStart"/>
            <w:r>
              <w:t>Barwon</w:t>
            </w:r>
            <w:proofErr w:type="spellEnd"/>
            <w:r>
              <w:t xml:space="preserve"> prison – gatehouse, medical and clinical upgrade, kitchen upgrade</w:t>
            </w:r>
          </w:p>
        </w:tc>
        <w:tc>
          <w:tcPr>
            <w:tcW w:w="1275" w:type="dxa"/>
            <w:tcBorders>
              <w:top w:val="single"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jc w:val="center"/>
            </w:pPr>
            <w:r>
              <w:t>34.72</w:t>
            </w:r>
          </w:p>
        </w:tc>
        <w:tc>
          <w:tcPr>
            <w:tcW w:w="3969" w:type="dxa"/>
            <w:tcBorders>
              <w:top w:val="single"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Permits issued and works to be certified at end</w:t>
            </w:r>
          </w:p>
        </w:tc>
      </w:tr>
      <w:tr w:rsidR="000D6E6A" w:rsidTr="009B6B2A">
        <w:tblPrEx>
          <w:tblCellMar>
            <w:top w:w="0" w:type="dxa"/>
            <w:left w:w="0" w:type="dxa"/>
            <w:bottom w:w="0" w:type="dxa"/>
            <w:right w:w="0" w:type="dxa"/>
          </w:tblCellMar>
        </w:tblPrEx>
        <w:trPr>
          <w:trHeight w:val="60"/>
        </w:trPr>
        <w:tc>
          <w:tcPr>
            <w:tcW w:w="490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proofErr w:type="spellStart"/>
            <w:r>
              <w:t>Barwon</w:t>
            </w:r>
            <w:proofErr w:type="spellEnd"/>
            <w:r>
              <w:t xml:space="preserve"> prison – detention unit</w:t>
            </w:r>
          </w:p>
        </w:tc>
        <w:tc>
          <w:tcPr>
            <w:tcW w:w="127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jc w:val="center"/>
            </w:pPr>
            <w:r>
              <w:t>21.22</w:t>
            </w:r>
          </w:p>
        </w:tc>
        <w:tc>
          <w:tcPr>
            <w:tcW w:w="3969"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Permits issued and works to be certified at end</w:t>
            </w:r>
          </w:p>
        </w:tc>
      </w:tr>
      <w:tr w:rsidR="000D6E6A" w:rsidTr="009B6B2A">
        <w:tblPrEx>
          <w:tblCellMar>
            <w:top w:w="0" w:type="dxa"/>
            <w:left w:w="0" w:type="dxa"/>
            <w:bottom w:w="0" w:type="dxa"/>
            <w:right w:w="0" w:type="dxa"/>
          </w:tblCellMar>
        </w:tblPrEx>
        <w:trPr>
          <w:trHeight w:val="60"/>
        </w:trPr>
        <w:tc>
          <w:tcPr>
            <w:tcW w:w="490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proofErr w:type="spellStart"/>
            <w:r>
              <w:t>Barwon</w:t>
            </w:r>
            <w:proofErr w:type="spellEnd"/>
            <w:r>
              <w:t xml:space="preserve"> prison – cell intercom upgrade works</w:t>
            </w:r>
          </w:p>
        </w:tc>
        <w:tc>
          <w:tcPr>
            <w:tcW w:w="127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jc w:val="center"/>
            </w:pPr>
            <w:r>
              <w:t>3.86</w:t>
            </w:r>
          </w:p>
        </w:tc>
        <w:tc>
          <w:tcPr>
            <w:tcW w:w="3969"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Permits issued and works to be certified at end</w:t>
            </w:r>
          </w:p>
        </w:tc>
      </w:tr>
      <w:tr w:rsidR="000D6E6A" w:rsidTr="009B6B2A">
        <w:tblPrEx>
          <w:tblCellMar>
            <w:top w:w="0" w:type="dxa"/>
            <w:left w:w="0" w:type="dxa"/>
            <w:bottom w:w="0" w:type="dxa"/>
            <w:right w:w="0" w:type="dxa"/>
          </w:tblCellMar>
        </w:tblPrEx>
        <w:trPr>
          <w:trHeight w:val="60"/>
        </w:trPr>
        <w:tc>
          <w:tcPr>
            <w:tcW w:w="490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proofErr w:type="spellStart"/>
            <w:r>
              <w:rPr>
                <w:spacing w:val="2"/>
              </w:rPr>
              <w:t>Barwon</w:t>
            </w:r>
            <w:proofErr w:type="spellEnd"/>
            <w:r>
              <w:rPr>
                <w:spacing w:val="2"/>
              </w:rPr>
              <w:t xml:space="preserve"> prison – </w:t>
            </w:r>
            <w:proofErr w:type="spellStart"/>
            <w:r>
              <w:rPr>
                <w:spacing w:val="2"/>
              </w:rPr>
              <w:t>stormwater</w:t>
            </w:r>
            <w:proofErr w:type="spellEnd"/>
            <w:r>
              <w:rPr>
                <w:spacing w:val="2"/>
              </w:rPr>
              <w:t xml:space="preserve"> harvesting </w:t>
            </w:r>
            <w:r>
              <w:rPr>
                <w:spacing w:val="2"/>
              </w:rPr>
              <w:br/>
            </w:r>
            <w:r>
              <w:t>(</w:t>
            </w:r>
            <w:proofErr w:type="spellStart"/>
            <w:r>
              <w:t>incl</w:t>
            </w:r>
            <w:proofErr w:type="spellEnd"/>
            <w:r>
              <w:t xml:space="preserve"> $0.3m redirected)</w:t>
            </w:r>
          </w:p>
        </w:tc>
        <w:tc>
          <w:tcPr>
            <w:tcW w:w="127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jc w:val="center"/>
            </w:pPr>
            <w:r>
              <w:t xml:space="preserve">1.20 </w:t>
            </w:r>
          </w:p>
        </w:tc>
        <w:tc>
          <w:tcPr>
            <w:tcW w:w="3969"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Permits issued and works to be certified at end</w:t>
            </w:r>
          </w:p>
        </w:tc>
      </w:tr>
      <w:tr w:rsidR="000D6E6A" w:rsidTr="009B6B2A">
        <w:tblPrEx>
          <w:tblCellMar>
            <w:top w:w="0" w:type="dxa"/>
            <w:left w:w="0" w:type="dxa"/>
            <w:bottom w:w="0" w:type="dxa"/>
            <w:right w:w="0" w:type="dxa"/>
          </w:tblCellMar>
        </w:tblPrEx>
        <w:trPr>
          <w:trHeight w:val="60"/>
        </w:trPr>
        <w:tc>
          <w:tcPr>
            <w:tcW w:w="490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Corella Place – strengthening works</w:t>
            </w:r>
          </w:p>
        </w:tc>
        <w:tc>
          <w:tcPr>
            <w:tcW w:w="127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jc w:val="center"/>
            </w:pPr>
            <w:r>
              <w:t>5.00</w:t>
            </w:r>
          </w:p>
        </w:tc>
        <w:tc>
          <w:tcPr>
            <w:tcW w:w="3969"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Permits issued and works to be certified at end</w:t>
            </w:r>
          </w:p>
        </w:tc>
      </w:tr>
      <w:tr w:rsidR="000D6E6A" w:rsidTr="009B6B2A">
        <w:tblPrEx>
          <w:tblCellMar>
            <w:top w:w="0" w:type="dxa"/>
            <w:left w:w="0" w:type="dxa"/>
            <w:bottom w:w="0" w:type="dxa"/>
            <w:right w:w="0" w:type="dxa"/>
          </w:tblCellMar>
        </w:tblPrEx>
        <w:trPr>
          <w:trHeight w:val="60"/>
        </w:trPr>
        <w:tc>
          <w:tcPr>
            <w:tcW w:w="490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 xml:space="preserve">Dame Phyllis Frost Centre – critical infrastructure </w:t>
            </w:r>
          </w:p>
        </w:tc>
        <w:tc>
          <w:tcPr>
            <w:tcW w:w="127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jc w:val="center"/>
            </w:pPr>
            <w:r>
              <w:t>22.09</w:t>
            </w:r>
          </w:p>
        </w:tc>
        <w:tc>
          <w:tcPr>
            <w:tcW w:w="3969"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Permits issued and works to be certified at end</w:t>
            </w:r>
          </w:p>
        </w:tc>
      </w:tr>
      <w:tr w:rsidR="000D6E6A" w:rsidTr="009B6B2A">
        <w:tblPrEx>
          <w:tblCellMar>
            <w:top w:w="0" w:type="dxa"/>
            <w:left w:w="0" w:type="dxa"/>
            <w:bottom w:w="0" w:type="dxa"/>
            <w:right w:w="0" w:type="dxa"/>
          </w:tblCellMar>
        </w:tblPrEx>
        <w:trPr>
          <w:trHeight w:val="60"/>
        </w:trPr>
        <w:tc>
          <w:tcPr>
            <w:tcW w:w="490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Intermediate Secure facility - Ararat</w:t>
            </w:r>
          </w:p>
        </w:tc>
        <w:tc>
          <w:tcPr>
            <w:tcW w:w="127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jc w:val="center"/>
            </w:pPr>
            <w:r>
              <w:t>52.78</w:t>
            </w:r>
          </w:p>
        </w:tc>
        <w:tc>
          <w:tcPr>
            <w:tcW w:w="3969"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Permits issued and works to be certified at end</w:t>
            </w:r>
          </w:p>
        </w:tc>
      </w:tr>
      <w:tr w:rsidR="000D6E6A" w:rsidTr="009B6B2A">
        <w:tblPrEx>
          <w:tblCellMar>
            <w:top w:w="0" w:type="dxa"/>
            <w:left w:w="0" w:type="dxa"/>
            <w:bottom w:w="0" w:type="dxa"/>
            <w:right w:w="0" w:type="dxa"/>
          </w:tblCellMar>
        </w:tblPrEx>
        <w:trPr>
          <w:trHeight w:val="60"/>
        </w:trPr>
        <w:tc>
          <w:tcPr>
            <w:tcW w:w="490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 xml:space="preserve">Justice Accommodation Expansion Program (JAEP) – Justice </w:t>
            </w:r>
            <w:r>
              <w:lastRenderedPageBreak/>
              <w:t xml:space="preserve">Service Centre (JSC) </w:t>
            </w:r>
            <w:proofErr w:type="spellStart"/>
            <w:r>
              <w:t>Warragul</w:t>
            </w:r>
            <w:proofErr w:type="spellEnd"/>
            <w:r>
              <w:t xml:space="preserve"> </w:t>
            </w:r>
          </w:p>
        </w:tc>
        <w:tc>
          <w:tcPr>
            <w:tcW w:w="127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jc w:val="center"/>
            </w:pPr>
            <w:r>
              <w:lastRenderedPageBreak/>
              <w:t>1.63</w:t>
            </w:r>
          </w:p>
        </w:tc>
        <w:tc>
          <w:tcPr>
            <w:tcW w:w="3969"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Permits issued and works to be certified at end</w:t>
            </w:r>
          </w:p>
        </w:tc>
      </w:tr>
      <w:tr w:rsidR="000D6E6A" w:rsidTr="009B6B2A">
        <w:tblPrEx>
          <w:tblCellMar>
            <w:top w:w="0" w:type="dxa"/>
            <w:left w:w="0" w:type="dxa"/>
            <w:bottom w:w="0" w:type="dxa"/>
            <w:right w:w="0" w:type="dxa"/>
          </w:tblCellMar>
        </w:tblPrEx>
        <w:trPr>
          <w:trHeight w:val="60"/>
        </w:trPr>
        <w:tc>
          <w:tcPr>
            <w:tcW w:w="490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 xml:space="preserve">JAEP - JSC Melton </w:t>
            </w:r>
          </w:p>
        </w:tc>
        <w:tc>
          <w:tcPr>
            <w:tcW w:w="127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jc w:val="center"/>
            </w:pPr>
            <w:r>
              <w:t>1.90</w:t>
            </w:r>
          </w:p>
        </w:tc>
        <w:tc>
          <w:tcPr>
            <w:tcW w:w="3969"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Permits issued and works to be certified at end</w:t>
            </w:r>
          </w:p>
        </w:tc>
      </w:tr>
      <w:tr w:rsidR="000D6E6A" w:rsidTr="009B6B2A">
        <w:tblPrEx>
          <w:tblCellMar>
            <w:top w:w="0" w:type="dxa"/>
            <w:left w:w="0" w:type="dxa"/>
            <w:bottom w:w="0" w:type="dxa"/>
            <w:right w:w="0" w:type="dxa"/>
          </w:tblCellMar>
        </w:tblPrEx>
        <w:trPr>
          <w:trHeight w:val="60"/>
        </w:trPr>
        <w:tc>
          <w:tcPr>
            <w:tcW w:w="490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 xml:space="preserve">Langi </w:t>
            </w:r>
            <w:proofErr w:type="spellStart"/>
            <w:r>
              <w:t>Kal</w:t>
            </w:r>
            <w:proofErr w:type="spellEnd"/>
            <w:r>
              <w:t xml:space="preserve"> </w:t>
            </w:r>
            <w:proofErr w:type="spellStart"/>
            <w:r>
              <w:t>Kal</w:t>
            </w:r>
            <w:proofErr w:type="spellEnd"/>
            <w:r>
              <w:t xml:space="preserve"> Waste Water Treatment Plant</w:t>
            </w:r>
          </w:p>
        </w:tc>
        <w:tc>
          <w:tcPr>
            <w:tcW w:w="127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jc w:val="center"/>
            </w:pPr>
            <w:r>
              <w:t>6.00</w:t>
            </w:r>
          </w:p>
        </w:tc>
        <w:tc>
          <w:tcPr>
            <w:tcW w:w="3969"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Permits issued and works to be certified at end</w:t>
            </w:r>
          </w:p>
        </w:tc>
      </w:tr>
      <w:tr w:rsidR="000D6E6A" w:rsidTr="009B6B2A">
        <w:tblPrEx>
          <w:tblCellMar>
            <w:top w:w="0" w:type="dxa"/>
            <w:left w:w="0" w:type="dxa"/>
            <w:bottom w:w="0" w:type="dxa"/>
            <w:right w:w="0" w:type="dxa"/>
          </w:tblCellMar>
        </w:tblPrEx>
        <w:trPr>
          <w:trHeight w:val="60"/>
        </w:trPr>
        <w:tc>
          <w:tcPr>
            <w:tcW w:w="490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Melbourne Assessment Prison – Acute Assessment Unit</w:t>
            </w:r>
          </w:p>
        </w:tc>
        <w:tc>
          <w:tcPr>
            <w:tcW w:w="127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jc w:val="center"/>
            </w:pPr>
            <w:r>
              <w:t>4.00</w:t>
            </w:r>
          </w:p>
        </w:tc>
        <w:tc>
          <w:tcPr>
            <w:tcW w:w="3969"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rPr>
                <w:spacing w:val="-4"/>
              </w:rPr>
              <w:t>Permits issued and works to be certified at en</w:t>
            </w:r>
            <w:r>
              <w:t>d</w:t>
            </w:r>
          </w:p>
        </w:tc>
      </w:tr>
      <w:tr w:rsidR="000D6E6A" w:rsidTr="009B6B2A">
        <w:tblPrEx>
          <w:tblCellMar>
            <w:top w:w="0" w:type="dxa"/>
            <w:left w:w="0" w:type="dxa"/>
            <w:bottom w:w="0" w:type="dxa"/>
            <w:right w:w="0" w:type="dxa"/>
          </w:tblCellMar>
        </w:tblPrEx>
        <w:trPr>
          <w:trHeight w:val="60"/>
        </w:trPr>
        <w:tc>
          <w:tcPr>
            <w:tcW w:w="490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Melbourne Assessment Prison – cellular accommodation (BDRP)</w:t>
            </w:r>
          </w:p>
        </w:tc>
        <w:tc>
          <w:tcPr>
            <w:tcW w:w="127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jc w:val="center"/>
            </w:pPr>
            <w:r>
              <w:t xml:space="preserve">10.01  </w:t>
            </w:r>
          </w:p>
        </w:tc>
        <w:tc>
          <w:tcPr>
            <w:tcW w:w="3969"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Permits issued and works to be certified at end</w:t>
            </w:r>
          </w:p>
        </w:tc>
      </w:tr>
      <w:tr w:rsidR="000D6E6A" w:rsidTr="009B6B2A">
        <w:tblPrEx>
          <w:tblCellMar>
            <w:top w:w="0" w:type="dxa"/>
            <w:left w:w="0" w:type="dxa"/>
            <w:bottom w:w="0" w:type="dxa"/>
            <w:right w:w="0" w:type="dxa"/>
          </w:tblCellMar>
        </w:tblPrEx>
        <w:trPr>
          <w:trHeight w:val="60"/>
        </w:trPr>
        <w:tc>
          <w:tcPr>
            <w:tcW w:w="490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New Youth Justice facility (Cherry Creek)</w:t>
            </w:r>
          </w:p>
        </w:tc>
        <w:tc>
          <w:tcPr>
            <w:tcW w:w="127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jc w:val="center"/>
            </w:pPr>
            <w:r>
              <w:t>288.70</w:t>
            </w:r>
          </w:p>
        </w:tc>
        <w:tc>
          <w:tcPr>
            <w:tcW w:w="3969"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Permits issued and works to be certified at end</w:t>
            </w:r>
          </w:p>
        </w:tc>
      </w:tr>
      <w:tr w:rsidR="000D6E6A" w:rsidTr="009B6B2A">
        <w:tblPrEx>
          <w:tblCellMar>
            <w:top w:w="0" w:type="dxa"/>
            <w:left w:w="0" w:type="dxa"/>
            <w:bottom w:w="0" w:type="dxa"/>
            <w:right w:w="0" w:type="dxa"/>
          </w:tblCellMar>
        </w:tblPrEx>
        <w:trPr>
          <w:trHeight w:val="60"/>
        </w:trPr>
        <w:tc>
          <w:tcPr>
            <w:tcW w:w="490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Strengthening of youth justice precincts</w:t>
            </w:r>
          </w:p>
        </w:tc>
        <w:tc>
          <w:tcPr>
            <w:tcW w:w="127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jc w:val="center"/>
            </w:pPr>
            <w:r>
              <w:t>56.10</w:t>
            </w:r>
          </w:p>
        </w:tc>
        <w:tc>
          <w:tcPr>
            <w:tcW w:w="3969"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Permits issued and works to be certified at end</w:t>
            </w:r>
          </w:p>
        </w:tc>
      </w:tr>
      <w:tr w:rsidR="000D6E6A" w:rsidTr="009B6B2A">
        <w:tblPrEx>
          <w:tblCellMar>
            <w:top w:w="0" w:type="dxa"/>
            <w:left w:w="0" w:type="dxa"/>
            <w:bottom w:w="0" w:type="dxa"/>
            <w:right w:w="0" w:type="dxa"/>
          </w:tblCellMar>
        </w:tblPrEx>
        <w:trPr>
          <w:trHeight w:val="60"/>
        </w:trPr>
        <w:tc>
          <w:tcPr>
            <w:tcW w:w="490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Port Philip prison – additional and refurbishment beds</w:t>
            </w:r>
          </w:p>
        </w:tc>
        <w:tc>
          <w:tcPr>
            <w:tcW w:w="127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jc w:val="center"/>
            </w:pPr>
            <w:r>
              <w:t xml:space="preserve">19.01 </w:t>
            </w:r>
          </w:p>
        </w:tc>
        <w:tc>
          <w:tcPr>
            <w:tcW w:w="3969"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Permits issued and works to be certified at end</w:t>
            </w:r>
          </w:p>
        </w:tc>
      </w:tr>
      <w:tr w:rsidR="000D6E6A" w:rsidTr="009B6B2A">
        <w:tblPrEx>
          <w:tblCellMar>
            <w:top w:w="0" w:type="dxa"/>
            <w:left w:w="0" w:type="dxa"/>
            <w:bottom w:w="0" w:type="dxa"/>
            <w:right w:w="0" w:type="dxa"/>
          </w:tblCellMar>
        </w:tblPrEx>
        <w:trPr>
          <w:trHeight w:val="60"/>
        </w:trPr>
        <w:tc>
          <w:tcPr>
            <w:tcW w:w="490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50 Franklin Street Melbourne – fitout (including $2.5m redirected)</w:t>
            </w:r>
          </w:p>
        </w:tc>
        <w:tc>
          <w:tcPr>
            <w:tcW w:w="127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jc w:val="center"/>
            </w:pPr>
            <w:r>
              <w:t>30.10</w:t>
            </w:r>
          </w:p>
        </w:tc>
        <w:tc>
          <w:tcPr>
            <w:tcW w:w="3969"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Permits issued and works to be certified at end</w:t>
            </w:r>
          </w:p>
        </w:tc>
      </w:tr>
      <w:tr w:rsidR="000D6E6A" w:rsidTr="009B6B2A">
        <w:tblPrEx>
          <w:tblCellMar>
            <w:top w:w="0" w:type="dxa"/>
            <w:left w:w="0" w:type="dxa"/>
            <w:bottom w:w="0" w:type="dxa"/>
            <w:right w:w="0" w:type="dxa"/>
          </w:tblCellMar>
        </w:tblPrEx>
        <w:trPr>
          <w:trHeight w:val="60"/>
        </w:trPr>
        <w:tc>
          <w:tcPr>
            <w:tcW w:w="4905" w:type="dxa"/>
            <w:tcBorders>
              <w:top w:val="dotted" w:color="542E8E" w:sz="4" w:space="0"/>
              <w:left w:val="nil"/>
              <w:bottom w:val="single" w:color="542E8E" w:sz="4" w:space="0"/>
              <w:right w:val="nil"/>
            </w:tcBorders>
            <w:tcMar>
              <w:top w:w="68" w:type="dxa"/>
              <w:left w:w="57" w:type="dxa"/>
              <w:bottom w:w="68" w:type="dxa"/>
              <w:right w:w="57" w:type="dxa"/>
            </w:tcMar>
            <w:vAlign w:val="center"/>
          </w:tcPr>
          <w:p w:rsidR="000D6E6A" w:rsidRDefault="000D6E6A">
            <w:pPr>
              <w:pStyle w:val="bodycopytabletable"/>
            </w:pPr>
            <w:r>
              <w:t>Youth Justice secure bed expansion</w:t>
            </w:r>
          </w:p>
        </w:tc>
        <w:tc>
          <w:tcPr>
            <w:tcW w:w="1275" w:type="dxa"/>
            <w:tcBorders>
              <w:top w:val="dotted" w:color="542E8E" w:sz="4" w:space="0"/>
              <w:left w:val="nil"/>
              <w:bottom w:val="single" w:color="542E8E" w:sz="4" w:space="0"/>
              <w:right w:val="nil"/>
            </w:tcBorders>
            <w:tcMar>
              <w:top w:w="68" w:type="dxa"/>
              <w:left w:w="57" w:type="dxa"/>
              <w:bottom w:w="68" w:type="dxa"/>
              <w:right w:w="57" w:type="dxa"/>
            </w:tcMar>
            <w:vAlign w:val="center"/>
          </w:tcPr>
          <w:p w:rsidR="000D6E6A" w:rsidRDefault="000D6E6A">
            <w:pPr>
              <w:pStyle w:val="bodycopytabletable"/>
              <w:jc w:val="center"/>
            </w:pPr>
            <w:r>
              <w:t>79.56</w:t>
            </w:r>
          </w:p>
        </w:tc>
        <w:tc>
          <w:tcPr>
            <w:tcW w:w="3969" w:type="dxa"/>
            <w:tcBorders>
              <w:top w:val="dotted" w:color="542E8E" w:sz="4" w:space="0"/>
              <w:left w:val="nil"/>
              <w:bottom w:val="single" w:color="542E8E" w:sz="4" w:space="0"/>
              <w:right w:val="nil"/>
            </w:tcBorders>
            <w:tcMar>
              <w:top w:w="68" w:type="dxa"/>
              <w:left w:w="57" w:type="dxa"/>
              <w:bottom w:w="68" w:type="dxa"/>
              <w:right w:w="57" w:type="dxa"/>
            </w:tcMar>
            <w:vAlign w:val="center"/>
          </w:tcPr>
          <w:p w:rsidR="000D6E6A" w:rsidRDefault="000D6E6A">
            <w:pPr>
              <w:pStyle w:val="bodycopytabletable"/>
            </w:pPr>
            <w:r>
              <w:t>Permits issued and works to be certified at end</w:t>
            </w:r>
          </w:p>
        </w:tc>
      </w:tr>
      <w:tr w:rsidR="000D6E6A" w:rsidTr="009B6B2A">
        <w:tblPrEx>
          <w:tblCellMar>
            <w:top w:w="0" w:type="dxa"/>
            <w:left w:w="0" w:type="dxa"/>
            <w:bottom w:w="0" w:type="dxa"/>
            <w:right w:w="0" w:type="dxa"/>
          </w:tblCellMar>
        </w:tblPrEx>
        <w:trPr>
          <w:trHeight w:val="60"/>
        </w:trPr>
        <w:tc>
          <w:tcPr>
            <w:tcW w:w="10149" w:type="dxa"/>
            <w:gridSpan w:val="3"/>
            <w:tcBorders>
              <w:top w:val="single" w:color="542E8E" w:sz="4" w:space="0"/>
              <w:left w:val="nil"/>
              <w:bottom w:val="single" w:color="542E8E" w:sz="4" w:space="0"/>
              <w:right w:val="nil"/>
            </w:tcBorders>
            <w:tcMar>
              <w:top w:w="85" w:type="dxa"/>
              <w:left w:w="57" w:type="dxa"/>
              <w:bottom w:w="85" w:type="dxa"/>
              <w:right w:w="57" w:type="dxa"/>
            </w:tcMar>
            <w:vAlign w:val="center"/>
          </w:tcPr>
          <w:p w:rsidR="000D6E6A" w:rsidRDefault="000D6E6A">
            <w:pPr>
              <w:pStyle w:val="bodycopytabletable"/>
            </w:pPr>
            <w:r>
              <w:rPr>
                <w:rStyle w:val="Purple"/>
              </w:rPr>
              <w:t>Completed</w:t>
            </w:r>
          </w:p>
        </w:tc>
      </w:tr>
      <w:tr w:rsidR="000D6E6A" w:rsidTr="009B6B2A">
        <w:tblPrEx>
          <w:tblCellMar>
            <w:top w:w="0" w:type="dxa"/>
            <w:left w:w="0" w:type="dxa"/>
            <w:bottom w:w="0" w:type="dxa"/>
            <w:right w:w="0" w:type="dxa"/>
          </w:tblCellMar>
        </w:tblPrEx>
        <w:trPr>
          <w:trHeight w:val="60"/>
        </w:trPr>
        <w:tc>
          <w:tcPr>
            <w:tcW w:w="4905" w:type="dxa"/>
            <w:tcBorders>
              <w:top w:val="single"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proofErr w:type="spellStart"/>
            <w:r>
              <w:t>Dhurringile</w:t>
            </w:r>
            <w:proofErr w:type="spellEnd"/>
            <w:r>
              <w:t xml:space="preserve"> prison – irrigation infrastructure upgrade</w:t>
            </w:r>
          </w:p>
        </w:tc>
        <w:tc>
          <w:tcPr>
            <w:tcW w:w="1275" w:type="dxa"/>
            <w:tcBorders>
              <w:top w:val="single"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jc w:val="center"/>
            </w:pPr>
            <w:r>
              <w:t>0.62</w:t>
            </w:r>
          </w:p>
        </w:tc>
        <w:tc>
          <w:tcPr>
            <w:tcW w:w="3969" w:type="dxa"/>
            <w:tcBorders>
              <w:top w:val="single"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 xml:space="preserve">Works certified at practical completion </w:t>
            </w:r>
          </w:p>
        </w:tc>
      </w:tr>
      <w:tr w:rsidR="000D6E6A" w:rsidTr="009B6B2A">
        <w:tblPrEx>
          <w:tblCellMar>
            <w:top w:w="0" w:type="dxa"/>
            <w:left w:w="0" w:type="dxa"/>
            <w:bottom w:w="0" w:type="dxa"/>
            <w:right w:w="0" w:type="dxa"/>
          </w:tblCellMar>
        </w:tblPrEx>
        <w:trPr>
          <w:trHeight w:val="60"/>
        </w:trPr>
        <w:tc>
          <w:tcPr>
            <w:tcW w:w="490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Dame Phyllis Frost Centre – car park extension</w:t>
            </w:r>
          </w:p>
        </w:tc>
        <w:tc>
          <w:tcPr>
            <w:tcW w:w="127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jc w:val="center"/>
            </w:pPr>
            <w:r>
              <w:t>1.70</w:t>
            </w:r>
          </w:p>
        </w:tc>
        <w:tc>
          <w:tcPr>
            <w:tcW w:w="3969"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 xml:space="preserve">Works certified at practical completion </w:t>
            </w:r>
          </w:p>
        </w:tc>
      </w:tr>
      <w:tr w:rsidR="000D6E6A" w:rsidTr="009B6B2A">
        <w:tblPrEx>
          <w:tblCellMar>
            <w:top w:w="0" w:type="dxa"/>
            <w:left w:w="0" w:type="dxa"/>
            <w:bottom w:w="0" w:type="dxa"/>
            <w:right w:w="0" w:type="dxa"/>
          </w:tblCellMar>
        </w:tblPrEx>
        <w:trPr>
          <w:trHeight w:val="60"/>
        </w:trPr>
        <w:tc>
          <w:tcPr>
            <w:tcW w:w="490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rPr>
                <w:spacing w:val="-3"/>
              </w:rPr>
              <w:t>Dame Phyllis Frost Centre – mobile duress system</w:t>
            </w:r>
          </w:p>
        </w:tc>
        <w:tc>
          <w:tcPr>
            <w:tcW w:w="127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jc w:val="center"/>
            </w:pPr>
            <w:r>
              <w:t>1.84</w:t>
            </w:r>
          </w:p>
        </w:tc>
        <w:tc>
          <w:tcPr>
            <w:tcW w:w="3969"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 xml:space="preserve">Works certified at practical completion </w:t>
            </w:r>
          </w:p>
        </w:tc>
      </w:tr>
      <w:tr w:rsidR="000D6E6A" w:rsidTr="009B6B2A">
        <w:tblPrEx>
          <w:tblCellMar>
            <w:top w:w="0" w:type="dxa"/>
            <w:left w:w="0" w:type="dxa"/>
            <w:bottom w:w="0" w:type="dxa"/>
            <w:right w:w="0" w:type="dxa"/>
          </w:tblCellMar>
        </w:tblPrEx>
        <w:trPr>
          <w:trHeight w:val="60"/>
        </w:trPr>
        <w:tc>
          <w:tcPr>
            <w:tcW w:w="490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JAEP – JSC Wodonga</w:t>
            </w:r>
          </w:p>
        </w:tc>
        <w:tc>
          <w:tcPr>
            <w:tcW w:w="127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jc w:val="center"/>
            </w:pPr>
            <w:r>
              <w:t>2.46</w:t>
            </w:r>
          </w:p>
        </w:tc>
        <w:tc>
          <w:tcPr>
            <w:tcW w:w="3969"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 xml:space="preserve">Works certified at practical completion </w:t>
            </w:r>
          </w:p>
        </w:tc>
      </w:tr>
      <w:tr w:rsidR="000D6E6A" w:rsidTr="009B6B2A">
        <w:tblPrEx>
          <w:tblCellMar>
            <w:top w:w="0" w:type="dxa"/>
            <w:left w:w="0" w:type="dxa"/>
            <w:bottom w:w="0" w:type="dxa"/>
            <w:right w:w="0" w:type="dxa"/>
          </w:tblCellMar>
        </w:tblPrEx>
        <w:trPr>
          <w:trHeight w:val="60"/>
        </w:trPr>
        <w:tc>
          <w:tcPr>
            <w:tcW w:w="490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 xml:space="preserve">JAEP – </w:t>
            </w:r>
            <w:proofErr w:type="spellStart"/>
            <w:r>
              <w:t>Warrnambool</w:t>
            </w:r>
            <w:proofErr w:type="spellEnd"/>
            <w:r>
              <w:t xml:space="preserve"> Car Park</w:t>
            </w:r>
          </w:p>
        </w:tc>
        <w:tc>
          <w:tcPr>
            <w:tcW w:w="127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jc w:val="center"/>
            </w:pPr>
            <w:r>
              <w:t>0.26</w:t>
            </w:r>
          </w:p>
        </w:tc>
        <w:tc>
          <w:tcPr>
            <w:tcW w:w="3969"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 xml:space="preserve">Works certified at practical completion </w:t>
            </w:r>
          </w:p>
        </w:tc>
      </w:tr>
      <w:tr w:rsidR="000D6E6A" w:rsidTr="009B6B2A">
        <w:tblPrEx>
          <w:tblCellMar>
            <w:top w:w="0" w:type="dxa"/>
            <w:left w:w="0" w:type="dxa"/>
            <w:bottom w:w="0" w:type="dxa"/>
            <w:right w:w="0" w:type="dxa"/>
          </w:tblCellMar>
        </w:tblPrEx>
        <w:trPr>
          <w:trHeight w:val="60"/>
        </w:trPr>
        <w:tc>
          <w:tcPr>
            <w:tcW w:w="490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JAEP – JSC Wangaratta</w:t>
            </w:r>
          </w:p>
        </w:tc>
        <w:tc>
          <w:tcPr>
            <w:tcW w:w="127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jc w:val="center"/>
            </w:pPr>
            <w:r>
              <w:t>2.23</w:t>
            </w:r>
          </w:p>
        </w:tc>
        <w:tc>
          <w:tcPr>
            <w:tcW w:w="3969"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 xml:space="preserve">Works certified at practical completion </w:t>
            </w:r>
          </w:p>
        </w:tc>
      </w:tr>
      <w:tr w:rsidR="000D6E6A" w:rsidTr="009B6B2A">
        <w:tblPrEx>
          <w:tblCellMar>
            <w:top w:w="0" w:type="dxa"/>
            <w:left w:w="0" w:type="dxa"/>
            <w:bottom w:w="0" w:type="dxa"/>
            <w:right w:w="0" w:type="dxa"/>
          </w:tblCellMar>
        </w:tblPrEx>
        <w:trPr>
          <w:trHeight w:val="60"/>
        </w:trPr>
        <w:tc>
          <w:tcPr>
            <w:tcW w:w="490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 xml:space="preserve">JAEP – JSC </w:t>
            </w:r>
            <w:proofErr w:type="spellStart"/>
            <w:r>
              <w:t>Bairnsdale</w:t>
            </w:r>
            <w:proofErr w:type="spellEnd"/>
          </w:p>
        </w:tc>
        <w:tc>
          <w:tcPr>
            <w:tcW w:w="127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jc w:val="center"/>
            </w:pPr>
            <w:r>
              <w:t>0.29</w:t>
            </w:r>
          </w:p>
        </w:tc>
        <w:tc>
          <w:tcPr>
            <w:tcW w:w="3969"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 xml:space="preserve">Works certified at practical completion </w:t>
            </w:r>
          </w:p>
        </w:tc>
      </w:tr>
      <w:tr w:rsidR="000D6E6A" w:rsidTr="009B6B2A">
        <w:tblPrEx>
          <w:tblCellMar>
            <w:top w:w="0" w:type="dxa"/>
            <w:left w:w="0" w:type="dxa"/>
            <w:bottom w:w="0" w:type="dxa"/>
            <w:right w:w="0" w:type="dxa"/>
          </w:tblCellMar>
        </w:tblPrEx>
        <w:trPr>
          <w:trHeight w:val="60"/>
        </w:trPr>
        <w:tc>
          <w:tcPr>
            <w:tcW w:w="490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 xml:space="preserve">JAEP – JSC </w:t>
            </w:r>
            <w:proofErr w:type="spellStart"/>
            <w:r>
              <w:t>Coolaroo</w:t>
            </w:r>
            <w:proofErr w:type="spellEnd"/>
          </w:p>
        </w:tc>
        <w:tc>
          <w:tcPr>
            <w:tcW w:w="127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jc w:val="center"/>
            </w:pPr>
            <w:r>
              <w:t>1.77</w:t>
            </w:r>
          </w:p>
        </w:tc>
        <w:tc>
          <w:tcPr>
            <w:tcW w:w="3969"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 xml:space="preserve">Works certified at practical completion </w:t>
            </w:r>
          </w:p>
        </w:tc>
      </w:tr>
      <w:tr w:rsidR="000D6E6A" w:rsidTr="009B6B2A">
        <w:tblPrEx>
          <w:tblCellMar>
            <w:top w:w="0" w:type="dxa"/>
            <w:left w:w="0" w:type="dxa"/>
            <w:bottom w:w="0" w:type="dxa"/>
            <w:right w:w="0" w:type="dxa"/>
          </w:tblCellMar>
        </w:tblPrEx>
        <w:trPr>
          <w:trHeight w:val="60"/>
        </w:trPr>
        <w:tc>
          <w:tcPr>
            <w:tcW w:w="490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JAEP – JSC Laverton North</w:t>
            </w:r>
          </w:p>
        </w:tc>
        <w:tc>
          <w:tcPr>
            <w:tcW w:w="127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jc w:val="center"/>
            </w:pPr>
            <w:r>
              <w:t>1.80</w:t>
            </w:r>
          </w:p>
        </w:tc>
        <w:tc>
          <w:tcPr>
            <w:tcW w:w="3969"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 xml:space="preserve">Works certified at practical completion </w:t>
            </w:r>
          </w:p>
        </w:tc>
      </w:tr>
      <w:tr w:rsidR="000D6E6A" w:rsidTr="009B6B2A">
        <w:tblPrEx>
          <w:tblCellMar>
            <w:top w:w="0" w:type="dxa"/>
            <w:left w:w="0" w:type="dxa"/>
            <w:bottom w:w="0" w:type="dxa"/>
            <w:right w:w="0" w:type="dxa"/>
          </w:tblCellMar>
        </w:tblPrEx>
        <w:trPr>
          <w:trHeight w:val="60"/>
        </w:trPr>
        <w:tc>
          <w:tcPr>
            <w:tcW w:w="490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 xml:space="preserve">JAEP – JSC </w:t>
            </w:r>
            <w:proofErr w:type="spellStart"/>
            <w:r>
              <w:t>Werribee</w:t>
            </w:r>
            <w:proofErr w:type="spellEnd"/>
          </w:p>
        </w:tc>
        <w:tc>
          <w:tcPr>
            <w:tcW w:w="127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jc w:val="center"/>
            </w:pPr>
            <w:r>
              <w:t>0.42</w:t>
            </w:r>
          </w:p>
        </w:tc>
        <w:tc>
          <w:tcPr>
            <w:tcW w:w="3969"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 xml:space="preserve">Works certified at practical completion </w:t>
            </w:r>
          </w:p>
        </w:tc>
      </w:tr>
      <w:tr w:rsidR="000D6E6A" w:rsidTr="009B6B2A">
        <w:tblPrEx>
          <w:tblCellMar>
            <w:top w:w="0" w:type="dxa"/>
            <w:left w:w="0" w:type="dxa"/>
            <w:bottom w:w="0" w:type="dxa"/>
            <w:right w:w="0" w:type="dxa"/>
          </w:tblCellMar>
        </w:tblPrEx>
        <w:trPr>
          <w:trHeight w:val="60"/>
        </w:trPr>
        <w:tc>
          <w:tcPr>
            <w:tcW w:w="490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JAEP – JSC Melbourne</w:t>
            </w:r>
          </w:p>
        </w:tc>
        <w:tc>
          <w:tcPr>
            <w:tcW w:w="127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jc w:val="center"/>
            </w:pPr>
            <w:r>
              <w:t>1.86</w:t>
            </w:r>
          </w:p>
        </w:tc>
        <w:tc>
          <w:tcPr>
            <w:tcW w:w="3969"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 xml:space="preserve">Works certified at practical completion </w:t>
            </w:r>
          </w:p>
        </w:tc>
      </w:tr>
      <w:tr w:rsidR="000D6E6A" w:rsidTr="009B6B2A">
        <w:tblPrEx>
          <w:tblCellMar>
            <w:top w:w="0" w:type="dxa"/>
            <w:left w:w="0" w:type="dxa"/>
            <w:bottom w:w="0" w:type="dxa"/>
            <w:right w:w="0" w:type="dxa"/>
          </w:tblCellMar>
        </w:tblPrEx>
        <w:trPr>
          <w:trHeight w:val="60"/>
        </w:trPr>
        <w:tc>
          <w:tcPr>
            <w:tcW w:w="490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 xml:space="preserve">JAEP – </w:t>
            </w:r>
            <w:proofErr w:type="gramStart"/>
            <w:r>
              <w:t>JSC  Bendigo</w:t>
            </w:r>
            <w:proofErr w:type="gramEnd"/>
          </w:p>
        </w:tc>
        <w:tc>
          <w:tcPr>
            <w:tcW w:w="127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jc w:val="center"/>
            </w:pPr>
            <w:r>
              <w:t>1.27</w:t>
            </w:r>
          </w:p>
        </w:tc>
        <w:tc>
          <w:tcPr>
            <w:tcW w:w="3969"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 xml:space="preserve">Works certified at practical completion </w:t>
            </w:r>
          </w:p>
        </w:tc>
      </w:tr>
      <w:tr w:rsidR="000D6E6A" w:rsidTr="009B6B2A">
        <w:tblPrEx>
          <w:tblCellMar>
            <w:top w:w="0" w:type="dxa"/>
            <w:left w:w="0" w:type="dxa"/>
            <w:bottom w:w="0" w:type="dxa"/>
            <w:right w:w="0" w:type="dxa"/>
          </w:tblCellMar>
        </w:tblPrEx>
        <w:trPr>
          <w:trHeight w:val="60"/>
        </w:trPr>
        <w:tc>
          <w:tcPr>
            <w:tcW w:w="490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JAEP – JSC Geelong</w:t>
            </w:r>
          </w:p>
        </w:tc>
        <w:tc>
          <w:tcPr>
            <w:tcW w:w="127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jc w:val="center"/>
            </w:pPr>
            <w:r>
              <w:t>0.88</w:t>
            </w:r>
          </w:p>
        </w:tc>
        <w:tc>
          <w:tcPr>
            <w:tcW w:w="3969"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 xml:space="preserve">Works certified at practical completion </w:t>
            </w:r>
          </w:p>
        </w:tc>
      </w:tr>
      <w:tr w:rsidR="000D6E6A" w:rsidTr="009B6B2A">
        <w:tblPrEx>
          <w:tblCellMar>
            <w:top w:w="0" w:type="dxa"/>
            <w:left w:w="0" w:type="dxa"/>
            <w:bottom w:w="0" w:type="dxa"/>
            <w:right w:w="0" w:type="dxa"/>
          </w:tblCellMar>
        </w:tblPrEx>
        <w:trPr>
          <w:trHeight w:val="60"/>
        </w:trPr>
        <w:tc>
          <w:tcPr>
            <w:tcW w:w="490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Loddon prison – increased prison capacity and security works</w:t>
            </w:r>
          </w:p>
        </w:tc>
        <w:tc>
          <w:tcPr>
            <w:tcW w:w="127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jc w:val="center"/>
            </w:pPr>
            <w:r>
              <w:t>76.57</w:t>
            </w:r>
          </w:p>
        </w:tc>
        <w:tc>
          <w:tcPr>
            <w:tcW w:w="3969"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 xml:space="preserve">Works certified at practical completion </w:t>
            </w:r>
          </w:p>
        </w:tc>
      </w:tr>
      <w:tr w:rsidR="000D6E6A" w:rsidTr="009B6B2A">
        <w:tblPrEx>
          <w:tblCellMar>
            <w:top w:w="0" w:type="dxa"/>
            <w:left w:w="0" w:type="dxa"/>
            <w:bottom w:w="0" w:type="dxa"/>
            <w:right w:w="0" w:type="dxa"/>
          </w:tblCellMar>
        </w:tblPrEx>
        <w:trPr>
          <w:trHeight w:val="60"/>
        </w:trPr>
        <w:tc>
          <w:tcPr>
            <w:tcW w:w="490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Loddon prison – paths of travel lighting</w:t>
            </w:r>
          </w:p>
        </w:tc>
        <w:tc>
          <w:tcPr>
            <w:tcW w:w="127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jc w:val="center"/>
            </w:pPr>
            <w:r>
              <w:t>0.08</w:t>
            </w:r>
          </w:p>
        </w:tc>
        <w:tc>
          <w:tcPr>
            <w:tcW w:w="3969"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 xml:space="preserve">Works certified at practical completion </w:t>
            </w:r>
          </w:p>
        </w:tc>
      </w:tr>
      <w:tr w:rsidR="000D6E6A" w:rsidTr="009B6B2A">
        <w:tblPrEx>
          <w:tblCellMar>
            <w:top w:w="0" w:type="dxa"/>
            <w:left w:w="0" w:type="dxa"/>
            <w:bottom w:w="0" w:type="dxa"/>
            <w:right w:w="0" w:type="dxa"/>
          </w:tblCellMar>
        </w:tblPrEx>
        <w:trPr>
          <w:trHeight w:val="60"/>
        </w:trPr>
        <w:tc>
          <w:tcPr>
            <w:tcW w:w="490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 xml:space="preserve">Loddon prison – </w:t>
            </w:r>
            <w:proofErr w:type="spellStart"/>
            <w:r>
              <w:t>sallyport</w:t>
            </w:r>
            <w:proofErr w:type="spellEnd"/>
          </w:p>
        </w:tc>
        <w:tc>
          <w:tcPr>
            <w:tcW w:w="127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jc w:val="center"/>
            </w:pPr>
            <w:r>
              <w:t>0.47</w:t>
            </w:r>
          </w:p>
        </w:tc>
        <w:tc>
          <w:tcPr>
            <w:tcW w:w="3969"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 xml:space="preserve">Works certified at practical completion </w:t>
            </w:r>
          </w:p>
        </w:tc>
      </w:tr>
      <w:tr w:rsidR="000D6E6A" w:rsidTr="009B6B2A">
        <w:tblPrEx>
          <w:tblCellMar>
            <w:top w:w="0" w:type="dxa"/>
            <w:left w:w="0" w:type="dxa"/>
            <w:bottom w:w="0" w:type="dxa"/>
            <w:right w:w="0" w:type="dxa"/>
          </w:tblCellMar>
        </w:tblPrEx>
        <w:trPr>
          <w:trHeight w:val="60"/>
        </w:trPr>
        <w:tc>
          <w:tcPr>
            <w:tcW w:w="490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Melbourne Assessment Prison – mobile duress system</w:t>
            </w:r>
          </w:p>
        </w:tc>
        <w:tc>
          <w:tcPr>
            <w:tcW w:w="127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jc w:val="center"/>
            </w:pPr>
            <w:r>
              <w:t>1.64</w:t>
            </w:r>
          </w:p>
        </w:tc>
        <w:tc>
          <w:tcPr>
            <w:tcW w:w="3969"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 xml:space="preserve">Works certified at practical completion </w:t>
            </w:r>
          </w:p>
        </w:tc>
      </w:tr>
      <w:tr w:rsidR="000D6E6A" w:rsidTr="009B6B2A">
        <w:tblPrEx>
          <w:tblCellMar>
            <w:top w:w="0" w:type="dxa"/>
            <w:left w:w="0" w:type="dxa"/>
            <w:bottom w:w="0" w:type="dxa"/>
            <w:right w:w="0" w:type="dxa"/>
          </w:tblCellMar>
        </w:tblPrEx>
        <w:trPr>
          <w:trHeight w:val="60"/>
        </w:trPr>
        <w:tc>
          <w:tcPr>
            <w:tcW w:w="490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Metropolitan Remand Centre – State and Emergency Services Group</w:t>
            </w:r>
          </w:p>
        </w:tc>
        <w:tc>
          <w:tcPr>
            <w:tcW w:w="127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jc w:val="center"/>
            </w:pPr>
            <w:r>
              <w:t>5.00</w:t>
            </w:r>
          </w:p>
        </w:tc>
        <w:tc>
          <w:tcPr>
            <w:tcW w:w="3969"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Works certified at practical completion</w:t>
            </w:r>
          </w:p>
        </w:tc>
      </w:tr>
      <w:tr w:rsidR="000D6E6A" w:rsidTr="009B6B2A">
        <w:tblPrEx>
          <w:tblCellMar>
            <w:top w:w="0" w:type="dxa"/>
            <w:left w:w="0" w:type="dxa"/>
            <w:bottom w:w="0" w:type="dxa"/>
            <w:right w:w="0" w:type="dxa"/>
          </w:tblCellMar>
        </w:tblPrEx>
        <w:trPr>
          <w:trHeight w:val="60"/>
        </w:trPr>
        <w:tc>
          <w:tcPr>
            <w:tcW w:w="490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Ravenhall prison – increased prison capacity</w:t>
            </w:r>
          </w:p>
        </w:tc>
        <w:tc>
          <w:tcPr>
            <w:tcW w:w="1275"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jc w:val="center"/>
            </w:pPr>
            <w:r>
              <w:t>51.69</w:t>
            </w:r>
          </w:p>
        </w:tc>
        <w:tc>
          <w:tcPr>
            <w:tcW w:w="3969" w:type="dxa"/>
            <w:tcBorders>
              <w:top w:val="dotted" w:color="542E8E" w:sz="4"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pPr>
            <w:r>
              <w:t xml:space="preserve">Works certified at practical completion </w:t>
            </w:r>
          </w:p>
        </w:tc>
      </w:tr>
      <w:tr w:rsidR="000D6E6A" w:rsidTr="009B6B2A">
        <w:tblPrEx>
          <w:tblCellMar>
            <w:top w:w="0" w:type="dxa"/>
            <w:left w:w="0" w:type="dxa"/>
            <w:bottom w:w="0" w:type="dxa"/>
            <w:right w:w="0" w:type="dxa"/>
          </w:tblCellMar>
        </w:tblPrEx>
        <w:trPr>
          <w:trHeight w:val="60"/>
        </w:trPr>
        <w:tc>
          <w:tcPr>
            <w:tcW w:w="4905" w:type="dxa"/>
            <w:tcBorders>
              <w:top w:val="dotted" w:color="542E8E" w:sz="4" w:space="0"/>
              <w:left w:val="nil"/>
              <w:bottom w:val="single" w:color="542E8E" w:sz="4" w:space="0"/>
              <w:right w:val="nil"/>
            </w:tcBorders>
            <w:shd w:val="solid" w:color="FFFFFF" w:fill="auto"/>
            <w:tcMar>
              <w:top w:w="68" w:type="dxa"/>
              <w:left w:w="57" w:type="dxa"/>
              <w:bottom w:w="68" w:type="dxa"/>
              <w:right w:w="57" w:type="dxa"/>
            </w:tcMar>
            <w:vAlign w:val="center"/>
          </w:tcPr>
          <w:p w:rsidR="000D6E6A" w:rsidRDefault="000D6E6A">
            <w:pPr>
              <w:pStyle w:val="bodycopytabletable"/>
            </w:pPr>
            <w:r>
              <w:t>Remand Upgrades - Corrections</w:t>
            </w:r>
          </w:p>
        </w:tc>
        <w:tc>
          <w:tcPr>
            <w:tcW w:w="1275" w:type="dxa"/>
            <w:tcBorders>
              <w:top w:val="dotted" w:color="542E8E" w:sz="4" w:space="0"/>
              <w:left w:val="nil"/>
              <w:bottom w:val="single" w:color="542E8E" w:sz="4" w:space="0"/>
              <w:right w:val="nil"/>
            </w:tcBorders>
            <w:shd w:val="solid" w:color="FFFFFF" w:fill="auto"/>
            <w:tcMar>
              <w:top w:w="68" w:type="dxa"/>
              <w:left w:w="57" w:type="dxa"/>
              <w:bottom w:w="68" w:type="dxa"/>
              <w:right w:w="57" w:type="dxa"/>
            </w:tcMar>
            <w:vAlign w:val="center"/>
          </w:tcPr>
          <w:p w:rsidR="000D6E6A" w:rsidRDefault="000D6E6A">
            <w:pPr>
              <w:pStyle w:val="bodycopytabletable"/>
              <w:jc w:val="center"/>
            </w:pPr>
            <w:r>
              <w:t>68.06</w:t>
            </w:r>
            <w:r>
              <w:rPr>
                <w:strike/>
              </w:rPr>
              <w:t xml:space="preserve">   </w:t>
            </w:r>
          </w:p>
        </w:tc>
        <w:tc>
          <w:tcPr>
            <w:tcW w:w="3969" w:type="dxa"/>
            <w:tcBorders>
              <w:top w:val="dotted" w:color="542E8E" w:sz="4" w:space="0"/>
              <w:left w:val="nil"/>
              <w:bottom w:val="single" w:color="542E8E" w:sz="4" w:space="0"/>
              <w:right w:val="nil"/>
            </w:tcBorders>
            <w:shd w:val="solid" w:color="FFFFFF" w:fill="auto"/>
            <w:tcMar>
              <w:top w:w="68" w:type="dxa"/>
              <w:left w:w="57" w:type="dxa"/>
              <w:bottom w:w="68" w:type="dxa"/>
              <w:right w:w="57" w:type="dxa"/>
            </w:tcMar>
            <w:vAlign w:val="center"/>
          </w:tcPr>
          <w:p w:rsidR="000D6E6A" w:rsidRDefault="000D6E6A">
            <w:pPr>
              <w:pStyle w:val="bodycopytabletable"/>
            </w:pPr>
            <w:r>
              <w:t xml:space="preserve">Works certified at practical completion </w:t>
            </w:r>
          </w:p>
        </w:tc>
      </w:tr>
    </w:tbl>
    <w:p w:rsidR="000D6E6A" w:rsidRDefault="000D6E6A">
      <w:pPr>
        <w:pStyle w:val="Bodycopyspan"/>
      </w:pPr>
    </w:p>
    <w:p w:rsidR="000D6E6A" w:rsidRDefault="000D6E6A">
      <w:pPr>
        <w:pStyle w:val="H2"/>
      </w:pPr>
      <w:r>
        <w:t xml:space="preserve">Information and Communication Technology </w:t>
      </w:r>
    </w:p>
    <w:p w:rsidR="000D6E6A" w:rsidRDefault="000D6E6A">
      <w:pPr>
        <w:pStyle w:val="Bodycopy"/>
      </w:pPr>
      <w:r>
        <w:t xml:space="preserve">During 2017–18, the department developed </w:t>
      </w:r>
      <w:proofErr w:type="gramStart"/>
      <w:r>
        <w:t>a</w:t>
      </w:r>
      <w:proofErr w:type="gramEnd"/>
      <w:r>
        <w:t xml:space="preserve"> IT Strategy 2018–2021 (the strategy).  The strategy defines the roadmap to improving the department’s core information technology to improve the accessibility and quality of the department’s IT services. </w:t>
      </w:r>
    </w:p>
    <w:p w:rsidR="000D6E6A" w:rsidRDefault="000D6E6A">
      <w:pPr>
        <w:pStyle w:val="Bodycopy"/>
      </w:pPr>
      <w:r>
        <w:t xml:space="preserve">Deliverables from the strategy during the year included: </w:t>
      </w:r>
    </w:p>
    <w:p w:rsidR="000D6E6A" w:rsidRDefault="000D6E6A">
      <w:pPr>
        <w:pStyle w:val="BodycopyBullet"/>
      </w:pPr>
      <w:r>
        <w:t>commencing deployment of the shared services (</w:t>
      </w:r>
      <w:proofErr w:type="spellStart"/>
      <w:r>
        <w:t>CenITex</w:t>
      </w:r>
      <w:proofErr w:type="spellEnd"/>
      <w:r>
        <w:t>) government desktop, based on the Windows 10 operating system</w:t>
      </w:r>
    </w:p>
    <w:p w:rsidR="000D6E6A" w:rsidRDefault="000D6E6A">
      <w:pPr>
        <w:pStyle w:val="BodycopyBullet"/>
      </w:pPr>
      <w:r>
        <w:t>planning and commencing the upgrade of the department’s state-wide data network to increase performance and reliability, including the consolidation of the state’s video–conferencing and data networks, which will improve value from IT expenditure</w:t>
      </w:r>
    </w:p>
    <w:p w:rsidR="000D6E6A" w:rsidRDefault="000D6E6A">
      <w:pPr>
        <w:pStyle w:val="BodycopyBullet"/>
      </w:pPr>
      <w:r>
        <w:t>consolidating the corporate business intelligence function into the corporate IT function to enable the development of a common data management and analytics platform</w:t>
      </w:r>
    </w:p>
    <w:p w:rsidR="000D6E6A" w:rsidRDefault="000D6E6A">
      <w:pPr>
        <w:pStyle w:val="BodycopyBullet"/>
      </w:pPr>
      <w:r>
        <w:t>increasing support of the Justice Remote Access Platform (JRAP) solution, improving reliability of the service</w:t>
      </w:r>
    </w:p>
    <w:p w:rsidR="000D6E6A" w:rsidRDefault="000D6E6A">
      <w:pPr>
        <w:pStyle w:val="BodycopyBulletspaceunder"/>
      </w:pPr>
      <w:r>
        <w:t xml:space="preserve">increasing use of </w:t>
      </w:r>
      <w:proofErr w:type="spellStart"/>
      <w:r>
        <w:t>CenITex</w:t>
      </w:r>
      <w:proofErr w:type="spellEnd"/>
      <w:r>
        <w:t xml:space="preserve"> services to reduce operational risks and increase IT support hours.</w:t>
      </w:r>
    </w:p>
    <w:p w:rsidR="000D6E6A" w:rsidRDefault="000D6E6A">
      <w:pPr>
        <w:pStyle w:val="H4"/>
      </w:pPr>
      <w:r>
        <w:lastRenderedPageBreak/>
        <w:t>Information and Communication Technology Expenditure</w:t>
      </w:r>
    </w:p>
    <w:p w:rsidR="000D6E6A" w:rsidRDefault="000D6E6A">
      <w:pPr>
        <w:pStyle w:val="Bodycopy"/>
      </w:pPr>
      <w:r>
        <w:t xml:space="preserve">Information and Communication Technology (ICT) expenditure refers to the department’s costs in providing business-enabling ICT services.  It comprises Business </w:t>
      </w:r>
      <w:proofErr w:type="gramStart"/>
      <w:r>
        <w:t>As</w:t>
      </w:r>
      <w:proofErr w:type="gramEnd"/>
      <w:r>
        <w:t xml:space="preserve"> Usual (BAU) ICT expenditure and Non-Business As Usual (Non-BAU) ICT expenditure.  BAU ICT expenditure primarily relates to ongoing activities to operate and maintain the department’s current ICT capability.  Non-BAU ICT expenditure relates to extending or enhancing the department’s current ICT capabilities.  </w:t>
      </w:r>
    </w:p>
    <w:p w:rsidR="000D6E6A" w:rsidRDefault="000D6E6A">
      <w:pPr>
        <w:pStyle w:val="Bodycopy"/>
      </w:pPr>
      <w:r>
        <w:t>For the 2017-18 reporting period, the department had a total ICT expenditure of $192.263 million, comprising of $113.155 million in BAU ICT expenditure and $79.108 million in non-BAU ICT expenditure, as shown in the table below.</w:t>
      </w:r>
    </w:p>
    <w:tbl>
      <w:tblPr>
        <w:tblW w:w="0" w:type="auto"/>
        <w:tblInd w:w="57" w:type="dxa"/>
        <w:tblLayout w:type="fixed"/>
        <w:tblCellMar>
          <w:left w:w="0" w:type="dxa"/>
          <w:right w:w="0" w:type="dxa"/>
        </w:tblCellMar>
        <w:tblLook w:firstRow="0" w:lastRow="0" w:firstColumn="0" w:lastColumn="0" w:noHBand="0" w:noVBand="0" w:val="0000"/>
      </w:tblPr>
      <w:tblGrid>
        <w:gridCol w:w="2268"/>
        <w:gridCol w:w="2267"/>
        <w:gridCol w:w="2268"/>
        <w:gridCol w:w="2268"/>
      </w:tblGrid>
      <w:tr w:rsidR="000D6E6A">
        <w:tblPrEx>
          <w:tblCellMar>
            <w:top w:w="0" w:type="dxa"/>
            <w:left w:w="0" w:type="dxa"/>
            <w:bottom w:w="0" w:type="dxa"/>
            <w:right w:w="0" w:type="dxa"/>
          </w:tblCellMar>
        </w:tblPrEx>
        <w:trPr>
          <w:trHeight w:val="60"/>
        </w:trPr>
        <w:tc>
          <w:tcPr>
            <w:tcW w:w="9071" w:type="dxa"/>
            <w:gridSpan w:val="4"/>
            <w:tcBorders>
              <w:top w:val="dotted" w:color="000000" w:sz="6" w:space="0"/>
              <w:left w:val="nil"/>
              <w:bottom w:val="single" w:color="542E8E" w:sz="6" w:space="0"/>
              <w:right w:val="nil"/>
            </w:tcBorders>
            <w:shd w:val="solid" w:color="FFFFFF" w:fill="auto"/>
            <w:tcMar>
              <w:top w:w="68" w:type="dxa"/>
              <w:left w:w="57" w:type="dxa"/>
              <w:bottom w:w="68" w:type="dxa"/>
              <w:right w:w="57" w:type="dxa"/>
            </w:tcMar>
            <w:vAlign w:val="bottom"/>
          </w:tcPr>
          <w:p w:rsidR="000D6E6A" w:rsidRDefault="000D6E6A">
            <w:pPr>
              <w:pStyle w:val="bodycopytabletable"/>
              <w:jc w:val="right"/>
            </w:pPr>
            <w:r>
              <w:t>($ thousand)</w:t>
            </w:r>
          </w:p>
        </w:tc>
      </w:tr>
      <w:tr w:rsidR="000D6E6A">
        <w:tblPrEx>
          <w:tblCellMar>
            <w:top w:w="0" w:type="dxa"/>
            <w:left w:w="0" w:type="dxa"/>
            <w:bottom w:w="0" w:type="dxa"/>
            <w:right w:w="0" w:type="dxa"/>
          </w:tblCellMar>
        </w:tblPrEx>
        <w:trPr>
          <w:trHeight w:val="60"/>
        </w:trPr>
        <w:tc>
          <w:tcPr>
            <w:tcW w:w="2268" w:type="dxa"/>
            <w:tcBorders>
              <w:top w:val="single" w:color="542E8E" w:sz="6" w:space="0"/>
              <w:left w:val="nil"/>
              <w:bottom w:val="single" w:color="542E8E" w:sz="6" w:space="0"/>
              <w:right w:val="nil"/>
            </w:tcBorders>
            <w:shd w:val="solid" w:color="FFFFFF" w:fill="auto"/>
            <w:tcMar>
              <w:top w:w="68" w:type="dxa"/>
              <w:left w:w="57" w:type="dxa"/>
              <w:bottom w:w="68" w:type="dxa"/>
              <w:right w:w="57" w:type="dxa"/>
            </w:tcMar>
            <w:vAlign w:val="bottom"/>
          </w:tcPr>
          <w:p w:rsidR="000D6E6A" w:rsidRDefault="000D6E6A">
            <w:pPr>
              <w:pStyle w:val="bodycopytabletable"/>
              <w:jc w:val="right"/>
            </w:pPr>
            <w:r>
              <w:rPr>
                <w:rStyle w:val="mediumpurple"/>
                <w:b/>
                <w:bCs/>
              </w:rPr>
              <w:t xml:space="preserve">Business </w:t>
            </w:r>
            <w:proofErr w:type="gramStart"/>
            <w:r>
              <w:rPr>
                <w:rStyle w:val="mediumpurple"/>
                <w:b/>
                <w:bCs/>
              </w:rPr>
              <w:t>As</w:t>
            </w:r>
            <w:proofErr w:type="gramEnd"/>
            <w:r>
              <w:rPr>
                <w:rStyle w:val="mediumpurple"/>
                <w:b/>
                <w:bCs/>
              </w:rPr>
              <w:t xml:space="preserve"> Usual (BAU) ICT Expenditure</w:t>
            </w:r>
          </w:p>
        </w:tc>
        <w:tc>
          <w:tcPr>
            <w:tcW w:w="2267" w:type="dxa"/>
            <w:tcBorders>
              <w:top w:val="single" w:color="542E8E" w:sz="6" w:space="0"/>
              <w:left w:val="nil"/>
              <w:bottom w:val="single" w:color="542E8E" w:sz="6" w:space="0"/>
              <w:right w:val="nil"/>
            </w:tcBorders>
            <w:shd w:val="solid" w:color="FFFFFF" w:fill="auto"/>
            <w:tcMar>
              <w:top w:w="68" w:type="dxa"/>
              <w:left w:w="57" w:type="dxa"/>
              <w:bottom w:w="68" w:type="dxa"/>
              <w:right w:w="57" w:type="dxa"/>
            </w:tcMar>
            <w:vAlign w:val="bottom"/>
          </w:tcPr>
          <w:p w:rsidR="000D6E6A" w:rsidRDefault="000D6E6A">
            <w:pPr>
              <w:pStyle w:val="bodycopytabletable"/>
              <w:jc w:val="right"/>
            </w:pPr>
            <w:r>
              <w:rPr>
                <w:rStyle w:val="mediumpurple"/>
                <w:b/>
                <w:bCs/>
              </w:rPr>
              <w:t xml:space="preserve">Non-Business </w:t>
            </w:r>
            <w:proofErr w:type="gramStart"/>
            <w:r>
              <w:rPr>
                <w:rStyle w:val="mediumpurple"/>
                <w:b/>
                <w:bCs/>
              </w:rPr>
              <w:t>As</w:t>
            </w:r>
            <w:proofErr w:type="gramEnd"/>
            <w:r>
              <w:rPr>
                <w:rStyle w:val="mediumpurple"/>
                <w:b/>
                <w:bCs/>
              </w:rPr>
              <w:t xml:space="preserve"> Usual (non-BAU) ICT Expenditure</w:t>
            </w:r>
          </w:p>
        </w:tc>
        <w:tc>
          <w:tcPr>
            <w:tcW w:w="2268" w:type="dxa"/>
            <w:tcBorders>
              <w:top w:val="single" w:color="542E8E" w:sz="6" w:space="0"/>
              <w:left w:val="nil"/>
              <w:bottom w:val="single" w:color="542E8E" w:sz="6" w:space="0"/>
              <w:right w:val="nil"/>
            </w:tcBorders>
            <w:shd w:val="solid" w:color="FFFFFF" w:fill="auto"/>
            <w:tcMar>
              <w:top w:w="68" w:type="dxa"/>
              <w:left w:w="57" w:type="dxa"/>
              <w:bottom w:w="68" w:type="dxa"/>
              <w:right w:w="57" w:type="dxa"/>
            </w:tcMar>
            <w:vAlign w:val="bottom"/>
          </w:tcPr>
          <w:p w:rsidR="000D6E6A" w:rsidRDefault="000D6E6A">
            <w:pPr>
              <w:pStyle w:val="bodycopytabletable"/>
              <w:jc w:val="right"/>
            </w:pPr>
            <w:r>
              <w:rPr>
                <w:rStyle w:val="mediumpurple"/>
                <w:b/>
                <w:bCs/>
              </w:rPr>
              <w:t xml:space="preserve">Non-Business </w:t>
            </w:r>
            <w:proofErr w:type="gramStart"/>
            <w:r>
              <w:rPr>
                <w:rStyle w:val="mediumpurple"/>
                <w:b/>
                <w:bCs/>
              </w:rPr>
              <w:t>As</w:t>
            </w:r>
            <w:proofErr w:type="gramEnd"/>
            <w:r>
              <w:rPr>
                <w:rStyle w:val="mediumpurple"/>
                <w:b/>
                <w:bCs/>
              </w:rPr>
              <w:t xml:space="preserve"> Usual (non-BAU) ICT Expenditure</w:t>
            </w:r>
          </w:p>
        </w:tc>
        <w:tc>
          <w:tcPr>
            <w:tcW w:w="2268" w:type="dxa"/>
            <w:tcBorders>
              <w:top w:val="single" w:color="542E8E" w:sz="6" w:space="0"/>
              <w:left w:val="nil"/>
              <w:bottom w:val="single" w:color="542E8E" w:sz="6" w:space="0"/>
              <w:right w:val="nil"/>
            </w:tcBorders>
            <w:shd w:val="solid" w:color="FFFFFF" w:fill="auto"/>
            <w:tcMar>
              <w:top w:w="68" w:type="dxa"/>
              <w:left w:w="57" w:type="dxa"/>
              <w:bottom w:w="68" w:type="dxa"/>
              <w:right w:w="57" w:type="dxa"/>
            </w:tcMar>
            <w:vAlign w:val="bottom"/>
          </w:tcPr>
          <w:p w:rsidR="000D6E6A" w:rsidRDefault="000D6E6A">
            <w:pPr>
              <w:pStyle w:val="bodycopytabletable"/>
              <w:jc w:val="right"/>
            </w:pPr>
            <w:r>
              <w:rPr>
                <w:rStyle w:val="mediumpurple"/>
                <w:b/>
                <w:bCs/>
              </w:rPr>
              <w:t xml:space="preserve">Non-Business </w:t>
            </w:r>
            <w:proofErr w:type="gramStart"/>
            <w:r>
              <w:rPr>
                <w:rStyle w:val="mediumpurple"/>
                <w:b/>
                <w:bCs/>
              </w:rPr>
              <w:t>As</w:t>
            </w:r>
            <w:proofErr w:type="gramEnd"/>
            <w:r>
              <w:rPr>
                <w:rStyle w:val="mediumpurple"/>
                <w:b/>
                <w:bCs/>
              </w:rPr>
              <w:t xml:space="preserve"> Usual (non-BAU) ICT Expenditure</w:t>
            </w:r>
          </w:p>
        </w:tc>
      </w:tr>
      <w:tr w:rsidR="000D6E6A">
        <w:tblPrEx>
          <w:tblCellMar>
            <w:top w:w="0" w:type="dxa"/>
            <w:left w:w="0" w:type="dxa"/>
            <w:bottom w:w="0" w:type="dxa"/>
            <w:right w:w="0" w:type="dxa"/>
          </w:tblCellMar>
        </w:tblPrEx>
        <w:trPr>
          <w:trHeight w:val="60"/>
        </w:trPr>
        <w:tc>
          <w:tcPr>
            <w:tcW w:w="2268" w:type="dxa"/>
            <w:tcBorders>
              <w:top w:val="single" w:color="542E8E" w:sz="6" w:space="0"/>
              <w:left w:val="nil"/>
              <w:bottom w:val="dotted" w:color="542E8E" w:sz="4" w:space="0"/>
              <w:right w:val="nil"/>
            </w:tcBorders>
            <w:tcMar>
              <w:top w:w="68" w:type="dxa"/>
              <w:left w:w="57" w:type="dxa"/>
              <w:bottom w:w="68" w:type="dxa"/>
              <w:right w:w="57" w:type="dxa"/>
            </w:tcMar>
            <w:vAlign w:val="center"/>
          </w:tcPr>
          <w:p w:rsidR="000D6E6A" w:rsidRDefault="000D6E6A">
            <w:pPr>
              <w:pStyle w:val="NoParagraphStyle"/>
              <w:spacing w:line="240" w:lineRule="auto"/>
              <w:textAlignment w:val="auto"/>
              <w:rPr>
                <w:color w:val="auto"/>
              </w:rPr>
            </w:pPr>
          </w:p>
        </w:tc>
        <w:tc>
          <w:tcPr>
            <w:tcW w:w="2267" w:type="dxa"/>
            <w:tcBorders>
              <w:top w:val="single" w:color="542E8E" w:sz="6"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jc w:val="right"/>
            </w:pPr>
            <w:r>
              <w:t>(Operational Expenditure and Capital Expenditure)</w:t>
            </w:r>
          </w:p>
        </w:tc>
        <w:tc>
          <w:tcPr>
            <w:tcW w:w="2268" w:type="dxa"/>
            <w:tcBorders>
              <w:top w:val="single" w:color="542E8E" w:sz="6"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jc w:val="right"/>
            </w:pPr>
            <w:r>
              <w:t>Operational Expenditure</w:t>
            </w:r>
          </w:p>
        </w:tc>
        <w:tc>
          <w:tcPr>
            <w:tcW w:w="2268" w:type="dxa"/>
            <w:tcBorders>
              <w:top w:val="single" w:color="542E8E" w:sz="6" w:space="0"/>
              <w:left w:val="nil"/>
              <w:bottom w:val="dotted" w:color="542E8E" w:sz="4" w:space="0"/>
              <w:right w:val="nil"/>
            </w:tcBorders>
            <w:tcMar>
              <w:top w:w="68" w:type="dxa"/>
              <w:left w:w="57" w:type="dxa"/>
              <w:bottom w:w="68" w:type="dxa"/>
              <w:right w:w="57" w:type="dxa"/>
            </w:tcMar>
            <w:vAlign w:val="center"/>
          </w:tcPr>
          <w:p w:rsidR="000D6E6A" w:rsidRDefault="000D6E6A">
            <w:pPr>
              <w:pStyle w:val="bodycopytabletable"/>
              <w:jc w:val="right"/>
            </w:pPr>
            <w:r>
              <w:t>Capital Expenditure</w:t>
            </w:r>
          </w:p>
        </w:tc>
      </w:tr>
      <w:tr w:rsidR="000D6E6A">
        <w:tblPrEx>
          <w:tblCellMar>
            <w:top w:w="0" w:type="dxa"/>
            <w:left w:w="0" w:type="dxa"/>
            <w:bottom w:w="0" w:type="dxa"/>
            <w:right w:w="0" w:type="dxa"/>
          </w:tblCellMar>
        </w:tblPrEx>
        <w:trPr>
          <w:trHeight w:val="60"/>
        </w:trPr>
        <w:tc>
          <w:tcPr>
            <w:tcW w:w="2268" w:type="dxa"/>
            <w:tcBorders>
              <w:top w:val="dotted" w:color="542E8E" w:sz="4" w:space="0"/>
              <w:left w:val="nil"/>
              <w:bottom w:val="single" w:color="542E8E" w:sz="4" w:space="0"/>
              <w:right w:val="nil"/>
            </w:tcBorders>
            <w:shd w:val="solid" w:color="FFFFFF" w:fill="auto"/>
            <w:tcMar>
              <w:top w:w="68" w:type="dxa"/>
              <w:left w:w="57" w:type="dxa"/>
              <w:bottom w:w="68" w:type="dxa"/>
              <w:right w:w="57" w:type="dxa"/>
            </w:tcMar>
            <w:vAlign w:val="center"/>
          </w:tcPr>
          <w:p w:rsidR="000D6E6A" w:rsidRDefault="000D6E6A">
            <w:pPr>
              <w:pStyle w:val="bodycopytabletable"/>
              <w:jc w:val="right"/>
            </w:pPr>
            <w:r>
              <w:t>113,155</w:t>
            </w:r>
          </w:p>
        </w:tc>
        <w:tc>
          <w:tcPr>
            <w:tcW w:w="2267" w:type="dxa"/>
            <w:tcBorders>
              <w:top w:val="dotted" w:color="542E8E" w:sz="4" w:space="0"/>
              <w:left w:val="nil"/>
              <w:bottom w:val="single" w:color="542E8E" w:sz="4" w:space="0"/>
              <w:right w:val="nil"/>
            </w:tcBorders>
            <w:shd w:val="solid" w:color="FFFFFF" w:fill="auto"/>
            <w:tcMar>
              <w:top w:w="68" w:type="dxa"/>
              <w:left w:w="57" w:type="dxa"/>
              <w:bottom w:w="68" w:type="dxa"/>
              <w:right w:w="57" w:type="dxa"/>
            </w:tcMar>
            <w:vAlign w:val="center"/>
          </w:tcPr>
          <w:p w:rsidR="000D6E6A" w:rsidRDefault="000D6E6A">
            <w:pPr>
              <w:pStyle w:val="bodycopytabletable"/>
              <w:jc w:val="right"/>
            </w:pPr>
            <w:r>
              <w:t>79,108</w:t>
            </w:r>
          </w:p>
        </w:tc>
        <w:tc>
          <w:tcPr>
            <w:tcW w:w="2268" w:type="dxa"/>
            <w:tcBorders>
              <w:top w:val="dotted" w:color="542E8E" w:sz="4" w:space="0"/>
              <w:left w:val="nil"/>
              <w:bottom w:val="single" w:color="542E8E" w:sz="4" w:space="0"/>
              <w:right w:val="nil"/>
            </w:tcBorders>
            <w:shd w:val="solid" w:color="FFFFFF" w:fill="auto"/>
            <w:tcMar>
              <w:top w:w="68" w:type="dxa"/>
              <w:left w:w="57" w:type="dxa"/>
              <w:bottom w:w="68" w:type="dxa"/>
              <w:right w:w="57" w:type="dxa"/>
            </w:tcMar>
            <w:vAlign w:val="center"/>
          </w:tcPr>
          <w:p w:rsidR="000D6E6A" w:rsidRDefault="000D6E6A">
            <w:pPr>
              <w:pStyle w:val="bodycopytabletable"/>
              <w:jc w:val="right"/>
            </w:pPr>
            <w:r>
              <w:t>48,693</w:t>
            </w:r>
          </w:p>
        </w:tc>
        <w:tc>
          <w:tcPr>
            <w:tcW w:w="2268" w:type="dxa"/>
            <w:tcBorders>
              <w:top w:val="dotted" w:color="542E8E" w:sz="4" w:space="0"/>
              <w:left w:val="nil"/>
              <w:bottom w:val="single" w:color="542E8E" w:sz="4" w:space="0"/>
              <w:right w:val="nil"/>
            </w:tcBorders>
            <w:shd w:val="solid" w:color="FFFFFF" w:fill="auto"/>
            <w:tcMar>
              <w:top w:w="68" w:type="dxa"/>
              <w:left w:w="57" w:type="dxa"/>
              <w:bottom w:w="68" w:type="dxa"/>
              <w:right w:w="57" w:type="dxa"/>
            </w:tcMar>
            <w:vAlign w:val="center"/>
          </w:tcPr>
          <w:p w:rsidR="000D6E6A" w:rsidRDefault="000D6E6A">
            <w:pPr>
              <w:pStyle w:val="bodycopytabletable"/>
              <w:jc w:val="right"/>
            </w:pPr>
            <w:r>
              <w:t>30,415</w:t>
            </w:r>
          </w:p>
        </w:tc>
      </w:tr>
    </w:tbl>
    <w:p w:rsidR="000D6E6A" w:rsidP="009B6B2A" w:rsidRDefault="000D6E6A">
      <w:pPr>
        <w:pStyle w:val="H2"/>
        <w:spacing w:before="240"/>
      </w:pPr>
      <w:r>
        <w:t>Procurement</w:t>
      </w:r>
    </w:p>
    <w:p w:rsidR="000D6E6A" w:rsidRDefault="000D6E6A">
      <w:pPr>
        <w:pStyle w:val="H4"/>
        <w:rPr>
          <w:spacing w:val="2"/>
        </w:rPr>
      </w:pPr>
      <w:r>
        <w:rPr>
          <w:spacing w:val="2"/>
        </w:rPr>
        <w:t>Driving a strategic approach to sourcing</w:t>
      </w:r>
    </w:p>
    <w:p w:rsidR="000D6E6A" w:rsidRDefault="000D6E6A">
      <w:pPr>
        <w:pStyle w:val="Bodycopy"/>
        <w:rPr>
          <w:spacing w:val="2"/>
        </w:rPr>
      </w:pPr>
      <w:r>
        <w:rPr>
          <w:spacing w:val="2"/>
        </w:rPr>
        <w:t xml:space="preserve">The department has been reforming how it procures goods and services to better leverage its buying </w:t>
      </w:r>
      <w:proofErr w:type="gramStart"/>
      <w:r>
        <w:rPr>
          <w:spacing w:val="2"/>
        </w:rPr>
        <w:t>power, and</w:t>
      </w:r>
      <w:proofErr w:type="gramEnd"/>
      <w:r>
        <w:rPr>
          <w:spacing w:val="2"/>
        </w:rPr>
        <w:t xml:space="preserve"> develop a specialised procurement capability.</w:t>
      </w:r>
    </w:p>
    <w:p w:rsidR="000D6E6A" w:rsidRDefault="000D6E6A">
      <w:pPr>
        <w:pStyle w:val="Bodycopy"/>
        <w:rPr>
          <w:spacing w:val="2"/>
        </w:rPr>
      </w:pPr>
      <w:r>
        <w:rPr>
          <w:spacing w:val="2"/>
        </w:rPr>
        <w:t>In 2017–18, the department focussed on a range of procurement reform initiatives to strengthen governance, enhance compliance processes as well as improving overall procurement and purchasing capability. These activities have included:</w:t>
      </w:r>
    </w:p>
    <w:p w:rsidR="000D6E6A" w:rsidRDefault="000D6E6A">
      <w:pPr>
        <w:pStyle w:val="BodycopyBullet"/>
        <w:rPr>
          <w:spacing w:val="2"/>
        </w:rPr>
      </w:pPr>
      <w:r>
        <w:rPr>
          <w:spacing w:val="2"/>
        </w:rPr>
        <w:t>modifying procurement technology to enhance our Purchase to Pay (P2P) practices as well as driving more efficient and effective supplier relationships</w:t>
      </w:r>
    </w:p>
    <w:p w:rsidR="000D6E6A" w:rsidRDefault="000D6E6A">
      <w:pPr>
        <w:pStyle w:val="BodycopyBullet"/>
        <w:rPr>
          <w:spacing w:val="2"/>
        </w:rPr>
      </w:pPr>
      <w:r>
        <w:rPr>
          <w:spacing w:val="2"/>
        </w:rPr>
        <w:t xml:space="preserve">increasing the capability for use of </w:t>
      </w:r>
      <w:proofErr w:type="spellStart"/>
      <w:r>
        <w:rPr>
          <w:spacing w:val="2"/>
        </w:rPr>
        <w:t>eCatalogues</w:t>
      </w:r>
      <w:proofErr w:type="spellEnd"/>
      <w:r>
        <w:rPr>
          <w:spacing w:val="2"/>
        </w:rPr>
        <w:t xml:space="preserve"> to reduce time and effort, and make it easier for staff to buy products from certain suppliers or categories</w:t>
      </w:r>
    </w:p>
    <w:p w:rsidR="000D6E6A" w:rsidRDefault="000D6E6A">
      <w:pPr>
        <w:pStyle w:val="BodycopyBullet"/>
        <w:rPr>
          <w:spacing w:val="2"/>
        </w:rPr>
      </w:pPr>
      <w:r>
        <w:rPr>
          <w:spacing w:val="2"/>
        </w:rPr>
        <w:t xml:space="preserve">expanding the department’s use of procurement technology by procuring an </w:t>
      </w:r>
      <w:proofErr w:type="spellStart"/>
      <w:r>
        <w:rPr>
          <w:spacing w:val="2"/>
        </w:rPr>
        <w:t>eSourcing</w:t>
      </w:r>
      <w:proofErr w:type="spellEnd"/>
      <w:r>
        <w:rPr>
          <w:spacing w:val="2"/>
        </w:rPr>
        <w:t xml:space="preserve"> solution to enable the effective and efficient management of sourcing processes </w:t>
      </w:r>
    </w:p>
    <w:p w:rsidR="000D6E6A" w:rsidRDefault="000D6E6A">
      <w:pPr>
        <w:pStyle w:val="BodycopyBullet"/>
        <w:rPr>
          <w:spacing w:val="2"/>
        </w:rPr>
      </w:pPr>
      <w:r>
        <w:rPr>
          <w:spacing w:val="2"/>
        </w:rPr>
        <w:t>designing and planning for the roll–out of a supplier portal plus two new mobile approving and receipting apps</w:t>
      </w:r>
    </w:p>
    <w:p w:rsidR="000D6E6A" w:rsidRDefault="000D6E6A">
      <w:pPr>
        <w:pStyle w:val="BodycopyBullet"/>
        <w:rPr>
          <w:spacing w:val="2"/>
        </w:rPr>
      </w:pPr>
      <w:r>
        <w:rPr>
          <w:spacing w:val="2"/>
        </w:rPr>
        <w:t>upgrading the department’s contract management system to strengthen the department’s data quality, improve reporting and opportunities for aggregation</w:t>
      </w:r>
    </w:p>
    <w:p w:rsidR="000D6E6A" w:rsidRDefault="000D6E6A">
      <w:pPr>
        <w:pStyle w:val="BodycopyBullet"/>
        <w:rPr>
          <w:spacing w:val="2"/>
        </w:rPr>
      </w:pPr>
      <w:r>
        <w:rPr>
          <w:spacing w:val="2"/>
        </w:rPr>
        <w:t>expanding the department’s procurement training profile to include a number of specialist modules and a RMIT Certificate IV in Procurement &amp; Contracting</w:t>
      </w:r>
    </w:p>
    <w:p w:rsidR="000D6E6A" w:rsidRDefault="000D6E6A">
      <w:pPr>
        <w:pStyle w:val="BodycopyBullet"/>
        <w:rPr>
          <w:spacing w:val="2"/>
        </w:rPr>
      </w:pPr>
      <w:r>
        <w:rPr>
          <w:spacing w:val="2"/>
        </w:rPr>
        <w:t>initiating a review of procurement to identify ways to deliver procurement more efficiently, manage risk and improve performance.</w:t>
      </w:r>
    </w:p>
    <w:p w:rsidR="000D6E6A" w:rsidRDefault="000D6E6A">
      <w:pPr>
        <w:pStyle w:val="Bodycopy"/>
        <w:rPr>
          <w:spacing w:val="2"/>
        </w:rPr>
      </w:pPr>
      <w:r>
        <w:rPr>
          <w:spacing w:val="2"/>
        </w:rPr>
        <w:t>These initiatives have improved efficiency and contributed to the department’s ability to serve the community through procurement.</w:t>
      </w:r>
    </w:p>
    <w:p w:rsidR="000D6E6A" w:rsidRDefault="000D6E6A">
      <w:pPr>
        <w:pStyle w:val="H3"/>
        <w:rPr>
          <w:spacing w:val="2"/>
        </w:rPr>
      </w:pPr>
      <w:r>
        <w:rPr>
          <w:spacing w:val="2"/>
        </w:rPr>
        <w:t>Victorian Industry Participation Policy (VIPP)</w:t>
      </w:r>
    </w:p>
    <w:p w:rsidR="000D6E6A" w:rsidRDefault="000D6E6A">
      <w:pPr>
        <w:pStyle w:val="Bodycopy"/>
        <w:rPr>
          <w:spacing w:val="2"/>
        </w:rPr>
      </w:pPr>
      <w:r>
        <w:rPr>
          <w:spacing w:val="2"/>
        </w:rPr>
        <w:t xml:space="preserve">The </w:t>
      </w:r>
      <w:r>
        <w:rPr>
          <w:rStyle w:val="italic"/>
          <w:spacing w:val="2"/>
        </w:rPr>
        <w:t>Victorian Industry Participation Policy Act 2003</w:t>
      </w:r>
      <w:r>
        <w:rPr>
          <w:spacing w:val="2"/>
        </w:rPr>
        <w:t xml:space="preserve"> requires Departments and </w:t>
      </w:r>
      <w:proofErr w:type="gramStart"/>
      <w:r>
        <w:rPr>
          <w:spacing w:val="2"/>
        </w:rPr>
        <w:t>public sector</w:t>
      </w:r>
      <w:proofErr w:type="gramEnd"/>
      <w:r>
        <w:rPr>
          <w:spacing w:val="2"/>
        </w:rPr>
        <w:t xml:space="preserve"> bodies to report on the implementation of the Local Jobs First – Victorian Industry Participation Policy (Local Jobs First – VIPP). Departments and </w:t>
      </w:r>
      <w:proofErr w:type="gramStart"/>
      <w:r>
        <w:rPr>
          <w:spacing w:val="2"/>
        </w:rPr>
        <w:t>public sector</w:t>
      </w:r>
      <w:proofErr w:type="gramEnd"/>
      <w:r>
        <w:rPr>
          <w:spacing w:val="2"/>
        </w:rPr>
        <w:t xml:space="preserve"> bodies are required to apply the Local Jobs First – VIPP in all procurement activities valued at $3 million or more in metropolitan Melbourne and for </w:t>
      </w:r>
      <w:proofErr w:type="spellStart"/>
      <w:r>
        <w:rPr>
          <w:spacing w:val="2"/>
        </w:rPr>
        <w:t>statewide</w:t>
      </w:r>
      <w:proofErr w:type="spellEnd"/>
      <w:r>
        <w:rPr>
          <w:spacing w:val="2"/>
        </w:rPr>
        <w:t xml:space="preserve"> projects, or $1 million or more for procurement activities in regional Victoria.</w:t>
      </w:r>
    </w:p>
    <w:p w:rsidR="000D6E6A" w:rsidRDefault="000D6E6A">
      <w:pPr>
        <w:pStyle w:val="Bodycopy"/>
      </w:pPr>
      <w:r>
        <w:t xml:space="preserve">During 2017–18, the department commenced 23 Local Jobs First – VIPP applicable procurements totalling $246 million. Of those projects, eight were located in regional Victoria, with a commitment of 55 per cent of local content, and nine were in metropolitan Melbourne, with an average commitment of 51 per cent local content. Five projects were commenced that occurred </w:t>
      </w:r>
      <w:proofErr w:type="spellStart"/>
      <w:r>
        <w:t>statewide</w:t>
      </w:r>
      <w:proofErr w:type="spellEnd"/>
      <w:r>
        <w:t>.</w:t>
      </w:r>
    </w:p>
    <w:p w:rsidR="000D6E6A" w:rsidRDefault="000D6E6A">
      <w:pPr>
        <w:pStyle w:val="Bodycopy"/>
      </w:pPr>
      <w:r>
        <w:t>The outcomes expected from the implementation of the Local Jobs First – VIPP to these projects, where information was provided, are as follows:</w:t>
      </w:r>
    </w:p>
    <w:p w:rsidR="000D6E6A" w:rsidRDefault="000D6E6A">
      <w:pPr>
        <w:pStyle w:val="BodycopyBulletspaceunder"/>
      </w:pPr>
      <w:r>
        <w:t>an average of 93 per cent of local content commitment was made</w:t>
      </w:r>
    </w:p>
    <w:p w:rsidR="000D6E6A" w:rsidRDefault="000D6E6A">
      <w:pPr>
        <w:pStyle w:val="BodycopyBulletspaceunder"/>
      </w:pPr>
      <w:r>
        <w:t>a total of 249 jobs (annualised employee equivalent (AEE)) were committed, including the creation of 31 new jobs and the retention of 218 existing jobs (AEE)</w:t>
      </w:r>
    </w:p>
    <w:p w:rsidR="000D6E6A" w:rsidRDefault="000D6E6A">
      <w:pPr>
        <w:pStyle w:val="BodycopyBulletspaceunder"/>
      </w:pPr>
      <w:r>
        <w:t xml:space="preserve">a total of 46 positions for apprentices/trainees were committed. </w:t>
      </w:r>
    </w:p>
    <w:p w:rsidR="000D6E6A" w:rsidRDefault="000D6E6A">
      <w:pPr>
        <w:pStyle w:val="Bodycopy"/>
      </w:pPr>
      <w:r>
        <w:t xml:space="preserve">During 2017–18, the Department completed five Local Jobs First – VIPP applicable projects, </w:t>
      </w:r>
      <w:r>
        <w:rPr>
          <w:spacing w:val="-4"/>
        </w:rPr>
        <w:t xml:space="preserve">collectively valued at approximately $200 million. Of these projects, two were located in regional Victoria, </w:t>
      </w:r>
      <w:r>
        <w:t xml:space="preserve">with an average commitment of 25.3 per cent local content, and one in metropolitan Melbourne </w:t>
      </w:r>
      <w:r>
        <w:rPr>
          <w:spacing w:val="-4"/>
        </w:rPr>
        <w:t xml:space="preserve">representing 63 per cent of estimated local content. </w:t>
      </w:r>
      <w:r>
        <w:t xml:space="preserve">Two projects occurred </w:t>
      </w:r>
      <w:proofErr w:type="spellStart"/>
      <w:r>
        <w:t>statewide</w:t>
      </w:r>
      <w:proofErr w:type="spellEnd"/>
      <w:r>
        <w:t xml:space="preserve"> with an average commitment of 89 per cent local content.</w:t>
      </w:r>
    </w:p>
    <w:p w:rsidR="000D6E6A" w:rsidRDefault="000D6E6A">
      <w:pPr>
        <w:pStyle w:val="Bodycopy"/>
      </w:pPr>
      <w:r>
        <w:t xml:space="preserve">The outcomes reported from the implementation of the policy where information was provided, were as follows: </w:t>
      </w:r>
    </w:p>
    <w:p w:rsidR="000D6E6A" w:rsidRDefault="000D6E6A">
      <w:pPr>
        <w:pStyle w:val="BodycopyBulletspaceunder"/>
      </w:pPr>
      <w:r>
        <w:lastRenderedPageBreak/>
        <w:t>an average of 88.3 per cent of local content outcome was recorded</w:t>
      </w:r>
    </w:p>
    <w:p w:rsidR="000D6E6A" w:rsidRDefault="000D6E6A">
      <w:pPr>
        <w:pStyle w:val="BodycopyBulletspaceunder"/>
      </w:pPr>
      <w:r>
        <w:t>31 new (AEE) jobs were created and 218 existing jobs (AEE) were retained</w:t>
      </w:r>
    </w:p>
    <w:p w:rsidR="000D6E6A" w:rsidRDefault="000D6E6A">
      <w:pPr>
        <w:pStyle w:val="BodycopyBulletspaceunder"/>
      </w:pPr>
      <w:r>
        <w:t xml:space="preserve">15 new apprenticeships/traineeships were </w:t>
      </w:r>
      <w:proofErr w:type="gramStart"/>
      <w:r>
        <w:t>created</w:t>
      </w:r>
      <w:proofErr w:type="gramEnd"/>
      <w:r>
        <w:t xml:space="preserve"> and 39 existing apprenticeships/traineeships were retained.</w:t>
      </w:r>
    </w:p>
    <w:p w:rsidR="000D6E6A" w:rsidRDefault="000D6E6A">
      <w:pPr>
        <w:pStyle w:val="Bodycopy"/>
      </w:pPr>
      <w:r>
        <w:t xml:space="preserve">During 2017–18, there were two </w:t>
      </w:r>
      <w:proofErr w:type="gramStart"/>
      <w:r>
        <w:t>small</w:t>
      </w:r>
      <w:proofErr w:type="gramEnd"/>
      <w:r>
        <w:t xml:space="preserve"> to medium sized businesses that prepared a VIPP Plan or Local Industry Development Plan (LIDP) for contracts, that were successfully appointed as Principal Contractor.</w:t>
      </w:r>
    </w:p>
    <w:p w:rsidR="000D6E6A" w:rsidRDefault="000D6E6A">
      <w:pPr>
        <w:pStyle w:val="Bodycopy"/>
      </w:pPr>
      <w:r>
        <w:t>During 2017–18, there were a total of 25 procurement plans prepared.</w:t>
      </w:r>
    </w:p>
    <w:p w:rsidR="000D6E6A" w:rsidRDefault="000D6E6A">
      <w:pPr>
        <w:pStyle w:val="Bodycopy"/>
      </w:pPr>
      <w:r>
        <w:t xml:space="preserve">During 2017–18, one project had the minimum formal weighting of 10 per cent applied for local content in the tender evaluation of the VIPP Plan or LIDP. </w:t>
      </w:r>
    </w:p>
    <w:p w:rsidR="000D6E6A" w:rsidRDefault="000D6E6A">
      <w:pPr>
        <w:pStyle w:val="Bodycopy"/>
      </w:pPr>
      <w:r>
        <w:t>The department commenced two contracts with a total of 96 per cent estimated to be of local content to which a VIPP Plan or LIDP was not required, as the procurement activity was local by nature.</w:t>
      </w:r>
    </w:p>
    <w:p w:rsidR="000D6E6A" w:rsidRDefault="000D6E6A">
      <w:pPr>
        <w:pStyle w:val="H3"/>
      </w:pPr>
      <w:r>
        <w:t>National Competition Policy</w:t>
      </w:r>
    </w:p>
    <w:p w:rsidR="000D6E6A" w:rsidRDefault="000D6E6A">
      <w:pPr>
        <w:pStyle w:val="Bodycopy"/>
      </w:pPr>
      <w:r>
        <w:t xml:space="preserve">The department continues to comply with the requirements of the National Competition Policy, including compliance with Victoria’s Competitive Neutrality Policy.  An exemption for prison industries was given by the Department of Premier and Cabinet as the primary focus of their activities is employing prisoners and undertaking vocational training. </w:t>
      </w:r>
    </w:p>
    <w:p w:rsidR="000D6E6A" w:rsidRDefault="000D6E6A">
      <w:pPr>
        <w:pStyle w:val="H3"/>
      </w:pPr>
      <w:r>
        <w:t>Disclosure of major contracts</w:t>
      </w:r>
    </w:p>
    <w:p w:rsidR="000D6E6A" w:rsidRDefault="000D6E6A">
      <w:pPr>
        <w:pStyle w:val="Bodycopy"/>
        <w:rPr>
          <w:spacing w:val="-2"/>
        </w:rPr>
      </w:pPr>
      <w:r>
        <w:rPr>
          <w:spacing w:val="-2"/>
        </w:rPr>
        <w:t xml:space="preserve">With the exception of the contracts referred to below, the department has disclosed, in accordance with the requirements of government policy and accompanying guidelines, all contracts greater than $10 million in value entered into during the year ended 30 June 2018. Details of contracts that have been disclosed in the Victorian Government contracts publishing system can be viewed at: www.procurement.vic.gov.au. </w:t>
      </w:r>
    </w:p>
    <w:p w:rsidR="000D6E6A" w:rsidRDefault="000D6E6A">
      <w:pPr>
        <w:pStyle w:val="Bodycopy"/>
      </w:pPr>
      <w:r>
        <w:t>Contractual details have not been disclosed for contracts where disclosure is exempted under the Freedom of Information Act and/or government guidelines.</w:t>
      </w:r>
    </w:p>
    <w:p w:rsidR="000D6E6A" w:rsidRDefault="000D6E6A">
      <w:pPr>
        <w:pStyle w:val="H3"/>
      </w:pPr>
      <w:r>
        <w:t>Details of consultancies (valued at $10 000 or greater)</w:t>
      </w:r>
    </w:p>
    <w:p w:rsidR="000D6E6A" w:rsidRDefault="000D6E6A">
      <w:pPr>
        <w:pStyle w:val="Bodycopyspan"/>
        <w:rPr>
          <w:i w:val="false"/>
          <w:iCs w:val="false"/>
        </w:rPr>
      </w:pPr>
      <w:r>
        <w:rPr>
          <w:i w:val="false"/>
          <w:iCs w:val="false"/>
        </w:rPr>
        <w:t xml:space="preserve">In 2017–18, there were 47 consultancies where the total fees payable to the consultants were $10 000 or greater. The total expenditure incurred during 2017–18 in relation to these consultancies is $2.59 million (excluding GST). Details of individual consultancies are outlined below. </w:t>
      </w:r>
    </w:p>
    <w:tbl>
      <w:tblPr>
        <w:tblW w:w="0" w:type="auto"/>
        <w:tblLayout w:type="fixed"/>
        <w:tblCellMar>
          <w:left w:w="0" w:type="dxa"/>
          <w:right w:w="0" w:type="dxa"/>
        </w:tblCellMar>
        <w:tblLook w:firstRow="0" w:lastRow="0" w:firstColumn="0" w:lastColumn="0" w:noHBand="0" w:noVBand="0" w:val="0000"/>
      </w:tblPr>
      <w:tblGrid>
        <w:gridCol w:w="1871"/>
        <w:gridCol w:w="2524"/>
        <w:gridCol w:w="992"/>
        <w:gridCol w:w="992"/>
        <w:gridCol w:w="1276"/>
        <w:gridCol w:w="1276"/>
        <w:gridCol w:w="1134"/>
      </w:tblGrid>
      <w:tr w:rsidRPr="009B6B2A" w:rsidR="000D6E6A" w:rsidTr="000B42AC">
        <w:tblPrEx>
          <w:tblCellMar>
            <w:top w:w="0" w:type="dxa"/>
            <w:left w:w="0" w:type="dxa"/>
            <w:bottom w:w="0" w:type="dxa"/>
            <w:right w:w="0" w:type="dxa"/>
          </w:tblCellMar>
        </w:tblPrEx>
        <w:trPr>
          <w:trHeight w:val="113"/>
          <w:tblHeader/>
        </w:trPr>
        <w:tc>
          <w:tcPr>
            <w:tcW w:w="1871" w:type="dxa"/>
            <w:tcBorders>
              <w:top w:val="dotted" w:color="000000" w:sz="6" w:space="0"/>
              <w:left w:val="nil"/>
              <w:bottom w:val="single" w:color="542E8E" w:sz="6" w:space="0"/>
              <w:right w:val="nil"/>
            </w:tcBorders>
            <w:shd w:val="solid" w:color="FFFFFF" w:fill="auto"/>
            <w:tcMar>
              <w:top w:w="57" w:type="dxa"/>
              <w:left w:w="0" w:type="dxa"/>
              <w:bottom w:w="57" w:type="dxa"/>
              <w:right w:w="57" w:type="dxa"/>
            </w:tcMar>
            <w:vAlign w:val="bottom"/>
          </w:tcPr>
          <w:p w:rsidRPr="009B6B2A" w:rsidR="000D6E6A" w:rsidP="009B6B2A" w:rsidRDefault="000D6E6A">
            <w:pPr>
              <w:pStyle w:val="bodycopytabletable"/>
            </w:pPr>
            <w:r w:rsidRPr="009B6B2A">
              <w:rPr>
                <w:rStyle w:val="mediumpurple"/>
                <w:b/>
                <w:bCs/>
              </w:rPr>
              <w:t>Consultant</w:t>
            </w:r>
          </w:p>
        </w:tc>
        <w:tc>
          <w:tcPr>
            <w:tcW w:w="2524"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9B6B2A" w:rsidR="000D6E6A" w:rsidP="009B6B2A" w:rsidRDefault="000D6E6A">
            <w:pPr>
              <w:pStyle w:val="bodycopytabletable"/>
            </w:pPr>
            <w:r w:rsidRPr="009B6B2A">
              <w:rPr>
                <w:rStyle w:val="mediumpurple"/>
                <w:b/>
                <w:bCs/>
              </w:rPr>
              <w:t>Purpose of consultancy</w:t>
            </w:r>
          </w:p>
        </w:tc>
        <w:tc>
          <w:tcPr>
            <w:tcW w:w="992"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9B6B2A" w:rsidR="000D6E6A" w:rsidP="009B6B2A" w:rsidRDefault="000D6E6A">
            <w:pPr>
              <w:pStyle w:val="bodycopytabletable"/>
              <w:jc w:val="center"/>
            </w:pPr>
            <w:r w:rsidRPr="009B6B2A">
              <w:rPr>
                <w:rStyle w:val="mediumpurple"/>
                <w:b/>
                <w:bCs/>
              </w:rPr>
              <w:t>Start date</w:t>
            </w:r>
          </w:p>
        </w:tc>
        <w:tc>
          <w:tcPr>
            <w:tcW w:w="992"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9B6B2A" w:rsidR="000D6E6A" w:rsidP="009B6B2A" w:rsidRDefault="000D6E6A">
            <w:pPr>
              <w:pStyle w:val="bodycopytabletable"/>
              <w:jc w:val="center"/>
            </w:pPr>
            <w:r w:rsidRPr="009B6B2A">
              <w:rPr>
                <w:rStyle w:val="mediumpurple"/>
                <w:b/>
                <w:bCs/>
              </w:rPr>
              <w:t>End date</w:t>
            </w:r>
          </w:p>
        </w:tc>
        <w:tc>
          <w:tcPr>
            <w:tcW w:w="1276"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9B6B2A" w:rsidR="000D6E6A" w:rsidP="009B6B2A" w:rsidRDefault="000D6E6A">
            <w:pPr>
              <w:pStyle w:val="bodycopytabletable"/>
              <w:jc w:val="right"/>
            </w:pPr>
            <w:r w:rsidRPr="009B6B2A">
              <w:rPr>
                <w:rStyle w:val="mediumpurple"/>
                <w:b/>
                <w:bCs/>
              </w:rPr>
              <w:t>Total approved project fee (excl. GST)</w:t>
            </w:r>
          </w:p>
        </w:tc>
        <w:tc>
          <w:tcPr>
            <w:tcW w:w="1276"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9B6B2A" w:rsidR="000D6E6A" w:rsidP="009B6B2A" w:rsidRDefault="000D6E6A">
            <w:pPr>
              <w:pStyle w:val="bodycopytabletable"/>
              <w:jc w:val="right"/>
            </w:pPr>
            <w:r w:rsidRPr="009B6B2A">
              <w:rPr>
                <w:rStyle w:val="mediumpurple"/>
                <w:b/>
                <w:bCs/>
              </w:rPr>
              <w:t>Expenditure 2017</w:t>
            </w:r>
            <w:r w:rsidRPr="009B6B2A">
              <w:rPr>
                <w:rStyle w:val="mediumpurple"/>
                <w:rFonts w:ascii="Cambria Math" w:hAnsi="Cambria Math" w:cs="Cambria Math"/>
                <w:b/>
                <w:bCs/>
              </w:rPr>
              <w:t>‑</w:t>
            </w:r>
            <w:r w:rsidRPr="009B6B2A">
              <w:rPr>
                <w:rStyle w:val="mediumpurple"/>
                <w:b/>
                <w:bCs/>
              </w:rPr>
              <w:t>18 (excl. GST)</w:t>
            </w:r>
          </w:p>
        </w:tc>
        <w:tc>
          <w:tcPr>
            <w:tcW w:w="1134" w:type="dxa"/>
            <w:tcBorders>
              <w:top w:val="dotted" w:color="000000" w:sz="6" w:space="0"/>
              <w:left w:val="nil"/>
              <w:bottom w:val="single" w:color="542E8E" w:sz="6" w:space="0"/>
              <w:right w:val="nil"/>
            </w:tcBorders>
            <w:shd w:val="solid" w:color="FFFFFF" w:fill="auto"/>
            <w:tcMar>
              <w:top w:w="57" w:type="dxa"/>
              <w:left w:w="57" w:type="dxa"/>
              <w:bottom w:w="57" w:type="dxa"/>
              <w:right w:w="0" w:type="dxa"/>
            </w:tcMar>
            <w:vAlign w:val="bottom"/>
          </w:tcPr>
          <w:p w:rsidRPr="009B6B2A" w:rsidR="000D6E6A" w:rsidP="009B6B2A" w:rsidRDefault="000D6E6A">
            <w:pPr>
              <w:pStyle w:val="bodycopytabletable"/>
              <w:jc w:val="right"/>
            </w:pPr>
            <w:r w:rsidRPr="009B6B2A">
              <w:rPr>
                <w:rStyle w:val="mediumpurple"/>
                <w:b/>
                <w:bCs/>
              </w:rPr>
              <w:t>Future expenditure (excl. GST)</w:t>
            </w:r>
          </w:p>
        </w:tc>
      </w:tr>
      <w:tr w:rsidRPr="009B6B2A" w:rsidR="000D6E6A" w:rsidTr="000B42AC">
        <w:tblPrEx>
          <w:tblCellMar>
            <w:top w:w="0" w:type="dxa"/>
            <w:left w:w="0" w:type="dxa"/>
            <w:bottom w:w="0" w:type="dxa"/>
            <w:right w:w="0" w:type="dxa"/>
          </w:tblCellMar>
        </w:tblPrEx>
        <w:trPr>
          <w:trHeight w:val="113"/>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9B6B2A" w:rsidR="000D6E6A" w:rsidRDefault="000D6E6A">
            <w:pPr>
              <w:pStyle w:val="bodycopytabletable"/>
            </w:pPr>
            <w:r w:rsidRPr="009B6B2A">
              <w:rPr>
                <w:caps/>
              </w:rPr>
              <w:t>KPMG</w:t>
            </w:r>
          </w:p>
        </w:tc>
        <w:tc>
          <w:tcPr>
            <w:tcW w:w="252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r w:rsidRPr="009B6B2A">
              <w:t>Review of the governance and management of the Road Safety Camera system</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19/07/2017</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31/01/2018</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$135,356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$135,356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jc w:val="right"/>
            </w:pPr>
            <w:r w:rsidRPr="009B6B2A">
              <w:t>$0</w:t>
            </w:r>
          </w:p>
        </w:tc>
      </w:tr>
      <w:tr w:rsidRPr="009B6B2A" w:rsidR="000D6E6A" w:rsidTr="000B42AC">
        <w:tblPrEx>
          <w:tblCellMar>
            <w:top w:w="0" w:type="dxa"/>
            <w:left w:w="0" w:type="dxa"/>
            <w:bottom w:w="0" w:type="dxa"/>
            <w:right w:w="0" w:type="dxa"/>
          </w:tblCellMar>
        </w:tblPrEx>
        <w:trPr>
          <w:trHeight w:val="113"/>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9B6B2A" w:rsidR="000D6E6A" w:rsidRDefault="000D6E6A">
            <w:pPr>
              <w:pStyle w:val="bodycopytabletable"/>
            </w:pPr>
            <w:r w:rsidRPr="009B6B2A">
              <w:rPr>
                <w:caps/>
              </w:rPr>
              <w:t xml:space="preserve">Social Ventures </w:t>
            </w:r>
            <w:r w:rsidRPr="009B6B2A">
              <w:rPr>
                <w:caps/>
              </w:rPr>
              <w:br/>
              <w:t>Aust Ltd</w:t>
            </w:r>
          </w:p>
        </w:tc>
        <w:tc>
          <w:tcPr>
            <w:tcW w:w="252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r w:rsidRPr="009B6B2A">
              <w:t xml:space="preserve">Provision of administration, research and report writing support to the Independent </w:t>
            </w:r>
            <w:r w:rsidRPr="009B6B2A">
              <w:rPr>
                <w:spacing w:val="-3"/>
              </w:rPr>
              <w:t xml:space="preserve">Reviewer conducting the review of </w:t>
            </w:r>
            <w:r w:rsidRPr="009B6B2A">
              <w:rPr>
                <w:spacing w:val="-2"/>
              </w:rPr>
              <w:t xml:space="preserve">the </w:t>
            </w:r>
            <w:r w:rsidRPr="009B6B2A">
              <w:rPr>
                <w:i/>
                <w:iCs/>
                <w:spacing w:val="-2"/>
              </w:rPr>
              <w:t xml:space="preserve">Traditional Owner Settlement </w:t>
            </w:r>
            <w:r w:rsidRPr="009B6B2A">
              <w:rPr>
                <w:i/>
                <w:iCs/>
              </w:rPr>
              <w:t>Act 2010</w:t>
            </w:r>
            <w:r w:rsidRPr="009B6B2A">
              <w:t xml:space="preserve"> ‘Thresholds’ stage.</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1/08/2017</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27/10/2017</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$55,000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$55,180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jc w:val="right"/>
            </w:pPr>
            <w:r w:rsidRPr="009B6B2A">
              <w:t>$0</w:t>
            </w:r>
          </w:p>
        </w:tc>
      </w:tr>
      <w:tr w:rsidRPr="009B6B2A" w:rsidR="000D6E6A" w:rsidTr="000B42AC">
        <w:tblPrEx>
          <w:tblCellMar>
            <w:top w:w="0" w:type="dxa"/>
            <w:left w:w="0" w:type="dxa"/>
            <w:bottom w:w="0" w:type="dxa"/>
            <w:right w:w="0" w:type="dxa"/>
          </w:tblCellMar>
        </w:tblPrEx>
        <w:trPr>
          <w:trHeight w:val="113"/>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9B6B2A" w:rsidR="000D6E6A" w:rsidRDefault="000D6E6A">
            <w:pPr>
              <w:pStyle w:val="bodycopytabletable"/>
            </w:pPr>
            <w:r w:rsidRPr="009B6B2A">
              <w:rPr>
                <w:caps/>
              </w:rPr>
              <w:t>Timothy Barry Goodwin</w:t>
            </w:r>
          </w:p>
        </w:tc>
        <w:tc>
          <w:tcPr>
            <w:tcW w:w="252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r w:rsidRPr="009B6B2A">
              <w:t>Review of the ‘threshold’ stage of the Traditional Owner Settlement Act 2010</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3/08/2017</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27/10/2017</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$52,500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$52,500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jc w:val="right"/>
            </w:pPr>
            <w:r w:rsidRPr="009B6B2A">
              <w:t>$0</w:t>
            </w:r>
          </w:p>
        </w:tc>
      </w:tr>
      <w:tr w:rsidRPr="009B6B2A" w:rsidR="000D6E6A" w:rsidTr="000B42AC">
        <w:tblPrEx>
          <w:tblCellMar>
            <w:top w:w="0" w:type="dxa"/>
            <w:left w:w="0" w:type="dxa"/>
            <w:bottom w:w="0" w:type="dxa"/>
            <w:right w:w="0" w:type="dxa"/>
          </w:tblCellMar>
        </w:tblPrEx>
        <w:trPr>
          <w:trHeight w:val="113"/>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9B6B2A" w:rsidR="000D6E6A" w:rsidRDefault="000D6E6A">
            <w:pPr>
              <w:pStyle w:val="bodycopytabletable"/>
            </w:pPr>
            <w:r w:rsidRPr="009B6B2A">
              <w:rPr>
                <w:caps/>
              </w:rPr>
              <w:t>Ernst And Young</w:t>
            </w:r>
          </w:p>
        </w:tc>
        <w:tc>
          <w:tcPr>
            <w:tcW w:w="252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r w:rsidRPr="009B6B2A">
              <w:t>Review of the Procurement Operating Model</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21/08/2017</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31/12/2018</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$275,000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$275,000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jc w:val="right"/>
            </w:pPr>
            <w:r w:rsidRPr="009B6B2A">
              <w:t xml:space="preserve">$0 </w:t>
            </w:r>
          </w:p>
        </w:tc>
      </w:tr>
      <w:tr w:rsidRPr="009B6B2A" w:rsidR="000D6E6A" w:rsidTr="000B42AC">
        <w:tblPrEx>
          <w:tblCellMar>
            <w:top w:w="0" w:type="dxa"/>
            <w:left w:w="0" w:type="dxa"/>
            <w:bottom w:w="0" w:type="dxa"/>
            <w:right w:w="0" w:type="dxa"/>
          </w:tblCellMar>
        </w:tblPrEx>
        <w:trPr>
          <w:trHeight w:val="113"/>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9B6B2A" w:rsidR="000D6E6A" w:rsidRDefault="000D6E6A">
            <w:pPr>
              <w:pStyle w:val="bodycopytabletable"/>
            </w:pPr>
            <w:r w:rsidRPr="009B6B2A">
              <w:rPr>
                <w:caps/>
              </w:rPr>
              <w:t>ARUP Pty Ltd</w:t>
            </w:r>
          </w:p>
        </w:tc>
        <w:tc>
          <w:tcPr>
            <w:tcW w:w="252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r w:rsidRPr="009B6B2A">
              <w:t>Provision of Vehicle Security Barrier Advisory Services (Melbourne CBD)</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28/08/2017</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14/10/2017</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$151,990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$151,990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jc w:val="right"/>
            </w:pPr>
            <w:r w:rsidRPr="009B6B2A">
              <w:t>$0</w:t>
            </w:r>
          </w:p>
        </w:tc>
      </w:tr>
      <w:tr w:rsidRPr="009B6B2A" w:rsidR="000D6E6A" w:rsidTr="000B42AC">
        <w:tblPrEx>
          <w:tblCellMar>
            <w:top w:w="0" w:type="dxa"/>
            <w:left w:w="0" w:type="dxa"/>
            <w:bottom w:w="0" w:type="dxa"/>
            <w:right w:w="0" w:type="dxa"/>
          </w:tblCellMar>
        </w:tblPrEx>
        <w:trPr>
          <w:trHeight w:val="113"/>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9B6B2A" w:rsidR="000D6E6A" w:rsidRDefault="000D6E6A">
            <w:pPr>
              <w:pStyle w:val="bodycopytabletable"/>
            </w:pPr>
            <w:r w:rsidRPr="009B6B2A">
              <w:rPr>
                <w:caps/>
              </w:rPr>
              <w:t xml:space="preserve">SACS Consulting </w:t>
            </w:r>
            <w:r w:rsidRPr="009B6B2A">
              <w:rPr>
                <w:caps/>
              </w:rPr>
              <w:br/>
              <w:t>Pty Ltd</w:t>
            </w:r>
          </w:p>
        </w:tc>
        <w:tc>
          <w:tcPr>
            <w:tcW w:w="252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r w:rsidRPr="009B6B2A">
              <w:t>High performance modelling of the Forensic Alcohol and Drug workforce</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28/08/2017</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3/11/2017</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$20,990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$20,990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jc w:val="right"/>
            </w:pPr>
            <w:r w:rsidRPr="009B6B2A">
              <w:t>$0</w:t>
            </w:r>
          </w:p>
        </w:tc>
      </w:tr>
      <w:tr w:rsidRPr="009B6B2A" w:rsidR="000D6E6A" w:rsidTr="000B42AC">
        <w:tblPrEx>
          <w:tblCellMar>
            <w:top w:w="0" w:type="dxa"/>
            <w:left w:w="0" w:type="dxa"/>
            <w:bottom w:w="0" w:type="dxa"/>
            <w:right w:w="0" w:type="dxa"/>
          </w:tblCellMar>
        </w:tblPrEx>
        <w:trPr>
          <w:trHeight w:val="113"/>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9B6B2A" w:rsidR="000D6E6A" w:rsidRDefault="000D6E6A">
            <w:pPr>
              <w:pStyle w:val="bodycopytabletable"/>
            </w:pPr>
            <w:r w:rsidRPr="009B6B2A">
              <w:rPr>
                <w:caps/>
              </w:rPr>
              <w:t>Christopher Roper</w:t>
            </w:r>
          </w:p>
        </w:tc>
        <w:tc>
          <w:tcPr>
            <w:tcW w:w="252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r w:rsidRPr="009B6B2A">
              <w:rPr>
                <w:spacing w:val="-2"/>
              </w:rPr>
              <w:t xml:space="preserve">Review of Melbourne Law School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1/09/2017</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31/07/2018</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$18,375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$18,375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jc w:val="right"/>
            </w:pPr>
            <w:r w:rsidRPr="009B6B2A">
              <w:t>$0</w:t>
            </w:r>
          </w:p>
        </w:tc>
      </w:tr>
      <w:tr w:rsidRPr="009B6B2A" w:rsidR="000D6E6A" w:rsidTr="000B42AC">
        <w:tblPrEx>
          <w:tblCellMar>
            <w:top w:w="0" w:type="dxa"/>
            <w:left w:w="0" w:type="dxa"/>
            <w:bottom w:w="0" w:type="dxa"/>
            <w:right w:w="0" w:type="dxa"/>
          </w:tblCellMar>
        </w:tblPrEx>
        <w:trPr>
          <w:trHeight w:val="113"/>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9B6B2A" w:rsidR="000D6E6A" w:rsidRDefault="000D6E6A">
            <w:pPr>
              <w:pStyle w:val="bodycopytabletable"/>
            </w:pPr>
            <w:r w:rsidRPr="009B6B2A">
              <w:rPr>
                <w:caps/>
              </w:rPr>
              <w:t>Kieran Walshe</w:t>
            </w:r>
          </w:p>
        </w:tc>
        <w:tc>
          <w:tcPr>
            <w:tcW w:w="252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r w:rsidRPr="009B6B2A">
              <w:rPr>
                <w:spacing w:val="2"/>
              </w:rPr>
              <w:t>Review of the implementation of the recommendation from the independent investigation at Metropolitan Remand Centre riot</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01/09/2017</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28/09/2017</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$32,000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$32,000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jc w:val="right"/>
            </w:pPr>
            <w:r w:rsidRPr="009B6B2A">
              <w:t>$0</w:t>
            </w:r>
          </w:p>
        </w:tc>
      </w:tr>
      <w:tr w:rsidRPr="009B6B2A" w:rsidR="000D6E6A" w:rsidTr="000B42AC">
        <w:tblPrEx>
          <w:tblCellMar>
            <w:top w:w="0" w:type="dxa"/>
            <w:left w:w="0" w:type="dxa"/>
            <w:bottom w:w="0" w:type="dxa"/>
            <w:right w:w="0" w:type="dxa"/>
          </w:tblCellMar>
        </w:tblPrEx>
        <w:trPr>
          <w:trHeight w:val="113"/>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9B6B2A" w:rsidR="000D6E6A" w:rsidRDefault="000D6E6A">
            <w:pPr>
              <w:pStyle w:val="bodycopytabletable"/>
            </w:pPr>
            <w:r w:rsidRPr="009B6B2A">
              <w:rPr>
                <w:caps/>
              </w:rPr>
              <w:t>Gaming Consultants International</w:t>
            </w:r>
          </w:p>
        </w:tc>
        <w:tc>
          <w:tcPr>
            <w:tcW w:w="252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r w:rsidRPr="009B6B2A">
              <w:rPr>
                <w:spacing w:val="-3"/>
              </w:rPr>
              <w:t xml:space="preserve">GLP Technical Advisory Services </w:t>
            </w:r>
            <w:r w:rsidRPr="009B6B2A">
              <w:t>to conduct high level review of the monitoring licensee</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18/09/2017</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31/10/2017</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$20,160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$20,160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jc w:val="right"/>
            </w:pPr>
            <w:r w:rsidRPr="009B6B2A">
              <w:t>$0</w:t>
            </w:r>
          </w:p>
        </w:tc>
      </w:tr>
      <w:tr w:rsidRPr="009B6B2A" w:rsidR="000D6E6A" w:rsidTr="000B42AC">
        <w:tblPrEx>
          <w:tblCellMar>
            <w:top w:w="0" w:type="dxa"/>
            <w:left w:w="0" w:type="dxa"/>
            <w:bottom w:w="0" w:type="dxa"/>
            <w:right w:w="0" w:type="dxa"/>
          </w:tblCellMar>
        </w:tblPrEx>
        <w:trPr>
          <w:trHeight w:val="113"/>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9B6B2A" w:rsidR="000D6E6A" w:rsidRDefault="000D6E6A">
            <w:pPr>
              <w:pStyle w:val="bodycopytabletable"/>
            </w:pPr>
            <w:r w:rsidRPr="009B6B2A">
              <w:rPr>
                <w:caps/>
              </w:rPr>
              <w:t>Clear Horizon Consulting Pty Ltd</w:t>
            </w:r>
          </w:p>
        </w:tc>
        <w:tc>
          <w:tcPr>
            <w:tcW w:w="252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r w:rsidRPr="009B6B2A">
              <w:t>Evaluation Framework for Family Violence Restorative Justice project</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25/09/2017</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22/12/2017</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$18,600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$18,600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jc w:val="right"/>
            </w:pPr>
            <w:r w:rsidRPr="009B6B2A">
              <w:t>$0</w:t>
            </w:r>
          </w:p>
        </w:tc>
      </w:tr>
      <w:tr w:rsidRPr="009B6B2A" w:rsidR="000D6E6A" w:rsidTr="000B42AC">
        <w:tblPrEx>
          <w:tblCellMar>
            <w:top w:w="0" w:type="dxa"/>
            <w:left w:w="0" w:type="dxa"/>
            <w:bottom w:w="0" w:type="dxa"/>
            <w:right w:w="0" w:type="dxa"/>
          </w:tblCellMar>
        </w:tblPrEx>
        <w:trPr>
          <w:trHeight w:val="113"/>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9B6B2A" w:rsidR="000D6E6A" w:rsidRDefault="000D6E6A">
            <w:pPr>
              <w:pStyle w:val="bodycopytabletable"/>
            </w:pPr>
            <w:r w:rsidRPr="009B6B2A">
              <w:rPr>
                <w:caps/>
                <w:spacing w:val="-5"/>
              </w:rPr>
              <w:t xml:space="preserve">Firefoxes Australia </w:t>
            </w:r>
            <w:r w:rsidRPr="009B6B2A">
              <w:rPr>
                <w:caps/>
              </w:rPr>
              <w:lastRenderedPageBreak/>
              <w:t>Women Rising Together From Black Saturday</w:t>
            </w:r>
          </w:p>
        </w:tc>
        <w:tc>
          <w:tcPr>
            <w:tcW w:w="252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r w:rsidRPr="009B6B2A">
              <w:lastRenderedPageBreak/>
              <w:t xml:space="preserve">Community planning and delivery </w:t>
            </w:r>
            <w:r w:rsidRPr="009B6B2A">
              <w:lastRenderedPageBreak/>
              <w:t>of immersive bushfire experience</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lastRenderedPageBreak/>
              <w:t>1/10/2017</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30/09/2018</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$14,550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$5,335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jc w:val="right"/>
            </w:pPr>
            <w:r w:rsidRPr="009B6B2A">
              <w:t xml:space="preserve">$9,215 </w:t>
            </w:r>
          </w:p>
        </w:tc>
      </w:tr>
      <w:tr w:rsidRPr="009B6B2A" w:rsidR="000D6E6A" w:rsidTr="000B42AC">
        <w:tblPrEx>
          <w:tblCellMar>
            <w:top w:w="0" w:type="dxa"/>
            <w:left w:w="0" w:type="dxa"/>
            <w:bottom w:w="0" w:type="dxa"/>
            <w:right w:w="0" w:type="dxa"/>
          </w:tblCellMar>
        </w:tblPrEx>
        <w:trPr>
          <w:trHeight w:val="113"/>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9B6B2A" w:rsidR="000D6E6A" w:rsidRDefault="000D6E6A">
            <w:pPr>
              <w:pStyle w:val="bodycopytabletable"/>
            </w:pPr>
            <w:r w:rsidRPr="009B6B2A">
              <w:rPr>
                <w:caps/>
              </w:rPr>
              <w:t xml:space="preserve">Stevenson Hallifax </w:t>
            </w:r>
            <w:r w:rsidRPr="009B6B2A">
              <w:rPr>
                <w:caps/>
              </w:rPr>
              <w:br/>
              <w:t>Pty Ltd</w:t>
            </w:r>
          </w:p>
        </w:tc>
        <w:tc>
          <w:tcPr>
            <w:tcW w:w="252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r w:rsidRPr="009B6B2A">
              <w:t>Engagement of provider to measure current and desired culture</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4/10/2017</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16/11/2017</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$17,585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$17,585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jc w:val="right"/>
            </w:pPr>
            <w:r w:rsidRPr="009B6B2A">
              <w:t>$0</w:t>
            </w:r>
          </w:p>
        </w:tc>
      </w:tr>
      <w:tr w:rsidRPr="009B6B2A" w:rsidR="000D6E6A" w:rsidTr="000B42AC">
        <w:tblPrEx>
          <w:tblCellMar>
            <w:top w:w="0" w:type="dxa"/>
            <w:left w:w="0" w:type="dxa"/>
            <w:bottom w:w="0" w:type="dxa"/>
            <w:right w:w="0" w:type="dxa"/>
          </w:tblCellMar>
        </w:tblPrEx>
        <w:trPr>
          <w:trHeight w:val="113"/>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9B6B2A" w:rsidR="000D6E6A" w:rsidRDefault="000D6E6A">
            <w:pPr>
              <w:pStyle w:val="bodycopytabletable"/>
            </w:pPr>
            <w:r w:rsidRPr="009B6B2A">
              <w:rPr>
                <w:caps/>
              </w:rPr>
              <w:t xml:space="preserve">89 Degrees East </w:t>
            </w:r>
            <w:r w:rsidRPr="009B6B2A">
              <w:rPr>
                <w:caps/>
              </w:rPr>
              <w:br/>
              <w:t>Pty Ltd</w:t>
            </w:r>
          </w:p>
        </w:tc>
        <w:tc>
          <w:tcPr>
            <w:tcW w:w="252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r w:rsidRPr="009B6B2A">
              <w:t xml:space="preserve">Delivery </w:t>
            </w:r>
            <w:proofErr w:type="gramStart"/>
            <w:r w:rsidRPr="009B6B2A">
              <w:t>Of</w:t>
            </w:r>
            <w:proofErr w:type="gramEnd"/>
            <w:r w:rsidRPr="009B6B2A">
              <w:t xml:space="preserve"> Strategic Business Plan and Narrative</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11/10/2017</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27/11/2017</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$17,600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$17,600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jc w:val="right"/>
            </w:pPr>
            <w:r w:rsidRPr="009B6B2A">
              <w:t>$0</w:t>
            </w:r>
          </w:p>
        </w:tc>
      </w:tr>
      <w:tr w:rsidRPr="009B6B2A" w:rsidR="000D6E6A" w:rsidTr="000B42AC">
        <w:tblPrEx>
          <w:tblCellMar>
            <w:top w:w="0" w:type="dxa"/>
            <w:left w:w="0" w:type="dxa"/>
            <w:bottom w:w="0" w:type="dxa"/>
            <w:right w:w="0" w:type="dxa"/>
          </w:tblCellMar>
        </w:tblPrEx>
        <w:trPr>
          <w:trHeight w:val="113"/>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9B6B2A" w:rsidR="000D6E6A" w:rsidRDefault="000D6E6A">
            <w:pPr>
              <w:pStyle w:val="bodycopytabletable"/>
            </w:pPr>
            <w:r w:rsidRPr="009B6B2A">
              <w:rPr>
                <w:caps/>
              </w:rPr>
              <w:t xml:space="preserve">Deloitte Consulting </w:t>
            </w:r>
            <w:r w:rsidRPr="009B6B2A">
              <w:rPr>
                <w:caps/>
              </w:rPr>
              <w:br/>
              <w:t>Pty Ltd</w:t>
            </w:r>
          </w:p>
        </w:tc>
        <w:tc>
          <w:tcPr>
            <w:tcW w:w="252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r w:rsidRPr="009B6B2A">
              <w:t>Cost Mapping Review – Consulting Services – department-wide review</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16/10/2017</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31/03/2018</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$747,235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$747,235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jc w:val="right"/>
            </w:pPr>
            <w:r w:rsidRPr="009B6B2A">
              <w:t>$0</w:t>
            </w:r>
          </w:p>
        </w:tc>
      </w:tr>
      <w:tr w:rsidRPr="009B6B2A" w:rsidR="000D6E6A" w:rsidTr="000B42AC">
        <w:tblPrEx>
          <w:tblCellMar>
            <w:top w:w="0" w:type="dxa"/>
            <w:left w:w="0" w:type="dxa"/>
            <w:bottom w:w="0" w:type="dxa"/>
            <w:right w:w="0" w:type="dxa"/>
          </w:tblCellMar>
        </w:tblPrEx>
        <w:trPr>
          <w:trHeight w:val="113"/>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9B6B2A" w:rsidR="000D6E6A" w:rsidRDefault="000D6E6A">
            <w:pPr>
              <w:pStyle w:val="bodycopytabletable"/>
            </w:pPr>
            <w:r w:rsidRPr="009B6B2A">
              <w:rPr>
                <w:caps/>
              </w:rPr>
              <w:t>Deloitte Risk Advisory Pty Ltd</w:t>
            </w:r>
          </w:p>
        </w:tc>
        <w:tc>
          <w:tcPr>
            <w:tcW w:w="252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pPr>
            <w:r w:rsidRPr="009B6B2A">
              <w:rPr>
                <w:spacing w:val="-2"/>
              </w:rPr>
              <w:t>Preparation of an assumptions document to supplement the original Corrections Victoria Integrated Offender Management System (IOMS) Business Case Model (Information Governance and Security Framework Review and Development)</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18/10/2017</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1/05/2018</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$13,182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$13,182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jc w:val="right"/>
            </w:pPr>
            <w:r w:rsidRPr="009B6B2A">
              <w:t>$0</w:t>
            </w:r>
          </w:p>
        </w:tc>
      </w:tr>
      <w:tr w:rsidRPr="009B6B2A" w:rsidR="000D6E6A" w:rsidTr="000B42AC">
        <w:tblPrEx>
          <w:tblCellMar>
            <w:top w:w="0" w:type="dxa"/>
            <w:left w:w="0" w:type="dxa"/>
            <w:bottom w:w="0" w:type="dxa"/>
            <w:right w:w="0" w:type="dxa"/>
          </w:tblCellMar>
        </w:tblPrEx>
        <w:trPr>
          <w:trHeight w:val="113"/>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9B6B2A" w:rsidR="000D6E6A" w:rsidRDefault="000D6E6A">
            <w:pPr>
              <w:pStyle w:val="bodycopytabletable"/>
            </w:pPr>
            <w:r w:rsidRPr="009B6B2A">
              <w:rPr>
                <w:caps/>
              </w:rPr>
              <w:t>Just Forensic</w:t>
            </w:r>
          </w:p>
        </w:tc>
        <w:tc>
          <w:tcPr>
            <w:tcW w:w="252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r w:rsidRPr="009B6B2A">
              <w:t>Development of a Youth Justice Case Management Framework and Assessment Process</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23/10/2017</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31/01/2018</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$36,404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$36,404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jc w:val="right"/>
            </w:pPr>
            <w:r w:rsidRPr="009B6B2A">
              <w:t>$0</w:t>
            </w:r>
          </w:p>
        </w:tc>
      </w:tr>
      <w:tr w:rsidRPr="009B6B2A" w:rsidR="000D6E6A" w:rsidTr="000B42AC">
        <w:tblPrEx>
          <w:tblCellMar>
            <w:top w:w="0" w:type="dxa"/>
            <w:left w:w="0" w:type="dxa"/>
            <w:bottom w:w="0" w:type="dxa"/>
            <w:right w:w="0" w:type="dxa"/>
          </w:tblCellMar>
        </w:tblPrEx>
        <w:trPr>
          <w:trHeight w:val="113"/>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9B6B2A" w:rsidR="000D6E6A" w:rsidRDefault="000D6E6A">
            <w:pPr>
              <w:pStyle w:val="bodycopytabletable"/>
            </w:pPr>
            <w:r w:rsidRPr="009B6B2A">
              <w:rPr>
                <w:caps/>
              </w:rPr>
              <w:t>Australian Institute of Criminology</w:t>
            </w:r>
          </w:p>
        </w:tc>
        <w:tc>
          <w:tcPr>
            <w:tcW w:w="252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r w:rsidRPr="009B6B2A">
              <w:t xml:space="preserve">Ravenhall research Framework – </w:t>
            </w:r>
            <w:r w:rsidRPr="009B6B2A">
              <w:rPr>
                <w:spacing w:val="-2"/>
              </w:rPr>
              <w:t>Australian Institute of Criminology</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26/10/2017</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31/03/2018</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$37,718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$37,718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jc w:val="right"/>
            </w:pPr>
            <w:r w:rsidRPr="009B6B2A">
              <w:t>$0</w:t>
            </w:r>
          </w:p>
        </w:tc>
      </w:tr>
      <w:tr w:rsidRPr="009B6B2A" w:rsidR="000D6E6A" w:rsidTr="000B42AC">
        <w:tblPrEx>
          <w:tblCellMar>
            <w:top w:w="0" w:type="dxa"/>
            <w:left w:w="0" w:type="dxa"/>
            <w:bottom w:w="0" w:type="dxa"/>
            <w:right w:w="0" w:type="dxa"/>
          </w:tblCellMar>
        </w:tblPrEx>
        <w:trPr>
          <w:trHeight w:val="113"/>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9B6B2A" w:rsidR="000D6E6A" w:rsidRDefault="000D6E6A">
            <w:pPr>
              <w:pStyle w:val="bodycopytabletable"/>
              <w:spacing w:after="57"/>
              <w:rPr>
                <w:caps/>
              </w:rPr>
            </w:pPr>
            <w:r w:rsidRPr="009B6B2A">
              <w:rPr>
                <w:caps/>
              </w:rPr>
              <w:t>The Australian Centre For Social Innovation</w:t>
            </w:r>
          </w:p>
          <w:p w:rsidRPr="009B6B2A" w:rsidR="000D6E6A" w:rsidRDefault="000D6E6A">
            <w:pPr>
              <w:pStyle w:val="bodycopytabletable"/>
            </w:pPr>
            <w:r w:rsidRPr="009B6B2A">
              <w:rPr>
                <w:caps/>
              </w:rPr>
              <w:t>Co Design Approach – (Tacsi)</w:t>
            </w:r>
          </w:p>
        </w:tc>
        <w:tc>
          <w:tcPr>
            <w:tcW w:w="252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r w:rsidRPr="009B6B2A">
              <w:t>Co Design Approach – TACSI</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26/10/2017</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30/03/2018</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$86,525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$86,525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jc w:val="right"/>
            </w:pPr>
            <w:r w:rsidRPr="009B6B2A">
              <w:t>$0</w:t>
            </w:r>
          </w:p>
        </w:tc>
      </w:tr>
      <w:tr w:rsidRPr="009B6B2A" w:rsidR="000D6E6A" w:rsidTr="000B42AC">
        <w:tblPrEx>
          <w:tblCellMar>
            <w:top w:w="0" w:type="dxa"/>
            <w:left w:w="0" w:type="dxa"/>
            <w:bottom w:w="0" w:type="dxa"/>
            <w:right w:w="0" w:type="dxa"/>
          </w:tblCellMar>
        </w:tblPrEx>
        <w:trPr>
          <w:trHeight w:val="113"/>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9B6B2A" w:rsidR="000D6E6A" w:rsidRDefault="000D6E6A">
            <w:pPr>
              <w:pStyle w:val="bodycopytabletable"/>
            </w:pPr>
            <w:r w:rsidRPr="009B6B2A">
              <w:rPr>
                <w:caps/>
              </w:rPr>
              <w:t xml:space="preserve">Orima Research </w:t>
            </w:r>
            <w:r w:rsidRPr="009B6B2A">
              <w:rPr>
                <w:caps/>
              </w:rPr>
              <w:br/>
              <w:t>Pty Ltd</w:t>
            </w:r>
          </w:p>
        </w:tc>
        <w:tc>
          <w:tcPr>
            <w:tcW w:w="252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r w:rsidRPr="009B6B2A">
              <w:t>Brand development 50% project inception</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27/10/2017</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21/11/2017</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$21,350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$21,350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jc w:val="right"/>
            </w:pPr>
            <w:r w:rsidRPr="009B6B2A">
              <w:t>$0</w:t>
            </w:r>
          </w:p>
        </w:tc>
      </w:tr>
      <w:tr w:rsidRPr="009B6B2A" w:rsidR="000D6E6A" w:rsidTr="000B42AC">
        <w:tblPrEx>
          <w:tblCellMar>
            <w:top w:w="0" w:type="dxa"/>
            <w:left w:w="0" w:type="dxa"/>
            <w:bottom w:w="0" w:type="dxa"/>
            <w:right w:w="0" w:type="dxa"/>
          </w:tblCellMar>
        </w:tblPrEx>
        <w:trPr>
          <w:trHeight w:val="113"/>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9B6B2A" w:rsidR="000D6E6A" w:rsidRDefault="000D6E6A">
            <w:pPr>
              <w:pStyle w:val="bodycopytabletable"/>
            </w:pPr>
            <w:r w:rsidRPr="009B6B2A">
              <w:rPr>
                <w:caps/>
              </w:rPr>
              <w:t>The Shannon Company Pty Ltd</w:t>
            </w:r>
          </w:p>
        </w:tc>
        <w:tc>
          <w:tcPr>
            <w:tcW w:w="252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r w:rsidRPr="009B6B2A">
              <w:t>Normalisation in sport</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31/10/2017</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21/11/2017</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$101,990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$101,990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jc w:val="right"/>
            </w:pPr>
            <w:r w:rsidRPr="009B6B2A">
              <w:t>$0</w:t>
            </w:r>
          </w:p>
        </w:tc>
      </w:tr>
      <w:tr w:rsidRPr="009B6B2A" w:rsidR="000D6E6A" w:rsidTr="000B42AC">
        <w:tblPrEx>
          <w:tblCellMar>
            <w:top w:w="0" w:type="dxa"/>
            <w:left w:w="0" w:type="dxa"/>
            <w:bottom w:w="0" w:type="dxa"/>
            <w:right w:w="0" w:type="dxa"/>
          </w:tblCellMar>
        </w:tblPrEx>
        <w:trPr>
          <w:trHeight w:val="113"/>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9B6B2A" w:rsidR="000D6E6A" w:rsidRDefault="000D6E6A">
            <w:pPr>
              <w:pStyle w:val="bodycopytabletable"/>
            </w:pPr>
            <w:r w:rsidRPr="009B6B2A">
              <w:rPr>
                <w:caps/>
              </w:rPr>
              <w:t xml:space="preserve">Lisa Ward Consulting </w:t>
            </w:r>
            <w:r w:rsidRPr="009B6B2A">
              <w:rPr>
                <w:caps/>
              </w:rPr>
              <w:br/>
              <w:t>Pty Ltd</w:t>
            </w:r>
          </w:p>
        </w:tc>
        <w:tc>
          <w:tcPr>
            <w:tcW w:w="252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r w:rsidRPr="009B6B2A">
              <w:t>Independent advisor to be a member of the Women’s System Reform Project Steering Committee for Corrections Victoria.</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2/11/2017</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31/08/2018</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$17,100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$10,320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jc w:val="right"/>
            </w:pPr>
            <w:r w:rsidRPr="009B6B2A">
              <w:t xml:space="preserve">$6,780 </w:t>
            </w:r>
          </w:p>
        </w:tc>
      </w:tr>
      <w:tr w:rsidRPr="009B6B2A" w:rsidR="000D6E6A" w:rsidTr="000B42AC">
        <w:tblPrEx>
          <w:tblCellMar>
            <w:top w:w="0" w:type="dxa"/>
            <w:left w:w="0" w:type="dxa"/>
            <w:bottom w:w="0" w:type="dxa"/>
            <w:right w:w="0" w:type="dxa"/>
          </w:tblCellMar>
        </w:tblPrEx>
        <w:trPr>
          <w:trHeight w:val="113"/>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9B6B2A" w:rsidR="000D6E6A" w:rsidRDefault="000D6E6A">
            <w:pPr>
              <w:pStyle w:val="bodycopytabletable"/>
            </w:pPr>
            <w:r w:rsidRPr="009B6B2A">
              <w:rPr>
                <w:caps/>
              </w:rPr>
              <w:t>Deloitte Access Economics</w:t>
            </w:r>
          </w:p>
        </w:tc>
        <w:tc>
          <w:tcPr>
            <w:tcW w:w="252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r w:rsidRPr="009B6B2A">
              <w:t>Interim evaluation of the parole system reform program</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30/11/2017</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22/01/2018</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$101,245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$101,245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jc w:val="right"/>
            </w:pPr>
            <w:r w:rsidRPr="009B6B2A">
              <w:t>$0</w:t>
            </w:r>
          </w:p>
        </w:tc>
      </w:tr>
      <w:tr w:rsidRPr="009B6B2A" w:rsidR="000D6E6A" w:rsidTr="000B42AC">
        <w:tblPrEx>
          <w:tblCellMar>
            <w:top w:w="0" w:type="dxa"/>
            <w:left w:w="0" w:type="dxa"/>
            <w:bottom w:w="0" w:type="dxa"/>
            <w:right w:w="0" w:type="dxa"/>
          </w:tblCellMar>
        </w:tblPrEx>
        <w:trPr>
          <w:trHeight w:val="113"/>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9B6B2A" w:rsidR="000D6E6A" w:rsidRDefault="000D6E6A">
            <w:pPr>
              <w:pStyle w:val="bodycopytabletable"/>
            </w:pPr>
            <w:r w:rsidRPr="009B6B2A">
              <w:rPr>
                <w:caps/>
              </w:rPr>
              <w:t>Ernst And Young</w:t>
            </w:r>
          </w:p>
        </w:tc>
        <w:tc>
          <w:tcPr>
            <w:tcW w:w="252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r w:rsidRPr="009B6B2A">
              <w:t>Purchasing card strategy document</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12/12/2017</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21/12/2017</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$43,488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$43,488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jc w:val="right"/>
            </w:pPr>
            <w:r w:rsidRPr="009B6B2A">
              <w:t>$0</w:t>
            </w:r>
          </w:p>
        </w:tc>
      </w:tr>
      <w:tr w:rsidRPr="009B6B2A" w:rsidR="000D6E6A" w:rsidTr="000B42AC">
        <w:tblPrEx>
          <w:tblCellMar>
            <w:top w:w="0" w:type="dxa"/>
            <w:left w:w="0" w:type="dxa"/>
            <w:bottom w:w="0" w:type="dxa"/>
            <w:right w:w="0" w:type="dxa"/>
          </w:tblCellMar>
        </w:tblPrEx>
        <w:trPr>
          <w:trHeight w:val="113"/>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9B6B2A" w:rsidR="000D6E6A" w:rsidRDefault="000D6E6A">
            <w:pPr>
              <w:pStyle w:val="bodycopytabletable"/>
            </w:pPr>
            <w:r w:rsidRPr="009B6B2A">
              <w:rPr>
                <w:caps/>
              </w:rPr>
              <w:t xml:space="preserve">Innovation Delivery Partners </w:t>
            </w:r>
            <w:r w:rsidRPr="009B6B2A">
              <w:rPr>
                <w:caps/>
              </w:rPr>
              <w:br/>
              <w:t>Pty Ltd</w:t>
            </w:r>
          </w:p>
        </w:tc>
        <w:tc>
          <w:tcPr>
            <w:tcW w:w="252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r w:rsidRPr="009B6B2A">
              <w:rPr>
                <w:spacing w:val="-2"/>
              </w:rPr>
              <w:t xml:space="preserve">Emergency Management Victoria People Plan Delivery – Strategic/Coordination Consulting Services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8/01/2018</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7/01/2019</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$45,455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$14,700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jc w:val="right"/>
            </w:pPr>
            <w:r w:rsidRPr="009B6B2A">
              <w:t xml:space="preserve">$30,755 </w:t>
            </w:r>
          </w:p>
        </w:tc>
      </w:tr>
      <w:tr w:rsidRPr="009B6B2A" w:rsidR="000D6E6A" w:rsidTr="000B42AC">
        <w:tblPrEx>
          <w:tblCellMar>
            <w:top w:w="0" w:type="dxa"/>
            <w:left w:w="0" w:type="dxa"/>
            <w:bottom w:w="0" w:type="dxa"/>
            <w:right w:w="0" w:type="dxa"/>
          </w:tblCellMar>
        </w:tblPrEx>
        <w:trPr>
          <w:trHeight w:val="113"/>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9B6B2A" w:rsidR="000D6E6A" w:rsidRDefault="000D6E6A">
            <w:pPr>
              <w:pStyle w:val="bodycopytabletable"/>
            </w:pPr>
            <w:r w:rsidRPr="009B6B2A">
              <w:rPr>
                <w:caps/>
              </w:rPr>
              <w:t>The Trustee For Stylewise Group</w:t>
            </w:r>
          </w:p>
        </w:tc>
        <w:tc>
          <w:tcPr>
            <w:tcW w:w="252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r w:rsidRPr="009B6B2A">
              <w:t xml:space="preserve">Emergency Management Victoria People Plan Delivery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8/01/2018</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31/12/2019</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$209,091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$75,500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jc w:val="right"/>
            </w:pPr>
            <w:r w:rsidRPr="009B6B2A">
              <w:t xml:space="preserve">$133,591 </w:t>
            </w:r>
          </w:p>
        </w:tc>
      </w:tr>
      <w:tr w:rsidRPr="009B6B2A" w:rsidR="000D6E6A" w:rsidTr="000B42AC">
        <w:tblPrEx>
          <w:tblCellMar>
            <w:top w:w="0" w:type="dxa"/>
            <w:left w:w="0" w:type="dxa"/>
            <w:bottom w:w="0" w:type="dxa"/>
            <w:right w:w="0" w:type="dxa"/>
          </w:tblCellMar>
        </w:tblPrEx>
        <w:trPr>
          <w:trHeight w:val="113"/>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9B6B2A" w:rsidR="000D6E6A" w:rsidRDefault="000D6E6A">
            <w:pPr>
              <w:pStyle w:val="bodycopytabletable"/>
            </w:pPr>
            <w:r w:rsidRPr="009B6B2A">
              <w:rPr>
                <w:caps/>
              </w:rPr>
              <w:t>Deloitte Touche Tohmatsu</w:t>
            </w:r>
          </w:p>
        </w:tc>
        <w:tc>
          <w:tcPr>
            <w:tcW w:w="252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r w:rsidRPr="009B6B2A">
              <w:t xml:space="preserve">Advisory services to support the Revised Business Case for IOMS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18/01/2018</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30/03/2018</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$41,045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$0</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jc w:val="right"/>
            </w:pPr>
            <w:r w:rsidRPr="009B6B2A">
              <w:t xml:space="preserve">$41,045 </w:t>
            </w:r>
          </w:p>
        </w:tc>
      </w:tr>
      <w:tr w:rsidRPr="009B6B2A" w:rsidR="000D6E6A" w:rsidTr="000B42AC">
        <w:tblPrEx>
          <w:tblCellMar>
            <w:top w:w="0" w:type="dxa"/>
            <w:left w:w="0" w:type="dxa"/>
            <w:bottom w:w="0" w:type="dxa"/>
            <w:right w:w="0" w:type="dxa"/>
          </w:tblCellMar>
        </w:tblPrEx>
        <w:trPr>
          <w:trHeight w:val="113"/>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9B6B2A" w:rsidR="000D6E6A" w:rsidRDefault="000D6E6A">
            <w:pPr>
              <w:pStyle w:val="bodycopytabletable"/>
            </w:pPr>
            <w:r w:rsidRPr="009B6B2A">
              <w:rPr>
                <w:caps/>
              </w:rPr>
              <w:t>RMIT University</w:t>
            </w:r>
          </w:p>
        </w:tc>
        <w:tc>
          <w:tcPr>
            <w:tcW w:w="252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r w:rsidRPr="009B6B2A">
              <w:t>Design phase of FVRJ pilot</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30/01/2018</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31/01/2018</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$18,000</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$18,000</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jc w:val="right"/>
            </w:pPr>
            <w:r w:rsidRPr="009B6B2A">
              <w:t>$0</w:t>
            </w:r>
          </w:p>
        </w:tc>
      </w:tr>
      <w:tr w:rsidRPr="009B6B2A" w:rsidR="000D6E6A" w:rsidTr="000B42AC">
        <w:tblPrEx>
          <w:tblCellMar>
            <w:top w:w="0" w:type="dxa"/>
            <w:left w:w="0" w:type="dxa"/>
            <w:bottom w:w="0" w:type="dxa"/>
            <w:right w:w="0" w:type="dxa"/>
          </w:tblCellMar>
        </w:tblPrEx>
        <w:trPr>
          <w:trHeight w:val="113"/>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9B6B2A" w:rsidR="000D6E6A" w:rsidRDefault="000D6E6A">
            <w:pPr>
              <w:pStyle w:val="bodycopytabletable"/>
            </w:pPr>
            <w:r w:rsidRPr="009B6B2A">
              <w:rPr>
                <w:caps/>
              </w:rPr>
              <w:t>ARTD Pty Ltd</w:t>
            </w:r>
          </w:p>
        </w:tc>
        <w:tc>
          <w:tcPr>
            <w:tcW w:w="252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r w:rsidRPr="009B6B2A">
              <w:rPr>
                <w:spacing w:val="-3"/>
              </w:rPr>
              <w:t xml:space="preserve">Evaluation of Number </w:t>
            </w:r>
            <w:r w:rsidRPr="009B6B2A">
              <w:rPr>
                <w:spacing w:val="-3"/>
              </w:rPr>
              <w:br/>
              <w:t xml:space="preserve">Plate Theft </w:t>
            </w:r>
            <w:r w:rsidRPr="009B6B2A">
              <w:t>Reduction Initiative – Phase 1</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2/02/2018</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31/03/2019</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$72,500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$7,250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jc w:val="right"/>
            </w:pPr>
            <w:r w:rsidRPr="009B6B2A">
              <w:t xml:space="preserve">$65,250 </w:t>
            </w:r>
          </w:p>
        </w:tc>
      </w:tr>
      <w:tr w:rsidRPr="009B6B2A" w:rsidR="000D6E6A" w:rsidTr="000B42AC">
        <w:tblPrEx>
          <w:tblCellMar>
            <w:top w:w="0" w:type="dxa"/>
            <w:left w:w="0" w:type="dxa"/>
            <w:bottom w:w="0" w:type="dxa"/>
            <w:right w:w="0" w:type="dxa"/>
          </w:tblCellMar>
        </w:tblPrEx>
        <w:trPr>
          <w:trHeight w:val="113"/>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9B6B2A" w:rsidR="000D6E6A" w:rsidRDefault="000D6E6A">
            <w:pPr>
              <w:pStyle w:val="bodycopytabletable"/>
            </w:pPr>
            <w:r w:rsidRPr="009B6B2A">
              <w:rPr>
                <w:caps/>
              </w:rPr>
              <w:t>The Contenders.</w:t>
            </w:r>
          </w:p>
        </w:tc>
        <w:tc>
          <w:tcPr>
            <w:tcW w:w="252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r w:rsidRPr="009B6B2A">
              <w:t xml:space="preserve">3vS COMMUNICATIONS PROJECT – STAGE 1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2/02/2018</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1/02/2019</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$16,557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$12,712</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jc w:val="right"/>
            </w:pPr>
            <w:r w:rsidRPr="009B6B2A">
              <w:t>$3,845</w:t>
            </w:r>
          </w:p>
        </w:tc>
      </w:tr>
      <w:tr w:rsidRPr="009B6B2A" w:rsidR="000D6E6A" w:rsidTr="000B42AC">
        <w:tblPrEx>
          <w:tblCellMar>
            <w:top w:w="0" w:type="dxa"/>
            <w:left w:w="0" w:type="dxa"/>
            <w:bottom w:w="0" w:type="dxa"/>
            <w:right w:w="0" w:type="dxa"/>
          </w:tblCellMar>
        </w:tblPrEx>
        <w:trPr>
          <w:trHeight w:val="113"/>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9B6B2A" w:rsidR="000D6E6A" w:rsidRDefault="000D6E6A">
            <w:pPr>
              <w:pStyle w:val="bodycopytabletable"/>
            </w:pPr>
            <w:r w:rsidRPr="009B6B2A">
              <w:rPr>
                <w:caps/>
                <w:spacing w:val="-3"/>
              </w:rPr>
              <w:t xml:space="preserve">PriceWaterHouse Coopers Indigenous </w:t>
            </w:r>
            <w:r w:rsidRPr="009B6B2A">
              <w:rPr>
                <w:caps/>
                <w:spacing w:val="-4"/>
              </w:rPr>
              <w:t>Consulting Pty Ltd</w:t>
            </w:r>
          </w:p>
        </w:tc>
        <w:tc>
          <w:tcPr>
            <w:tcW w:w="252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r w:rsidRPr="009B6B2A">
              <w:t>Evaluation of the expansion of the Community Based Koori Youth Justice Worker Program</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1/02/2018</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26/06/2018</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$11,234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$11,234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jc w:val="right"/>
            </w:pPr>
            <w:r w:rsidRPr="009B6B2A">
              <w:t>$0</w:t>
            </w:r>
          </w:p>
        </w:tc>
      </w:tr>
      <w:tr w:rsidRPr="009B6B2A" w:rsidR="000D6E6A" w:rsidTr="000B42AC">
        <w:tblPrEx>
          <w:tblCellMar>
            <w:top w:w="0" w:type="dxa"/>
            <w:left w:w="0" w:type="dxa"/>
            <w:bottom w:w="0" w:type="dxa"/>
            <w:right w:w="0" w:type="dxa"/>
          </w:tblCellMar>
        </w:tblPrEx>
        <w:trPr>
          <w:trHeight w:val="113"/>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9B6B2A" w:rsidR="000D6E6A" w:rsidRDefault="000D6E6A">
            <w:pPr>
              <w:pStyle w:val="bodycopytabletable"/>
            </w:pPr>
            <w:r w:rsidRPr="009B6B2A">
              <w:rPr>
                <w:caps/>
              </w:rPr>
              <w:t>Gaming Consultants International</w:t>
            </w:r>
          </w:p>
        </w:tc>
        <w:tc>
          <w:tcPr>
            <w:tcW w:w="252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r w:rsidRPr="009B6B2A">
              <w:t>Gaming Consultants International – Cashless Gaming Implementation Project</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19/02/2018</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31/12/2018</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$85,000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$41,250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jc w:val="right"/>
            </w:pPr>
            <w:r w:rsidRPr="009B6B2A">
              <w:t xml:space="preserve">$43,750 </w:t>
            </w:r>
          </w:p>
        </w:tc>
      </w:tr>
      <w:tr w:rsidRPr="009B6B2A" w:rsidR="000D6E6A" w:rsidTr="000B42AC">
        <w:tblPrEx>
          <w:tblCellMar>
            <w:top w:w="0" w:type="dxa"/>
            <w:left w:w="0" w:type="dxa"/>
            <w:bottom w:w="0" w:type="dxa"/>
            <w:right w:w="0" w:type="dxa"/>
          </w:tblCellMar>
        </w:tblPrEx>
        <w:trPr>
          <w:trHeight w:val="113"/>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9B6B2A" w:rsidR="000D6E6A" w:rsidRDefault="000D6E6A">
            <w:pPr>
              <w:pStyle w:val="bodycopytabletable"/>
            </w:pPr>
            <w:r w:rsidRPr="009B6B2A">
              <w:rPr>
                <w:caps/>
              </w:rPr>
              <w:lastRenderedPageBreak/>
              <w:t xml:space="preserve">Penelope </w:t>
            </w:r>
            <w:r w:rsidRPr="009B6B2A">
              <w:rPr>
                <w:caps/>
              </w:rPr>
              <w:br/>
              <w:t>Kate Golias</w:t>
            </w:r>
          </w:p>
        </w:tc>
        <w:tc>
          <w:tcPr>
            <w:tcW w:w="252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r w:rsidRPr="009B6B2A">
              <w:t>Development of Offending Behaviour Programs service delivery model</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16/02/2018</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19/02/2018</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$44,500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$44,500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jc w:val="right"/>
            </w:pPr>
            <w:r w:rsidRPr="009B6B2A">
              <w:t>$0</w:t>
            </w:r>
          </w:p>
        </w:tc>
      </w:tr>
      <w:tr w:rsidRPr="009B6B2A" w:rsidR="000D6E6A" w:rsidTr="000B42AC">
        <w:tblPrEx>
          <w:tblCellMar>
            <w:top w:w="0" w:type="dxa"/>
            <w:left w:w="0" w:type="dxa"/>
            <w:bottom w:w="0" w:type="dxa"/>
            <w:right w:w="0" w:type="dxa"/>
          </w:tblCellMar>
        </w:tblPrEx>
        <w:trPr>
          <w:trHeight w:val="113"/>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9B6B2A" w:rsidR="000D6E6A" w:rsidRDefault="000D6E6A">
            <w:pPr>
              <w:pStyle w:val="bodycopytabletable"/>
            </w:pPr>
            <w:r w:rsidRPr="009B6B2A">
              <w:rPr>
                <w:caps/>
              </w:rPr>
              <w:t>UOM Commercial Ltd</w:t>
            </w:r>
          </w:p>
        </w:tc>
        <w:tc>
          <w:tcPr>
            <w:tcW w:w="252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r w:rsidRPr="009B6B2A">
              <w:t>Production of a literature review – Strategies for effective use of social media by police for engagement with local communities.</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14/11/2017</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15/12/2017</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$27,000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$27,000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jc w:val="right"/>
            </w:pPr>
            <w:r w:rsidRPr="009B6B2A">
              <w:t>$0</w:t>
            </w:r>
          </w:p>
        </w:tc>
      </w:tr>
      <w:tr w:rsidRPr="009B6B2A" w:rsidR="000D6E6A" w:rsidTr="000B42AC">
        <w:tblPrEx>
          <w:tblCellMar>
            <w:top w:w="0" w:type="dxa"/>
            <w:left w:w="0" w:type="dxa"/>
            <w:bottom w:w="0" w:type="dxa"/>
            <w:right w:w="0" w:type="dxa"/>
          </w:tblCellMar>
        </w:tblPrEx>
        <w:trPr>
          <w:trHeight w:val="113"/>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9B6B2A" w:rsidR="000D6E6A" w:rsidRDefault="000D6E6A">
            <w:pPr>
              <w:pStyle w:val="bodycopytabletable"/>
            </w:pPr>
            <w:r w:rsidRPr="009B6B2A">
              <w:rPr>
                <w:caps/>
              </w:rPr>
              <w:t xml:space="preserve">PDF Management Services </w:t>
            </w:r>
            <w:r w:rsidRPr="009B6B2A">
              <w:rPr>
                <w:caps/>
              </w:rPr>
              <w:br/>
              <w:t>Pty Ltd</w:t>
            </w:r>
          </w:p>
        </w:tc>
        <w:tc>
          <w:tcPr>
            <w:tcW w:w="252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r w:rsidRPr="009B6B2A">
              <w:t xml:space="preserve">Emergency Management Planning Guidelines and Toolkit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19/03/2018</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1/09/2018</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$48,800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$10,000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jc w:val="right"/>
            </w:pPr>
            <w:r w:rsidRPr="009B6B2A">
              <w:t xml:space="preserve">$38,800 </w:t>
            </w:r>
          </w:p>
        </w:tc>
      </w:tr>
      <w:tr w:rsidRPr="009B6B2A" w:rsidR="000D6E6A" w:rsidTr="000B42AC">
        <w:tblPrEx>
          <w:tblCellMar>
            <w:top w:w="0" w:type="dxa"/>
            <w:left w:w="0" w:type="dxa"/>
            <w:bottom w:w="0" w:type="dxa"/>
            <w:right w:w="0" w:type="dxa"/>
          </w:tblCellMar>
        </w:tblPrEx>
        <w:trPr>
          <w:trHeight w:val="113"/>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9B6B2A" w:rsidR="000D6E6A" w:rsidRDefault="000D6E6A">
            <w:pPr>
              <w:pStyle w:val="bodycopytabletable"/>
            </w:pPr>
            <w:r w:rsidRPr="009B6B2A">
              <w:rPr>
                <w:caps/>
              </w:rPr>
              <w:t>Pitcher Partners Consulting Pty Ltd</w:t>
            </w:r>
          </w:p>
        </w:tc>
        <w:tc>
          <w:tcPr>
            <w:tcW w:w="252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r w:rsidRPr="009B6B2A">
              <w:t>Guidance on use of Service Agreements vs Grants</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19/03/2018</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19/07/2018</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$64,000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$21,700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jc w:val="right"/>
            </w:pPr>
            <w:r w:rsidRPr="009B6B2A">
              <w:t xml:space="preserve">$42,300 </w:t>
            </w:r>
          </w:p>
        </w:tc>
      </w:tr>
      <w:tr w:rsidRPr="009B6B2A" w:rsidR="000D6E6A" w:rsidTr="000B42AC">
        <w:tblPrEx>
          <w:tblCellMar>
            <w:top w:w="0" w:type="dxa"/>
            <w:left w:w="0" w:type="dxa"/>
            <w:bottom w:w="0" w:type="dxa"/>
            <w:right w:w="0" w:type="dxa"/>
          </w:tblCellMar>
        </w:tblPrEx>
        <w:trPr>
          <w:trHeight w:val="113"/>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9B6B2A" w:rsidR="000D6E6A" w:rsidRDefault="000D6E6A">
            <w:pPr>
              <w:pStyle w:val="bodycopytabletable"/>
            </w:pPr>
            <w:r w:rsidRPr="009B6B2A">
              <w:rPr>
                <w:caps/>
              </w:rPr>
              <w:t>Jill Mckeough</w:t>
            </w:r>
          </w:p>
        </w:tc>
        <w:tc>
          <w:tcPr>
            <w:tcW w:w="252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r w:rsidRPr="009B6B2A">
              <w:t>Review of Practical law College</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9/04/2018</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30/08/2018</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$38,200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$0</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jc w:val="right"/>
            </w:pPr>
            <w:r w:rsidRPr="009B6B2A">
              <w:t xml:space="preserve">$38,200 </w:t>
            </w:r>
          </w:p>
        </w:tc>
      </w:tr>
      <w:tr w:rsidRPr="009B6B2A" w:rsidR="000D6E6A" w:rsidTr="000B42AC">
        <w:tblPrEx>
          <w:tblCellMar>
            <w:top w:w="0" w:type="dxa"/>
            <w:left w:w="0" w:type="dxa"/>
            <w:bottom w:w="0" w:type="dxa"/>
            <w:right w:w="0" w:type="dxa"/>
          </w:tblCellMar>
        </w:tblPrEx>
        <w:trPr>
          <w:trHeight w:val="113"/>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9B6B2A" w:rsidR="000D6E6A" w:rsidRDefault="000D6E6A">
            <w:pPr>
              <w:pStyle w:val="bodycopytabletable"/>
            </w:pPr>
            <w:r w:rsidRPr="009B6B2A">
              <w:rPr>
                <w:caps/>
              </w:rPr>
              <w:t>Rivers Economic Consulting</w:t>
            </w:r>
          </w:p>
        </w:tc>
        <w:tc>
          <w:tcPr>
            <w:tcW w:w="252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r w:rsidRPr="009B6B2A">
              <w:t xml:space="preserve">Activity based costing model development – Working with Children Check Unit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11/04/2018</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31/07/2018</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$43,550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$33,800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jc w:val="right"/>
            </w:pPr>
            <w:r w:rsidRPr="009B6B2A">
              <w:t xml:space="preserve">$9,750 </w:t>
            </w:r>
          </w:p>
        </w:tc>
      </w:tr>
      <w:tr w:rsidRPr="009B6B2A" w:rsidR="000D6E6A" w:rsidTr="000B42AC">
        <w:tblPrEx>
          <w:tblCellMar>
            <w:top w:w="0" w:type="dxa"/>
            <w:left w:w="0" w:type="dxa"/>
            <w:bottom w:w="0" w:type="dxa"/>
            <w:right w:w="0" w:type="dxa"/>
          </w:tblCellMar>
        </w:tblPrEx>
        <w:trPr>
          <w:trHeight w:val="113"/>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9B6B2A" w:rsidR="000D6E6A" w:rsidRDefault="000D6E6A">
            <w:pPr>
              <w:pStyle w:val="bodycopytabletable"/>
            </w:pPr>
            <w:r w:rsidRPr="009B6B2A">
              <w:rPr>
                <w:caps/>
              </w:rPr>
              <w:t xml:space="preserve">Regulatory Impact </w:t>
            </w:r>
            <w:r w:rsidRPr="009B6B2A">
              <w:rPr>
                <w:caps/>
              </w:rPr>
              <w:br/>
              <w:t>Solutions Pty Ltd</w:t>
            </w:r>
          </w:p>
        </w:tc>
        <w:tc>
          <w:tcPr>
            <w:tcW w:w="252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pPr>
            <w:r w:rsidRPr="009B6B2A">
              <w:rPr>
                <w:spacing w:val="-2"/>
              </w:rPr>
              <w:t xml:space="preserve">Regulatory Impact Solutions to conduct the Legislative Impact </w:t>
            </w:r>
            <w:proofErr w:type="gramStart"/>
            <w:r w:rsidRPr="009B6B2A">
              <w:rPr>
                <w:spacing w:val="-2"/>
              </w:rPr>
              <w:t>Assessment  for</w:t>
            </w:r>
            <w:proofErr w:type="gramEnd"/>
            <w:r w:rsidRPr="009B6B2A">
              <w:rPr>
                <w:spacing w:val="-2"/>
              </w:rPr>
              <w:t xml:space="preserve"> the proposed reforms to the </w:t>
            </w:r>
            <w:r w:rsidRPr="009B6B2A">
              <w:rPr>
                <w:i/>
                <w:iCs/>
                <w:spacing w:val="-2"/>
              </w:rPr>
              <w:t>Sale of Land Act 1962</w:t>
            </w:r>
            <w:r w:rsidRPr="009B6B2A">
              <w:rPr>
                <w:spacing w:val="-2"/>
              </w:rPr>
              <w:t xml:space="preserve"> and the </w:t>
            </w:r>
            <w:r w:rsidRPr="009B6B2A">
              <w:rPr>
                <w:i/>
                <w:iCs/>
                <w:spacing w:val="-2"/>
              </w:rPr>
              <w:t>Estate Agents Act 1980</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16/04/2018</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20/08/2018</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$56,591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$56,591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jc w:val="right"/>
            </w:pPr>
            <w:r w:rsidRPr="009B6B2A">
              <w:t>$0</w:t>
            </w:r>
          </w:p>
        </w:tc>
      </w:tr>
      <w:tr w:rsidRPr="009B6B2A" w:rsidR="000D6E6A" w:rsidTr="000B42AC">
        <w:tblPrEx>
          <w:tblCellMar>
            <w:top w:w="0" w:type="dxa"/>
            <w:left w:w="0" w:type="dxa"/>
            <w:bottom w:w="0" w:type="dxa"/>
            <w:right w:w="0" w:type="dxa"/>
          </w:tblCellMar>
        </w:tblPrEx>
        <w:trPr>
          <w:trHeight w:val="113"/>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9B6B2A" w:rsidR="000D6E6A" w:rsidRDefault="000D6E6A">
            <w:pPr>
              <w:pStyle w:val="bodycopytabletable"/>
            </w:pPr>
            <w:r w:rsidRPr="009B6B2A">
              <w:rPr>
                <w:caps/>
              </w:rPr>
              <w:t xml:space="preserve">NOUS Group </w:t>
            </w:r>
            <w:r w:rsidRPr="009B6B2A">
              <w:rPr>
                <w:caps/>
              </w:rPr>
              <w:br/>
              <w:t>Pty Ltd</w:t>
            </w:r>
          </w:p>
        </w:tc>
        <w:tc>
          <w:tcPr>
            <w:tcW w:w="252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r w:rsidRPr="009B6B2A">
              <w:t>Professional and Advisory Service Partnership Network – Phase two</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19/04/2018</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29/09/2018</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$59,250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$0</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jc w:val="right"/>
            </w:pPr>
            <w:r w:rsidRPr="009B6B2A">
              <w:t xml:space="preserve">$59,250 </w:t>
            </w:r>
          </w:p>
        </w:tc>
      </w:tr>
      <w:tr w:rsidRPr="009B6B2A" w:rsidR="000D6E6A" w:rsidTr="000B42AC">
        <w:tblPrEx>
          <w:tblCellMar>
            <w:top w:w="0" w:type="dxa"/>
            <w:left w:w="0" w:type="dxa"/>
            <w:bottom w:w="0" w:type="dxa"/>
            <w:right w:w="0" w:type="dxa"/>
          </w:tblCellMar>
        </w:tblPrEx>
        <w:trPr>
          <w:trHeight w:val="113"/>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9B6B2A" w:rsidR="000D6E6A" w:rsidRDefault="000D6E6A">
            <w:pPr>
              <w:pStyle w:val="bodycopytabletable"/>
            </w:pPr>
            <w:r w:rsidRPr="009B6B2A">
              <w:rPr>
                <w:caps/>
              </w:rPr>
              <w:t xml:space="preserve">FBG Group </w:t>
            </w:r>
            <w:r w:rsidRPr="009B6B2A">
              <w:rPr>
                <w:caps/>
              </w:rPr>
              <w:br/>
              <w:t>Pty Ltd</w:t>
            </w:r>
          </w:p>
        </w:tc>
        <w:tc>
          <w:tcPr>
            <w:tcW w:w="252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r w:rsidRPr="009B6B2A">
              <w:t xml:space="preserve">Safety and Emergency Response Review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2/02/2018</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7/09/2018</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$90,200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$25,300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jc w:val="right"/>
            </w:pPr>
            <w:r w:rsidRPr="009B6B2A">
              <w:t xml:space="preserve">$64,900 </w:t>
            </w:r>
          </w:p>
        </w:tc>
      </w:tr>
      <w:tr w:rsidRPr="009B6B2A" w:rsidR="000D6E6A" w:rsidTr="000B42AC">
        <w:tblPrEx>
          <w:tblCellMar>
            <w:top w:w="0" w:type="dxa"/>
            <w:left w:w="0" w:type="dxa"/>
            <w:bottom w:w="0" w:type="dxa"/>
            <w:right w:w="0" w:type="dxa"/>
          </w:tblCellMar>
        </w:tblPrEx>
        <w:trPr>
          <w:trHeight w:val="113"/>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9B6B2A" w:rsidR="000D6E6A" w:rsidRDefault="000D6E6A">
            <w:pPr>
              <w:pStyle w:val="bodycopytabletable"/>
            </w:pPr>
            <w:r w:rsidRPr="009B6B2A">
              <w:rPr>
                <w:caps/>
              </w:rPr>
              <w:t>Stancert Pty Ltd</w:t>
            </w:r>
          </w:p>
        </w:tc>
        <w:tc>
          <w:tcPr>
            <w:tcW w:w="252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r w:rsidRPr="009B6B2A">
              <w:t xml:space="preserve">Department Of </w:t>
            </w:r>
            <w:proofErr w:type="gramStart"/>
            <w:r w:rsidRPr="009B6B2A">
              <w:t>Justice  Security</w:t>
            </w:r>
            <w:proofErr w:type="gramEnd"/>
            <w:r w:rsidRPr="009B6B2A">
              <w:t xml:space="preserve"> Policy Framework</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3/04/2018</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31/12/2018</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$45,454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$40,568</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jc w:val="right"/>
            </w:pPr>
            <w:r w:rsidRPr="009B6B2A">
              <w:t>$4,886</w:t>
            </w:r>
          </w:p>
        </w:tc>
      </w:tr>
      <w:tr w:rsidRPr="009B6B2A" w:rsidR="000D6E6A" w:rsidTr="000B42AC">
        <w:tblPrEx>
          <w:tblCellMar>
            <w:top w:w="0" w:type="dxa"/>
            <w:left w:w="0" w:type="dxa"/>
            <w:bottom w:w="0" w:type="dxa"/>
            <w:right w:w="0" w:type="dxa"/>
          </w:tblCellMar>
        </w:tblPrEx>
        <w:trPr>
          <w:trHeight w:val="113"/>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9B6B2A" w:rsidR="000D6E6A" w:rsidRDefault="000D6E6A">
            <w:pPr>
              <w:pStyle w:val="bodycopytabletable"/>
            </w:pPr>
            <w:r w:rsidRPr="009B6B2A">
              <w:rPr>
                <w:caps/>
              </w:rPr>
              <w:t xml:space="preserve">Deloitte Risk Advisory </w:t>
            </w:r>
            <w:r w:rsidRPr="009B6B2A">
              <w:rPr>
                <w:caps/>
              </w:rPr>
              <w:br/>
              <w:t>Pty Limited</w:t>
            </w:r>
          </w:p>
        </w:tc>
        <w:tc>
          <w:tcPr>
            <w:tcW w:w="252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r w:rsidRPr="009B6B2A">
              <w:t xml:space="preserve">Courts Victoria IOMS ad-hoc Advisory Services in relation to the IOMS Business Case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18/10/2017</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12/07/2018</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$16,266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$16,266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jc w:val="right"/>
            </w:pPr>
            <w:r w:rsidRPr="009B6B2A">
              <w:t>$0</w:t>
            </w:r>
          </w:p>
        </w:tc>
      </w:tr>
      <w:tr w:rsidRPr="009B6B2A" w:rsidR="000D6E6A" w:rsidTr="000B42AC">
        <w:tblPrEx>
          <w:tblCellMar>
            <w:top w:w="0" w:type="dxa"/>
            <w:left w:w="0" w:type="dxa"/>
            <w:bottom w:w="0" w:type="dxa"/>
            <w:right w:w="0" w:type="dxa"/>
          </w:tblCellMar>
        </w:tblPrEx>
        <w:trPr>
          <w:trHeight w:val="113"/>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9B6B2A" w:rsidR="000D6E6A" w:rsidRDefault="000D6E6A">
            <w:pPr>
              <w:pStyle w:val="bodycopytabletable"/>
            </w:pPr>
            <w:r w:rsidRPr="009B6B2A">
              <w:rPr>
                <w:caps/>
              </w:rPr>
              <w:t xml:space="preserve">Deloitte Risk Advisory </w:t>
            </w:r>
            <w:r w:rsidRPr="009B6B2A">
              <w:rPr>
                <w:caps/>
              </w:rPr>
              <w:br/>
              <w:t>Pty Limited</w:t>
            </w:r>
          </w:p>
        </w:tc>
        <w:tc>
          <w:tcPr>
            <w:tcW w:w="252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r w:rsidRPr="009B6B2A">
              <w:t>Review of suspected website outage</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24/05/2018</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14/06/2018</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$22,026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$22,026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jc w:val="right"/>
            </w:pPr>
            <w:r w:rsidRPr="009B6B2A">
              <w:t>$0</w:t>
            </w:r>
          </w:p>
        </w:tc>
      </w:tr>
      <w:tr w:rsidRPr="009B6B2A" w:rsidR="000D6E6A" w:rsidTr="000B42AC">
        <w:tblPrEx>
          <w:tblCellMar>
            <w:top w:w="0" w:type="dxa"/>
            <w:left w:w="0" w:type="dxa"/>
            <w:bottom w:w="0" w:type="dxa"/>
            <w:right w:w="0" w:type="dxa"/>
          </w:tblCellMar>
        </w:tblPrEx>
        <w:trPr>
          <w:trHeight w:val="113"/>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9B6B2A" w:rsidR="000D6E6A" w:rsidRDefault="000D6E6A">
            <w:pPr>
              <w:pStyle w:val="bodycopytabletable"/>
            </w:pPr>
            <w:r w:rsidRPr="009B6B2A">
              <w:rPr>
                <w:caps/>
              </w:rPr>
              <w:t>Cube Group Management Consulting Australia Pty Ltd</w:t>
            </w:r>
          </w:p>
        </w:tc>
        <w:tc>
          <w:tcPr>
            <w:tcW w:w="252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r w:rsidRPr="009B6B2A">
              <w:t>Health Safety and Wellbeing Strategy 2019–22 development consultancy</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5/06/2018</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15/11/2018</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$98,120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$89,200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jc w:val="right"/>
            </w:pPr>
            <w:r w:rsidRPr="009B6B2A">
              <w:t xml:space="preserve">$8,920 </w:t>
            </w:r>
          </w:p>
        </w:tc>
      </w:tr>
      <w:tr w:rsidRPr="009B6B2A" w:rsidR="000D6E6A" w:rsidTr="000B42AC">
        <w:tblPrEx>
          <w:tblCellMar>
            <w:top w:w="0" w:type="dxa"/>
            <w:left w:w="0" w:type="dxa"/>
            <w:bottom w:w="0" w:type="dxa"/>
            <w:right w:w="0" w:type="dxa"/>
          </w:tblCellMar>
        </w:tblPrEx>
        <w:trPr>
          <w:trHeight w:val="113"/>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9B6B2A" w:rsidR="000D6E6A" w:rsidRDefault="000D6E6A">
            <w:pPr>
              <w:pStyle w:val="bodycopytabletable"/>
            </w:pPr>
            <w:r w:rsidRPr="009B6B2A">
              <w:rPr>
                <w:caps/>
              </w:rPr>
              <w:t xml:space="preserve">Dodson </w:t>
            </w:r>
            <w:r w:rsidRPr="009B6B2A">
              <w:rPr>
                <w:caps/>
              </w:rPr>
              <w:br/>
              <w:t>Bauman Trust</w:t>
            </w:r>
          </w:p>
        </w:tc>
        <w:tc>
          <w:tcPr>
            <w:tcW w:w="252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r w:rsidRPr="009B6B2A">
              <w:t xml:space="preserve">Review of the initial outcomes of the </w:t>
            </w:r>
            <w:proofErr w:type="spellStart"/>
            <w:r w:rsidRPr="009B6B2A">
              <w:t>Dja</w:t>
            </w:r>
            <w:proofErr w:type="spellEnd"/>
            <w:r w:rsidRPr="009B6B2A">
              <w:t xml:space="preserve"> </w:t>
            </w:r>
            <w:proofErr w:type="spellStart"/>
            <w:r w:rsidRPr="009B6B2A">
              <w:t>Dja</w:t>
            </w:r>
            <w:proofErr w:type="spellEnd"/>
            <w:r w:rsidRPr="009B6B2A">
              <w:t xml:space="preserve"> </w:t>
            </w:r>
            <w:proofErr w:type="spellStart"/>
            <w:r w:rsidRPr="009B6B2A">
              <w:t>Wurrung</w:t>
            </w:r>
            <w:proofErr w:type="spellEnd"/>
            <w:r w:rsidRPr="009B6B2A">
              <w:t xml:space="preserve"> Recognition </w:t>
            </w:r>
            <w:r w:rsidRPr="009B6B2A">
              <w:rPr>
                <w:spacing w:val="-2"/>
              </w:rPr>
              <w:t>and Settlement Agreement (RSA).</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8/06/2018</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24/10/2018</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$100,000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$0</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jc w:val="right"/>
            </w:pPr>
            <w:r w:rsidRPr="009B6B2A">
              <w:t xml:space="preserve">$100,000 </w:t>
            </w:r>
          </w:p>
        </w:tc>
      </w:tr>
      <w:tr w:rsidRPr="009B6B2A" w:rsidR="000D6E6A" w:rsidTr="000B42AC">
        <w:tblPrEx>
          <w:tblCellMar>
            <w:top w:w="0" w:type="dxa"/>
            <w:left w:w="0" w:type="dxa"/>
            <w:bottom w:w="0" w:type="dxa"/>
            <w:right w:w="0" w:type="dxa"/>
          </w:tblCellMar>
        </w:tblPrEx>
        <w:trPr>
          <w:trHeight w:val="113"/>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9B6B2A" w:rsidR="000D6E6A" w:rsidRDefault="000D6E6A">
            <w:pPr>
              <w:pStyle w:val="bodycopytabletable"/>
            </w:pPr>
            <w:r w:rsidRPr="009B6B2A">
              <w:rPr>
                <w:caps/>
              </w:rPr>
              <w:t>KPMG</w:t>
            </w:r>
          </w:p>
        </w:tc>
        <w:tc>
          <w:tcPr>
            <w:tcW w:w="2524"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pPr>
            <w:proofErr w:type="spellStart"/>
            <w:r w:rsidRPr="009B6B2A">
              <w:t>Arrilla</w:t>
            </w:r>
            <w:proofErr w:type="spellEnd"/>
            <w:r w:rsidRPr="009B6B2A">
              <w:t xml:space="preserve"> Indigenous Services – </w:t>
            </w:r>
            <w:r w:rsidRPr="009B6B2A">
              <w:br/>
            </w:r>
            <w:proofErr w:type="spellStart"/>
            <w:r w:rsidRPr="009B6B2A">
              <w:t>Dja</w:t>
            </w:r>
            <w:proofErr w:type="spellEnd"/>
            <w:r w:rsidRPr="009B6B2A">
              <w:t xml:space="preserve"> </w:t>
            </w:r>
            <w:proofErr w:type="spellStart"/>
            <w:r w:rsidRPr="009B6B2A">
              <w:t>Dja</w:t>
            </w:r>
            <w:proofErr w:type="spellEnd"/>
            <w:r w:rsidRPr="009B6B2A">
              <w:t xml:space="preserve"> </w:t>
            </w:r>
            <w:proofErr w:type="spellStart"/>
            <w:r w:rsidRPr="009B6B2A">
              <w:t>Wurrung</w:t>
            </w:r>
            <w:proofErr w:type="spellEnd"/>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18/06/2018</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center"/>
            </w:pPr>
            <w:r w:rsidRPr="009B6B2A">
              <w:t>24/12/2018</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 xml:space="preserve">$55,000 </w:t>
            </w:r>
          </w:p>
        </w:tc>
        <w:tc>
          <w:tcPr>
            <w:tcW w:w="1276" w:type="dxa"/>
            <w:tcBorders>
              <w:top w:val="dotted" w:color="542E8E" w:sz="4" w:space="0"/>
              <w:left w:val="nil"/>
              <w:bottom w:val="dotted" w:color="542E8E" w:sz="4" w:space="0"/>
              <w:right w:val="nil"/>
            </w:tcBorders>
            <w:tcMar>
              <w:top w:w="57" w:type="dxa"/>
              <w:left w:w="57" w:type="dxa"/>
              <w:bottom w:w="57" w:type="dxa"/>
              <w:right w:w="57" w:type="dxa"/>
            </w:tcMar>
          </w:tcPr>
          <w:p w:rsidRPr="009B6B2A" w:rsidR="000D6E6A" w:rsidRDefault="000D6E6A">
            <w:pPr>
              <w:pStyle w:val="bodycopytabletable"/>
              <w:jc w:val="right"/>
            </w:pPr>
            <w:r w:rsidRPr="009B6B2A">
              <w:t>$0</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9B6B2A" w:rsidR="000D6E6A" w:rsidRDefault="000D6E6A">
            <w:pPr>
              <w:pStyle w:val="bodycopytabletable"/>
              <w:jc w:val="right"/>
            </w:pPr>
            <w:r w:rsidRPr="009B6B2A">
              <w:t xml:space="preserve">$55,000 </w:t>
            </w:r>
          </w:p>
        </w:tc>
      </w:tr>
      <w:tr w:rsidRPr="009B6B2A" w:rsidR="000D6E6A" w:rsidTr="000B42AC">
        <w:tblPrEx>
          <w:tblCellMar>
            <w:top w:w="0" w:type="dxa"/>
            <w:left w:w="0" w:type="dxa"/>
            <w:bottom w:w="0" w:type="dxa"/>
            <w:right w:w="0" w:type="dxa"/>
          </w:tblCellMar>
        </w:tblPrEx>
        <w:trPr>
          <w:trHeight w:val="113"/>
        </w:trPr>
        <w:tc>
          <w:tcPr>
            <w:tcW w:w="1871" w:type="dxa"/>
            <w:tcBorders>
              <w:top w:val="dotted" w:color="542E8E" w:sz="4" w:space="0"/>
              <w:left w:val="nil"/>
              <w:bottom w:val="single" w:color="542E8E" w:sz="4" w:space="0"/>
              <w:right w:val="nil"/>
            </w:tcBorders>
            <w:shd w:val="solid" w:color="FFFFFF" w:fill="auto"/>
            <w:tcMar>
              <w:top w:w="57" w:type="dxa"/>
              <w:left w:w="0" w:type="dxa"/>
              <w:bottom w:w="57" w:type="dxa"/>
              <w:right w:w="57" w:type="dxa"/>
            </w:tcMar>
          </w:tcPr>
          <w:p w:rsidRPr="009B6B2A" w:rsidR="000D6E6A" w:rsidRDefault="000D6E6A">
            <w:pPr>
              <w:pStyle w:val="bodycopytabletable"/>
            </w:pPr>
            <w:r w:rsidRPr="009B6B2A">
              <w:rPr>
                <w:caps/>
              </w:rPr>
              <w:t xml:space="preserve">Corporate Capability </w:t>
            </w:r>
            <w:r w:rsidRPr="009B6B2A">
              <w:rPr>
                <w:caps/>
              </w:rPr>
              <w:br/>
              <w:t>Pty Ltd</w:t>
            </w:r>
          </w:p>
        </w:tc>
        <w:tc>
          <w:tcPr>
            <w:tcW w:w="2524"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9B6B2A" w:rsidR="000D6E6A" w:rsidRDefault="000D6E6A">
            <w:pPr>
              <w:pStyle w:val="bodycopytabletable"/>
            </w:pPr>
            <w:r w:rsidRPr="009B6B2A">
              <w:t>To deliver elements of the Personnel Security Framework, as specified in the department’s Security Management Framework</w:t>
            </w:r>
          </w:p>
        </w:tc>
        <w:tc>
          <w:tcPr>
            <w:tcW w:w="992"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9B6B2A" w:rsidR="000D6E6A" w:rsidRDefault="000D6E6A">
            <w:pPr>
              <w:pStyle w:val="bodycopytabletable"/>
              <w:jc w:val="center"/>
            </w:pPr>
            <w:r w:rsidRPr="009B6B2A">
              <w:t>12/12/2017</w:t>
            </w:r>
          </w:p>
        </w:tc>
        <w:tc>
          <w:tcPr>
            <w:tcW w:w="992"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9B6B2A" w:rsidR="000D6E6A" w:rsidRDefault="000D6E6A">
            <w:pPr>
              <w:pStyle w:val="bodycopytabletable"/>
              <w:jc w:val="center"/>
            </w:pPr>
            <w:r w:rsidRPr="009B6B2A">
              <w:t>30/04/2018</w:t>
            </w:r>
          </w:p>
        </w:tc>
        <w:tc>
          <w:tcPr>
            <w:tcW w:w="1276"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9B6B2A" w:rsidR="000D6E6A" w:rsidRDefault="000D6E6A">
            <w:pPr>
              <w:pStyle w:val="bodycopytabletable"/>
              <w:jc w:val="right"/>
            </w:pPr>
            <w:r w:rsidRPr="009B6B2A">
              <w:t>$48,000</w:t>
            </w:r>
          </w:p>
        </w:tc>
        <w:tc>
          <w:tcPr>
            <w:tcW w:w="1276"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Pr="009B6B2A" w:rsidR="000D6E6A" w:rsidRDefault="000D6E6A">
            <w:pPr>
              <w:pStyle w:val="bodycopytabletable"/>
              <w:jc w:val="right"/>
            </w:pPr>
            <w:r w:rsidRPr="009B6B2A">
              <w:t>$0</w:t>
            </w:r>
          </w:p>
        </w:tc>
        <w:tc>
          <w:tcPr>
            <w:tcW w:w="1134" w:type="dxa"/>
            <w:tcBorders>
              <w:top w:val="dotted" w:color="542E8E" w:sz="4" w:space="0"/>
              <w:left w:val="nil"/>
              <w:bottom w:val="single" w:color="542E8E" w:sz="4" w:space="0"/>
              <w:right w:val="nil"/>
            </w:tcBorders>
            <w:shd w:val="solid" w:color="FFFFFF" w:fill="auto"/>
            <w:tcMar>
              <w:top w:w="57" w:type="dxa"/>
              <w:left w:w="57" w:type="dxa"/>
              <w:bottom w:w="57" w:type="dxa"/>
              <w:right w:w="0" w:type="dxa"/>
            </w:tcMar>
          </w:tcPr>
          <w:p w:rsidRPr="009B6B2A" w:rsidR="000D6E6A" w:rsidRDefault="000D6E6A">
            <w:pPr>
              <w:pStyle w:val="bodycopytabletable"/>
              <w:jc w:val="right"/>
            </w:pPr>
            <w:r w:rsidRPr="009B6B2A">
              <w:t>$48,000</w:t>
            </w:r>
          </w:p>
        </w:tc>
      </w:tr>
    </w:tbl>
    <w:p w:rsidR="000D6E6A" w:rsidP="000B42AC" w:rsidRDefault="000D6E6A">
      <w:pPr>
        <w:pStyle w:val="notesspantable"/>
        <w:spacing w:before="60"/>
      </w:pPr>
      <w:r>
        <w:t>Note: The disclosure on ‘start date’ and ‘end date’ of a consultancy is not a mandatory requirement of FRD 22H.</w:t>
      </w:r>
    </w:p>
    <w:p w:rsidR="00390ABD" w:rsidRDefault="00390ABD">
      <w:pPr>
        <w:rPr>
          <w:rFonts w:ascii="Arial" w:hAnsi="Arial" w:cs="Arial"/>
          <w:b/>
          <w:bCs/>
          <w:color w:val="542E8E"/>
          <w:lang w:val="en-GB"/>
        </w:rPr>
      </w:pPr>
      <w:r>
        <w:br w:type="page"/>
      </w:r>
    </w:p>
    <w:p w:rsidR="000D6E6A" w:rsidRDefault="000D6E6A">
      <w:pPr>
        <w:pStyle w:val="H3"/>
      </w:pPr>
      <w:r>
        <w:lastRenderedPageBreak/>
        <w:t>Details of consultancies under $10 000</w:t>
      </w:r>
    </w:p>
    <w:p w:rsidRPr="00390ABD" w:rsidR="000D6E6A" w:rsidRDefault="000D6E6A">
      <w:pPr>
        <w:pStyle w:val="Bodycopyspan"/>
        <w:rPr>
          <w:i w:val="false"/>
          <w:iCs w:val="false"/>
          <w:spacing w:val="-2"/>
        </w:rPr>
      </w:pPr>
      <w:r w:rsidRPr="00390ABD">
        <w:rPr>
          <w:i w:val="false"/>
          <w:iCs w:val="false"/>
          <w:spacing w:val="-2"/>
        </w:rPr>
        <w:t xml:space="preserve">In 2017–18, there were 13 consultancies engaged during the year, where the total fees payable to the individual consultancies was less than $10 000. The total expenditure incurred during 2017–18 in relation to these consultancies was $0.05 million (excl. GST). </w:t>
      </w:r>
    </w:p>
    <w:tbl>
      <w:tblPr>
        <w:tblW w:w="0" w:type="auto"/>
        <w:tblLayout w:type="fixed"/>
        <w:tblCellMar>
          <w:left w:w="0" w:type="dxa"/>
          <w:right w:w="0" w:type="dxa"/>
        </w:tblCellMar>
        <w:tblLook w:firstRow="0" w:lastRow="0" w:firstColumn="0" w:lastColumn="0" w:noHBand="0" w:noVBand="0" w:val="0000"/>
      </w:tblPr>
      <w:tblGrid>
        <w:gridCol w:w="1871"/>
        <w:gridCol w:w="2807"/>
        <w:gridCol w:w="992"/>
        <w:gridCol w:w="993"/>
        <w:gridCol w:w="1275"/>
        <w:gridCol w:w="1134"/>
        <w:gridCol w:w="1134"/>
      </w:tblGrid>
      <w:tr w:rsidRPr="00390ABD" w:rsidR="000D6E6A" w:rsidTr="00390ABD">
        <w:tblPrEx>
          <w:tblCellMar>
            <w:top w:w="0" w:type="dxa"/>
            <w:left w:w="0" w:type="dxa"/>
            <w:bottom w:w="0" w:type="dxa"/>
            <w:right w:w="0" w:type="dxa"/>
          </w:tblCellMar>
        </w:tblPrEx>
        <w:trPr>
          <w:trHeight w:val="60"/>
          <w:tblHeader/>
        </w:trPr>
        <w:tc>
          <w:tcPr>
            <w:tcW w:w="1871" w:type="dxa"/>
            <w:tcBorders>
              <w:top w:val="dotted" w:color="000000" w:sz="6" w:space="0"/>
              <w:left w:val="nil"/>
              <w:bottom w:val="single" w:color="542E8E" w:sz="6" w:space="0"/>
              <w:right w:val="nil"/>
            </w:tcBorders>
            <w:shd w:val="solid" w:color="FFFFFF" w:fill="auto"/>
            <w:tcMar>
              <w:top w:w="57" w:type="dxa"/>
              <w:left w:w="0" w:type="dxa"/>
              <w:bottom w:w="57" w:type="dxa"/>
              <w:right w:w="57" w:type="dxa"/>
            </w:tcMar>
            <w:vAlign w:val="bottom"/>
          </w:tcPr>
          <w:p w:rsidRPr="00390ABD" w:rsidR="000D6E6A" w:rsidP="00390ABD" w:rsidRDefault="000D6E6A">
            <w:pPr>
              <w:pStyle w:val="bodycopytabletable"/>
            </w:pPr>
            <w:r w:rsidRPr="00390ABD">
              <w:rPr>
                <w:rStyle w:val="mediumpurple"/>
                <w:b/>
                <w:bCs/>
              </w:rPr>
              <w:t>Consultant</w:t>
            </w:r>
          </w:p>
        </w:tc>
        <w:tc>
          <w:tcPr>
            <w:tcW w:w="2807"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390ABD" w:rsidR="000D6E6A" w:rsidP="00390ABD" w:rsidRDefault="000D6E6A">
            <w:pPr>
              <w:pStyle w:val="bodycopytabletable"/>
            </w:pPr>
            <w:r w:rsidRPr="00390ABD">
              <w:rPr>
                <w:rStyle w:val="mediumpurple"/>
                <w:b/>
                <w:bCs/>
              </w:rPr>
              <w:t>Purpose of consultancy</w:t>
            </w:r>
          </w:p>
        </w:tc>
        <w:tc>
          <w:tcPr>
            <w:tcW w:w="992"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390ABD" w:rsidR="000D6E6A" w:rsidP="00390ABD" w:rsidRDefault="000D6E6A">
            <w:pPr>
              <w:pStyle w:val="bodycopytabletable"/>
              <w:jc w:val="center"/>
            </w:pPr>
            <w:r w:rsidRPr="00390ABD">
              <w:rPr>
                <w:rStyle w:val="mediumpurple"/>
                <w:b/>
                <w:bCs/>
              </w:rPr>
              <w:t>Start date</w:t>
            </w:r>
          </w:p>
        </w:tc>
        <w:tc>
          <w:tcPr>
            <w:tcW w:w="993"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390ABD" w:rsidR="000D6E6A" w:rsidP="00390ABD" w:rsidRDefault="000D6E6A">
            <w:pPr>
              <w:pStyle w:val="bodycopytabletable"/>
              <w:jc w:val="center"/>
            </w:pPr>
            <w:r w:rsidRPr="00390ABD">
              <w:rPr>
                <w:rStyle w:val="mediumpurple"/>
                <w:b/>
                <w:bCs/>
              </w:rPr>
              <w:t>End date</w:t>
            </w:r>
          </w:p>
        </w:tc>
        <w:tc>
          <w:tcPr>
            <w:tcW w:w="1275"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390ABD" w:rsidR="000D6E6A" w:rsidP="00390ABD" w:rsidRDefault="000D6E6A">
            <w:pPr>
              <w:pStyle w:val="bodycopytabletable"/>
              <w:jc w:val="right"/>
            </w:pPr>
            <w:r w:rsidRPr="00390ABD">
              <w:rPr>
                <w:rStyle w:val="mediumpurple"/>
                <w:b/>
                <w:bCs/>
              </w:rPr>
              <w:t>Total approved project fee (excl. GST)</w:t>
            </w:r>
          </w:p>
        </w:tc>
        <w:tc>
          <w:tcPr>
            <w:tcW w:w="1134"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390ABD" w:rsidR="000D6E6A" w:rsidP="00390ABD" w:rsidRDefault="000D6E6A">
            <w:pPr>
              <w:pStyle w:val="bodycopytabletable"/>
              <w:jc w:val="right"/>
            </w:pPr>
            <w:r w:rsidRPr="00390ABD">
              <w:rPr>
                <w:rStyle w:val="mediumpurple"/>
                <w:b/>
                <w:bCs/>
              </w:rPr>
              <w:t>Expenditure 2017</w:t>
            </w:r>
            <w:r w:rsidRPr="00390ABD">
              <w:rPr>
                <w:rStyle w:val="mediumpurple"/>
                <w:rFonts w:ascii="Cambria Math" w:hAnsi="Cambria Math" w:cs="Cambria Math"/>
                <w:b/>
                <w:bCs/>
              </w:rPr>
              <w:t>‑</w:t>
            </w:r>
            <w:r w:rsidRPr="00390ABD">
              <w:rPr>
                <w:rStyle w:val="mediumpurple"/>
                <w:b/>
                <w:bCs/>
              </w:rPr>
              <w:t>18 (excl. GST)</w:t>
            </w:r>
          </w:p>
        </w:tc>
        <w:tc>
          <w:tcPr>
            <w:tcW w:w="1134" w:type="dxa"/>
            <w:tcBorders>
              <w:top w:val="dotted" w:color="000000" w:sz="6" w:space="0"/>
              <w:left w:val="nil"/>
              <w:bottom w:val="single" w:color="542E8E" w:sz="6" w:space="0"/>
              <w:right w:val="nil"/>
            </w:tcBorders>
            <w:shd w:val="solid" w:color="FFFFFF" w:fill="auto"/>
            <w:tcMar>
              <w:top w:w="57" w:type="dxa"/>
              <w:left w:w="57" w:type="dxa"/>
              <w:bottom w:w="57" w:type="dxa"/>
              <w:right w:w="0" w:type="dxa"/>
            </w:tcMar>
            <w:vAlign w:val="bottom"/>
          </w:tcPr>
          <w:p w:rsidRPr="00390ABD" w:rsidR="000D6E6A" w:rsidP="00390ABD" w:rsidRDefault="000D6E6A">
            <w:pPr>
              <w:pStyle w:val="bodycopytabletable"/>
              <w:jc w:val="right"/>
            </w:pPr>
            <w:r w:rsidRPr="00390ABD">
              <w:rPr>
                <w:rStyle w:val="mediumpurple"/>
                <w:b/>
                <w:bCs/>
              </w:rPr>
              <w:t>Future expenditure (excl. GST)</w:t>
            </w:r>
          </w:p>
        </w:tc>
      </w:tr>
      <w:tr w:rsidRPr="00390ABD" w:rsidR="000D6E6A" w:rsidTr="00390ABD">
        <w:tblPrEx>
          <w:tblCellMar>
            <w:top w:w="0" w:type="dxa"/>
            <w:left w:w="0" w:type="dxa"/>
            <w:bottom w:w="0" w:type="dxa"/>
            <w:right w:w="0" w:type="dxa"/>
          </w:tblCellMar>
        </w:tblPrEx>
        <w:trPr>
          <w:trHeight w:val="60"/>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390ABD" w:rsidR="000D6E6A" w:rsidRDefault="000D6E6A">
            <w:pPr>
              <w:pStyle w:val="bodycopytabletable"/>
            </w:pPr>
            <w:r w:rsidRPr="00390ABD">
              <w:rPr>
                <w:caps/>
              </w:rPr>
              <w:t xml:space="preserve">KNH Consulting </w:t>
            </w:r>
            <w:r w:rsidRPr="00390ABD">
              <w:rPr>
                <w:caps/>
              </w:rPr>
              <w:br/>
              <w:t>Pty Ltd</w:t>
            </w:r>
          </w:p>
        </w:tc>
        <w:tc>
          <w:tcPr>
            <w:tcW w:w="2807"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pPr>
            <w:r w:rsidRPr="00390ABD">
              <w:t>Facilitation of workshops for Offending Behaviour Programs service development</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center"/>
            </w:pPr>
            <w:r w:rsidRPr="00390ABD">
              <w:t>1/07/2017</w:t>
            </w:r>
          </w:p>
        </w:tc>
        <w:tc>
          <w:tcPr>
            <w:tcW w:w="993"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center"/>
            </w:pPr>
            <w:r w:rsidRPr="00390ABD">
              <w:t>31/12/2017</w:t>
            </w:r>
          </w:p>
        </w:tc>
        <w:tc>
          <w:tcPr>
            <w:tcW w:w="1275"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right"/>
            </w:pPr>
            <w:r w:rsidRPr="00390ABD">
              <w:t>$9,091</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right"/>
            </w:pPr>
            <w:r w:rsidRPr="00390ABD">
              <w:t>$5,400</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390ABD" w:rsidR="000D6E6A" w:rsidRDefault="000D6E6A">
            <w:pPr>
              <w:pStyle w:val="bodycopytabletable"/>
              <w:jc w:val="right"/>
            </w:pPr>
            <w:r w:rsidRPr="00390ABD">
              <w:t>$3,691</w:t>
            </w:r>
          </w:p>
        </w:tc>
      </w:tr>
      <w:tr w:rsidRPr="00390ABD" w:rsidR="000D6E6A" w:rsidTr="00390ABD">
        <w:tblPrEx>
          <w:tblCellMar>
            <w:top w:w="0" w:type="dxa"/>
            <w:left w:w="0" w:type="dxa"/>
            <w:bottom w:w="0" w:type="dxa"/>
            <w:right w:w="0" w:type="dxa"/>
          </w:tblCellMar>
        </w:tblPrEx>
        <w:trPr>
          <w:trHeight w:val="60"/>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390ABD" w:rsidR="000D6E6A" w:rsidRDefault="000D6E6A">
            <w:pPr>
              <w:pStyle w:val="bodycopytabletable"/>
            </w:pPr>
            <w:r w:rsidRPr="00390ABD">
              <w:rPr>
                <w:caps/>
              </w:rPr>
              <w:t>Professor Michael Coper</w:t>
            </w:r>
          </w:p>
        </w:tc>
        <w:tc>
          <w:tcPr>
            <w:tcW w:w="2807"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pPr>
            <w:r w:rsidRPr="00390ABD">
              <w:t xml:space="preserve">Review of accreditation </w:t>
            </w:r>
            <w:r w:rsidRPr="00390ABD">
              <w:br/>
              <w:t>of the Victoria University LLB degree</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center"/>
            </w:pPr>
            <w:r w:rsidRPr="00390ABD">
              <w:t>7/07/2017</w:t>
            </w:r>
          </w:p>
        </w:tc>
        <w:tc>
          <w:tcPr>
            <w:tcW w:w="993"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center"/>
            </w:pPr>
            <w:r w:rsidRPr="00390ABD">
              <w:t>7/07/2017</w:t>
            </w:r>
          </w:p>
        </w:tc>
        <w:tc>
          <w:tcPr>
            <w:tcW w:w="1275"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right"/>
            </w:pPr>
            <w:r w:rsidRPr="00390ABD">
              <w:t xml:space="preserve">$5,455 </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right"/>
            </w:pPr>
            <w:r w:rsidRPr="00390ABD">
              <w:t xml:space="preserve">$3,600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390ABD" w:rsidR="000D6E6A" w:rsidRDefault="000D6E6A">
            <w:pPr>
              <w:pStyle w:val="bodycopytabletable"/>
              <w:jc w:val="right"/>
            </w:pPr>
            <w:r w:rsidRPr="00390ABD">
              <w:t xml:space="preserve">$1,855 </w:t>
            </w:r>
          </w:p>
        </w:tc>
      </w:tr>
      <w:tr w:rsidRPr="00390ABD" w:rsidR="000D6E6A" w:rsidTr="00390ABD">
        <w:tblPrEx>
          <w:tblCellMar>
            <w:top w:w="0" w:type="dxa"/>
            <w:left w:w="0" w:type="dxa"/>
            <w:bottom w:w="0" w:type="dxa"/>
            <w:right w:w="0" w:type="dxa"/>
          </w:tblCellMar>
        </w:tblPrEx>
        <w:trPr>
          <w:trHeight w:val="60"/>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390ABD" w:rsidR="000D6E6A" w:rsidRDefault="000D6E6A">
            <w:pPr>
              <w:pStyle w:val="bodycopytabletable"/>
            </w:pPr>
            <w:r w:rsidRPr="00390ABD">
              <w:rPr>
                <w:caps/>
              </w:rPr>
              <w:t>Pivotspace Pty Ltd</w:t>
            </w:r>
          </w:p>
        </w:tc>
        <w:tc>
          <w:tcPr>
            <w:tcW w:w="2807"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pPr>
            <w:r w:rsidRPr="00390ABD">
              <w:t>North West Metropolitan Area (NWMA) – Business Planning</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center"/>
            </w:pPr>
            <w:r w:rsidRPr="00390ABD">
              <w:t>17/07/2017</w:t>
            </w:r>
          </w:p>
        </w:tc>
        <w:tc>
          <w:tcPr>
            <w:tcW w:w="993"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center"/>
            </w:pPr>
            <w:r w:rsidRPr="00390ABD">
              <w:t>16/10/2017</w:t>
            </w:r>
          </w:p>
        </w:tc>
        <w:tc>
          <w:tcPr>
            <w:tcW w:w="1275"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right"/>
            </w:pPr>
            <w:r w:rsidRPr="00390ABD">
              <w:t>$7,125</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right"/>
            </w:pPr>
            <w:r w:rsidRPr="00390ABD">
              <w:t xml:space="preserve">$7,125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390ABD" w:rsidR="000D6E6A" w:rsidRDefault="000D6E6A">
            <w:pPr>
              <w:pStyle w:val="bodycopytabletable"/>
              <w:jc w:val="right"/>
            </w:pPr>
            <w:r w:rsidRPr="00390ABD">
              <w:t>$0</w:t>
            </w:r>
          </w:p>
        </w:tc>
      </w:tr>
      <w:tr w:rsidRPr="00390ABD" w:rsidR="000D6E6A" w:rsidTr="00390ABD">
        <w:tblPrEx>
          <w:tblCellMar>
            <w:top w:w="0" w:type="dxa"/>
            <w:left w:w="0" w:type="dxa"/>
            <w:bottom w:w="0" w:type="dxa"/>
            <w:right w:w="0" w:type="dxa"/>
          </w:tblCellMar>
        </w:tblPrEx>
        <w:trPr>
          <w:trHeight w:val="60"/>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390ABD" w:rsidR="000D6E6A" w:rsidRDefault="000D6E6A">
            <w:pPr>
              <w:pStyle w:val="bodycopytabletable"/>
            </w:pPr>
            <w:r w:rsidRPr="00390ABD">
              <w:rPr>
                <w:caps/>
              </w:rPr>
              <w:t>PriceWaterHouse Cooper</w:t>
            </w:r>
          </w:p>
        </w:tc>
        <w:tc>
          <w:tcPr>
            <w:tcW w:w="2807"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pPr>
            <w:r w:rsidRPr="00390ABD">
              <w:t xml:space="preserve">Report on Government Services Model Refresh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center"/>
            </w:pPr>
            <w:r w:rsidRPr="00390ABD">
              <w:t>24/07/2017</w:t>
            </w:r>
          </w:p>
        </w:tc>
        <w:tc>
          <w:tcPr>
            <w:tcW w:w="993"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center"/>
            </w:pPr>
            <w:r w:rsidRPr="00390ABD">
              <w:t>15/09/2017</w:t>
            </w:r>
          </w:p>
        </w:tc>
        <w:tc>
          <w:tcPr>
            <w:tcW w:w="1275"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right"/>
            </w:pPr>
            <w:r w:rsidRPr="00390ABD">
              <w:t>$8,000</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right"/>
            </w:pPr>
            <w:r w:rsidRPr="00390ABD">
              <w:t>$8,000</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390ABD" w:rsidR="000D6E6A" w:rsidRDefault="000D6E6A">
            <w:pPr>
              <w:pStyle w:val="bodycopytabletable"/>
              <w:jc w:val="right"/>
            </w:pPr>
            <w:r w:rsidRPr="00390ABD">
              <w:t>$0</w:t>
            </w:r>
          </w:p>
        </w:tc>
      </w:tr>
      <w:tr w:rsidRPr="00390ABD" w:rsidR="000D6E6A" w:rsidTr="00390ABD">
        <w:tblPrEx>
          <w:tblCellMar>
            <w:top w:w="0" w:type="dxa"/>
            <w:left w:w="0" w:type="dxa"/>
            <w:bottom w:w="0" w:type="dxa"/>
            <w:right w:w="0" w:type="dxa"/>
          </w:tblCellMar>
        </w:tblPrEx>
        <w:trPr>
          <w:trHeight w:val="60"/>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390ABD" w:rsidR="000D6E6A" w:rsidRDefault="000D6E6A">
            <w:pPr>
              <w:pStyle w:val="bodycopytabletable"/>
            </w:pPr>
            <w:r w:rsidRPr="00390ABD">
              <w:rPr>
                <w:caps/>
              </w:rPr>
              <w:t>HR Ascent Pty Ltd</w:t>
            </w:r>
          </w:p>
        </w:tc>
        <w:tc>
          <w:tcPr>
            <w:tcW w:w="2807"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pPr>
            <w:r w:rsidRPr="00390ABD">
              <w:t>Preparation and presentation to Judicial Entitlement Panel</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center"/>
            </w:pPr>
            <w:r w:rsidRPr="00390ABD">
              <w:t>4/08/2017</w:t>
            </w:r>
          </w:p>
        </w:tc>
        <w:tc>
          <w:tcPr>
            <w:tcW w:w="993"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center"/>
            </w:pPr>
            <w:r w:rsidRPr="00390ABD">
              <w:t>11/08/2017</w:t>
            </w:r>
          </w:p>
        </w:tc>
        <w:tc>
          <w:tcPr>
            <w:tcW w:w="1275"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right"/>
            </w:pPr>
            <w:r w:rsidRPr="00390ABD">
              <w:t>$2,000</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right"/>
            </w:pPr>
            <w:r w:rsidRPr="00390ABD">
              <w:t>$2,000</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390ABD" w:rsidR="000D6E6A" w:rsidRDefault="000D6E6A">
            <w:pPr>
              <w:pStyle w:val="bodycopytabletable"/>
              <w:jc w:val="right"/>
            </w:pPr>
            <w:r w:rsidRPr="00390ABD">
              <w:t>$0</w:t>
            </w:r>
          </w:p>
        </w:tc>
      </w:tr>
      <w:tr w:rsidRPr="00390ABD" w:rsidR="000D6E6A" w:rsidTr="00390ABD">
        <w:tblPrEx>
          <w:tblCellMar>
            <w:top w:w="0" w:type="dxa"/>
            <w:left w:w="0" w:type="dxa"/>
            <w:bottom w:w="0" w:type="dxa"/>
            <w:right w:w="0" w:type="dxa"/>
          </w:tblCellMar>
        </w:tblPrEx>
        <w:trPr>
          <w:trHeight w:val="60"/>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390ABD" w:rsidR="000D6E6A" w:rsidRDefault="000D6E6A">
            <w:pPr>
              <w:pStyle w:val="bodycopytabletable"/>
            </w:pPr>
            <w:r w:rsidRPr="00390ABD">
              <w:rPr>
                <w:caps/>
              </w:rPr>
              <w:t xml:space="preserve">Lisa Ward Consulting </w:t>
            </w:r>
            <w:r w:rsidRPr="00390ABD">
              <w:rPr>
                <w:caps/>
              </w:rPr>
              <w:br/>
              <w:t>Pty Ltd</w:t>
            </w:r>
          </w:p>
        </w:tc>
        <w:tc>
          <w:tcPr>
            <w:tcW w:w="2807"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pPr>
            <w:r w:rsidRPr="00390ABD">
              <w:t>Review at risk policy and procedures in youth justice custodial facilities</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center"/>
            </w:pPr>
            <w:r w:rsidRPr="00390ABD">
              <w:t>2/10/2017</w:t>
            </w:r>
          </w:p>
        </w:tc>
        <w:tc>
          <w:tcPr>
            <w:tcW w:w="993"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center"/>
            </w:pPr>
            <w:r w:rsidRPr="00390ABD">
              <w:t>2/04/2018</w:t>
            </w:r>
          </w:p>
        </w:tc>
        <w:tc>
          <w:tcPr>
            <w:tcW w:w="1275"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right"/>
            </w:pPr>
            <w:r w:rsidRPr="00390ABD">
              <w:t xml:space="preserve">$5,700 </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right"/>
            </w:pPr>
            <w:r w:rsidRPr="00390ABD">
              <w:t xml:space="preserve">$5,700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390ABD" w:rsidR="000D6E6A" w:rsidRDefault="000D6E6A">
            <w:pPr>
              <w:pStyle w:val="bodycopytabletable"/>
              <w:jc w:val="right"/>
            </w:pPr>
            <w:r w:rsidRPr="00390ABD">
              <w:t>$0</w:t>
            </w:r>
          </w:p>
        </w:tc>
      </w:tr>
      <w:tr w:rsidRPr="00390ABD" w:rsidR="000D6E6A" w:rsidTr="00390ABD">
        <w:tblPrEx>
          <w:tblCellMar>
            <w:top w:w="0" w:type="dxa"/>
            <w:left w:w="0" w:type="dxa"/>
            <w:bottom w:w="0" w:type="dxa"/>
            <w:right w:w="0" w:type="dxa"/>
          </w:tblCellMar>
        </w:tblPrEx>
        <w:trPr>
          <w:trHeight w:val="60"/>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390ABD" w:rsidR="000D6E6A" w:rsidRDefault="000D6E6A">
            <w:pPr>
              <w:pStyle w:val="bodycopytabletable"/>
            </w:pPr>
            <w:r w:rsidRPr="00390ABD">
              <w:rPr>
                <w:caps/>
              </w:rPr>
              <w:t xml:space="preserve">Equal Access </w:t>
            </w:r>
            <w:r w:rsidRPr="00390ABD">
              <w:rPr>
                <w:caps/>
              </w:rPr>
              <w:br/>
              <w:t>Pty Ltd</w:t>
            </w:r>
          </w:p>
        </w:tc>
        <w:tc>
          <w:tcPr>
            <w:tcW w:w="2807"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pPr>
            <w:r w:rsidRPr="00390ABD">
              <w:t xml:space="preserve">Consulting for Disability Access Services at Victorian Emergency Management Institute </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center"/>
            </w:pPr>
            <w:r w:rsidRPr="00390ABD">
              <w:t>17/11/2017</w:t>
            </w:r>
          </w:p>
        </w:tc>
        <w:tc>
          <w:tcPr>
            <w:tcW w:w="993"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center"/>
            </w:pPr>
            <w:r w:rsidRPr="00390ABD">
              <w:t>30/04/2018</w:t>
            </w:r>
          </w:p>
        </w:tc>
        <w:tc>
          <w:tcPr>
            <w:tcW w:w="1275"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right"/>
            </w:pPr>
            <w:r w:rsidRPr="00390ABD">
              <w:t xml:space="preserve">$3,230 </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right"/>
            </w:pPr>
            <w:r w:rsidRPr="00390ABD">
              <w:t xml:space="preserve">$3,230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390ABD" w:rsidR="000D6E6A" w:rsidRDefault="000D6E6A">
            <w:pPr>
              <w:pStyle w:val="bodycopytabletable"/>
              <w:jc w:val="right"/>
            </w:pPr>
            <w:r w:rsidRPr="00390ABD">
              <w:t>$0</w:t>
            </w:r>
          </w:p>
        </w:tc>
      </w:tr>
      <w:tr w:rsidRPr="00390ABD" w:rsidR="000D6E6A" w:rsidTr="00390ABD">
        <w:tblPrEx>
          <w:tblCellMar>
            <w:top w:w="0" w:type="dxa"/>
            <w:left w:w="0" w:type="dxa"/>
            <w:bottom w:w="0" w:type="dxa"/>
            <w:right w:w="0" w:type="dxa"/>
          </w:tblCellMar>
        </w:tblPrEx>
        <w:trPr>
          <w:trHeight w:val="60"/>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390ABD" w:rsidR="000D6E6A" w:rsidRDefault="000D6E6A">
            <w:pPr>
              <w:pStyle w:val="bodycopytabletable"/>
            </w:pPr>
            <w:r w:rsidRPr="00390ABD">
              <w:rPr>
                <w:caps/>
              </w:rPr>
              <w:t>Squared impact</w:t>
            </w:r>
          </w:p>
        </w:tc>
        <w:tc>
          <w:tcPr>
            <w:tcW w:w="2807"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pPr>
            <w:r w:rsidRPr="00390ABD">
              <w:t>Independent and external evaluation support for the Immersive Bushfire Experience Mobile Prototype</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center"/>
            </w:pPr>
            <w:r w:rsidRPr="00390ABD">
              <w:t>24/11/2017</w:t>
            </w:r>
          </w:p>
        </w:tc>
        <w:tc>
          <w:tcPr>
            <w:tcW w:w="993"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center"/>
            </w:pPr>
            <w:r w:rsidRPr="00390ABD">
              <w:t>30/06/2018</w:t>
            </w:r>
          </w:p>
        </w:tc>
        <w:tc>
          <w:tcPr>
            <w:tcW w:w="1275"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right"/>
            </w:pPr>
            <w:r w:rsidRPr="00390ABD">
              <w:t xml:space="preserve">$4,500 </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right"/>
            </w:pPr>
            <w:r w:rsidRPr="00390ABD">
              <w:t xml:space="preserve">$4,500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390ABD" w:rsidR="000D6E6A" w:rsidRDefault="000D6E6A">
            <w:pPr>
              <w:pStyle w:val="bodycopytabletable"/>
              <w:jc w:val="right"/>
            </w:pPr>
            <w:r w:rsidRPr="00390ABD">
              <w:t>$0</w:t>
            </w:r>
          </w:p>
        </w:tc>
      </w:tr>
      <w:tr w:rsidRPr="00390ABD" w:rsidR="000D6E6A" w:rsidTr="00390ABD">
        <w:tblPrEx>
          <w:tblCellMar>
            <w:top w:w="0" w:type="dxa"/>
            <w:left w:w="0" w:type="dxa"/>
            <w:bottom w:w="0" w:type="dxa"/>
            <w:right w:w="0" w:type="dxa"/>
          </w:tblCellMar>
        </w:tblPrEx>
        <w:trPr>
          <w:trHeight w:val="60"/>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390ABD" w:rsidR="000D6E6A" w:rsidRDefault="000D6E6A">
            <w:pPr>
              <w:pStyle w:val="bodycopytabletable"/>
            </w:pPr>
            <w:r w:rsidRPr="00390ABD">
              <w:rPr>
                <w:caps/>
              </w:rPr>
              <w:t>Dr Robert Williams</w:t>
            </w:r>
          </w:p>
        </w:tc>
        <w:tc>
          <w:tcPr>
            <w:tcW w:w="2807"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pPr>
            <w:r w:rsidRPr="00390ABD">
              <w:t>Evaluation of 3 proposals for a new population survey of Victoria</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center"/>
            </w:pPr>
            <w:r w:rsidRPr="00390ABD">
              <w:t>8/12/2017</w:t>
            </w:r>
          </w:p>
        </w:tc>
        <w:tc>
          <w:tcPr>
            <w:tcW w:w="993"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center"/>
            </w:pPr>
            <w:r w:rsidRPr="00390ABD">
              <w:t>3/01/2018</w:t>
            </w:r>
          </w:p>
        </w:tc>
        <w:tc>
          <w:tcPr>
            <w:tcW w:w="1275"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right"/>
            </w:pPr>
            <w:r w:rsidRPr="00390ABD">
              <w:t xml:space="preserve">$3,231 </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right"/>
            </w:pPr>
            <w:r w:rsidRPr="00390ABD">
              <w:t xml:space="preserve">$3,231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390ABD" w:rsidR="000D6E6A" w:rsidRDefault="000D6E6A">
            <w:pPr>
              <w:pStyle w:val="bodycopytabletable"/>
              <w:jc w:val="right"/>
            </w:pPr>
            <w:r w:rsidRPr="00390ABD">
              <w:t>$0</w:t>
            </w:r>
          </w:p>
        </w:tc>
      </w:tr>
      <w:tr w:rsidRPr="00390ABD" w:rsidR="000D6E6A" w:rsidTr="00390ABD">
        <w:tblPrEx>
          <w:tblCellMar>
            <w:top w:w="0" w:type="dxa"/>
            <w:left w:w="0" w:type="dxa"/>
            <w:bottom w:w="0" w:type="dxa"/>
            <w:right w:w="0" w:type="dxa"/>
          </w:tblCellMar>
        </w:tblPrEx>
        <w:trPr>
          <w:trHeight w:val="60"/>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390ABD" w:rsidR="000D6E6A" w:rsidRDefault="000D6E6A">
            <w:pPr>
              <w:pStyle w:val="bodycopytabletable"/>
            </w:pPr>
            <w:r w:rsidRPr="00390ABD">
              <w:rPr>
                <w:caps/>
              </w:rPr>
              <w:t>Jeanette Pope</w:t>
            </w:r>
          </w:p>
        </w:tc>
        <w:tc>
          <w:tcPr>
            <w:tcW w:w="2807"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pPr>
            <w:r w:rsidRPr="00390ABD">
              <w:t>Consultancy services to design and facilitate Youth Crime Prevention Grants Program</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center"/>
            </w:pPr>
            <w:r w:rsidRPr="00390ABD">
              <w:t>13/12/2017</w:t>
            </w:r>
          </w:p>
        </w:tc>
        <w:tc>
          <w:tcPr>
            <w:tcW w:w="993"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center"/>
            </w:pPr>
            <w:r w:rsidRPr="00390ABD">
              <w:t>13/12/2017</w:t>
            </w:r>
          </w:p>
        </w:tc>
        <w:tc>
          <w:tcPr>
            <w:tcW w:w="1275"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right"/>
            </w:pPr>
            <w:r w:rsidRPr="00390ABD">
              <w:t xml:space="preserve">$1,591 </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right"/>
            </w:pPr>
            <w:r w:rsidRPr="00390ABD">
              <w:t xml:space="preserve">$1,591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390ABD" w:rsidR="000D6E6A" w:rsidRDefault="000D6E6A">
            <w:pPr>
              <w:pStyle w:val="bodycopytabletable"/>
              <w:jc w:val="right"/>
            </w:pPr>
            <w:r w:rsidRPr="00390ABD">
              <w:t>$0</w:t>
            </w:r>
          </w:p>
        </w:tc>
      </w:tr>
      <w:tr w:rsidRPr="00390ABD" w:rsidR="000D6E6A" w:rsidTr="00390ABD">
        <w:tblPrEx>
          <w:tblCellMar>
            <w:top w:w="0" w:type="dxa"/>
            <w:left w:w="0" w:type="dxa"/>
            <w:bottom w:w="0" w:type="dxa"/>
            <w:right w:w="0" w:type="dxa"/>
          </w:tblCellMar>
        </w:tblPrEx>
        <w:trPr>
          <w:trHeight w:val="60"/>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390ABD" w:rsidR="000D6E6A" w:rsidRDefault="000D6E6A">
            <w:pPr>
              <w:pStyle w:val="bodycopytabletable"/>
            </w:pPr>
            <w:r w:rsidRPr="00390ABD">
              <w:rPr>
                <w:caps/>
              </w:rPr>
              <w:t>Shannon Bakker Consulting</w:t>
            </w:r>
          </w:p>
        </w:tc>
        <w:tc>
          <w:tcPr>
            <w:tcW w:w="2807"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pPr>
            <w:r w:rsidRPr="00390ABD">
              <w:t>Communications Strategy for Emergency Advice During a State-Significant Power Failure</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center"/>
            </w:pPr>
            <w:r w:rsidRPr="00390ABD">
              <w:t>8/11/2017</w:t>
            </w:r>
          </w:p>
        </w:tc>
        <w:tc>
          <w:tcPr>
            <w:tcW w:w="993"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center"/>
            </w:pPr>
            <w:r w:rsidRPr="00390ABD">
              <w:t>28/12/2017</w:t>
            </w:r>
          </w:p>
        </w:tc>
        <w:tc>
          <w:tcPr>
            <w:tcW w:w="1275"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right"/>
            </w:pPr>
            <w:r w:rsidRPr="00390ABD">
              <w:t xml:space="preserve">$6,600 </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right"/>
            </w:pPr>
            <w:r w:rsidRPr="00390ABD">
              <w:t xml:space="preserve">$6,600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390ABD" w:rsidR="000D6E6A" w:rsidRDefault="000D6E6A">
            <w:pPr>
              <w:pStyle w:val="bodycopytabletable"/>
              <w:jc w:val="right"/>
            </w:pPr>
            <w:r w:rsidRPr="00390ABD">
              <w:t>$600</w:t>
            </w:r>
          </w:p>
        </w:tc>
      </w:tr>
      <w:tr w:rsidRPr="00390ABD" w:rsidR="000D6E6A" w:rsidTr="00390ABD">
        <w:tblPrEx>
          <w:tblCellMar>
            <w:top w:w="0" w:type="dxa"/>
            <w:left w:w="0" w:type="dxa"/>
            <w:bottom w:w="0" w:type="dxa"/>
            <w:right w:w="0" w:type="dxa"/>
          </w:tblCellMar>
        </w:tblPrEx>
        <w:trPr>
          <w:trHeight w:val="60"/>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390ABD" w:rsidR="000D6E6A" w:rsidRDefault="000D6E6A">
            <w:pPr>
              <w:pStyle w:val="bodycopytabletable"/>
            </w:pPr>
            <w:r w:rsidRPr="00390ABD">
              <w:rPr>
                <w:caps/>
              </w:rPr>
              <w:t>Integrity Employment Solutions (IES)</w:t>
            </w:r>
          </w:p>
        </w:tc>
        <w:tc>
          <w:tcPr>
            <w:tcW w:w="2807"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pPr>
            <w:r w:rsidRPr="00390ABD">
              <w:t xml:space="preserve">NWMA – IES – Meredith </w:t>
            </w:r>
            <w:proofErr w:type="spellStart"/>
            <w:r w:rsidRPr="00390ABD">
              <w:t>Newth</w:t>
            </w:r>
            <w:proofErr w:type="spellEnd"/>
            <w:r w:rsidRPr="00390ABD">
              <w:t xml:space="preserve"> – External Assessment</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center"/>
            </w:pPr>
            <w:r w:rsidRPr="00390ABD">
              <w:t>1/03/2018</w:t>
            </w:r>
          </w:p>
        </w:tc>
        <w:tc>
          <w:tcPr>
            <w:tcW w:w="993"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center"/>
            </w:pPr>
            <w:r w:rsidRPr="00390ABD">
              <w:t>30/06/2018</w:t>
            </w:r>
          </w:p>
        </w:tc>
        <w:tc>
          <w:tcPr>
            <w:tcW w:w="1275"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right"/>
            </w:pPr>
            <w:r w:rsidRPr="00390ABD">
              <w:t xml:space="preserve">$3,500 </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right"/>
            </w:pPr>
            <w:r w:rsidRPr="00390ABD">
              <w:t xml:space="preserve">$3,000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390ABD" w:rsidR="000D6E6A" w:rsidRDefault="000D6E6A">
            <w:pPr>
              <w:pStyle w:val="bodycopytabletable"/>
              <w:jc w:val="right"/>
            </w:pPr>
            <w:r w:rsidRPr="00390ABD">
              <w:t>$500</w:t>
            </w:r>
          </w:p>
        </w:tc>
      </w:tr>
      <w:tr w:rsidRPr="00390ABD" w:rsidR="000D6E6A" w:rsidTr="00390ABD">
        <w:tblPrEx>
          <w:tblCellMar>
            <w:top w:w="0" w:type="dxa"/>
            <w:left w:w="0" w:type="dxa"/>
            <w:bottom w:w="0" w:type="dxa"/>
            <w:right w:w="0" w:type="dxa"/>
          </w:tblCellMar>
        </w:tblPrEx>
        <w:trPr>
          <w:trHeight w:val="60"/>
        </w:trPr>
        <w:tc>
          <w:tcPr>
            <w:tcW w:w="1871" w:type="dxa"/>
            <w:tcBorders>
              <w:top w:val="dotted" w:color="542E8E" w:sz="4" w:space="0"/>
              <w:left w:val="nil"/>
              <w:bottom w:val="dotted" w:color="542E8E" w:sz="4" w:space="0"/>
              <w:right w:val="nil"/>
            </w:tcBorders>
            <w:tcMar>
              <w:top w:w="57" w:type="dxa"/>
              <w:left w:w="0" w:type="dxa"/>
              <w:bottom w:w="57" w:type="dxa"/>
              <w:right w:w="57" w:type="dxa"/>
            </w:tcMar>
          </w:tcPr>
          <w:p w:rsidRPr="00390ABD" w:rsidR="000D6E6A" w:rsidRDefault="000D6E6A">
            <w:pPr>
              <w:pStyle w:val="bodycopytabletable"/>
            </w:pPr>
            <w:r w:rsidRPr="00390ABD">
              <w:rPr>
                <w:caps/>
              </w:rPr>
              <w:t>Piper Alderman</w:t>
            </w:r>
          </w:p>
        </w:tc>
        <w:tc>
          <w:tcPr>
            <w:tcW w:w="2807"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pPr>
            <w:r w:rsidRPr="00390ABD">
              <w:t xml:space="preserve">Review of </w:t>
            </w:r>
            <w:proofErr w:type="spellStart"/>
            <w:r w:rsidRPr="00390ABD">
              <w:t>modron</w:t>
            </w:r>
            <w:proofErr w:type="spellEnd"/>
            <w:r w:rsidRPr="00390ABD">
              <w:t xml:space="preserve"> technology pilot agreement</w:t>
            </w:r>
          </w:p>
        </w:tc>
        <w:tc>
          <w:tcPr>
            <w:tcW w:w="992"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center"/>
            </w:pPr>
            <w:r w:rsidRPr="00390ABD">
              <w:t>12/02/2018</w:t>
            </w:r>
          </w:p>
        </w:tc>
        <w:tc>
          <w:tcPr>
            <w:tcW w:w="993"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center"/>
            </w:pPr>
            <w:r w:rsidRPr="00390ABD">
              <w:t>26/02/2018</w:t>
            </w:r>
          </w:p>
        </w:tc>
        <w:tc>
          <w:tcPr>
            <w:tcW w:w="1275"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right"/>
            </w:pPr>
            <w:r w:rsidRPr="00390ABD">
              <w:t xml:space="preserve">$2,529 </w:t>
            </w:r>
          </w:p>
        </w:tc>
        <w:tc>
          <w:tcPr>
            <w:tcW w:w="1134" w:type="dxa"/>
            <w:tcBorders>
              <w:top w:val="dotted" w:color="542E8E" w:sz="4" w:space="0"/>
              <w:left w:val="nil"/>
              <w:bottom w:val="dotted" w:color="542E8E" w:sz="4" w:space="0"/>
              <w:right w:val="nil"/>
            </w:tcBorders>
            <w:tcMar>
              <w:top w:w="57" w:type="dxa"/>
              <w:left w:w="57" w:type="dxa"/>
              <w:bottom w:w="57" w:type="dxa"/>
              <w:right w:w="57" w:type="dxa"/>
            </w:tcMar>
          </w:tcPr>
          <w:p w:rsidRPr="00390ABD" w:rsidR="000D6E6A" w:rsidRDefault="000D6E6A">
            <w:pPr>
              <w:pStyle w:val="bodycopytabletable"/>
              <w:jc w:val="right"/>
            </w:pPr>
            <w:r w:rsidRPr="00390ABD">
              <w:t xml:space="preserve">$2,529 </w:t>
            </w:r>
          </w:p>
        </w:tc>
        <w:tc>
          <w:tcPr>
            <w:tcW w:w="1134" w:type="dxa"/>
            <w:tcBorders>
              <w:top w:val="dotted" w:color="542E8E" w:sz="4" w:space="0"/>
              <w:left w:val="nil"/>
              <w:bottom w:val="dotted" w:color="542E8E" w:sz="4" w:space="0"/>
              <w:right w:val="nil"/>
            </w:tcBorders>
            <w:tcMar>
              <w:top w:w="57" w:type="dxa"/>
              <w:left w:w="57" w:type="dxa"/>
              <w:bottom w:w="57" w:type="dxa"/>
              <w:right w:w="0" w:type="dxa"/>
            </w:tcMar>
          </w:tcPr>
          <w:p w:rsidRPr="00390ABD" w:rsidR="000D6E6A" w:rsidRDefault="000D6E6A">
            <w:pPr>
              <w:pStyle w:val="bodycopytabletable"/>
              <w:jc w:val="right"/>
            </w:pPr>
            <w:r w:rsidRPr="00390ABD">
              <w:t>$0</w:t>
            </w:r>
          </w:p>
        </w:tc>
      </w:tr>
    </w:tbl>
    <w:p w:rsidR="000D6E6A" w:rsidRDefault="000D6E6A">
      <w:pPr>
        <w:pStyle w:val="Bodycopyspan"/>
      </w:pPr>
    </w:p>
    <w:p w:rsidR="000D6E6A" w:rsidRDefault="000D6E6A">
      <w:pPr>
        <w:pStyle w:val="Bodycopy"/>
      </w:pPr>
    </w:p>
    <w:p w:rsidR="00390ABD" w:rsidRDefault="00390ABD">
      <w:pPr>
        <w:rPr>
          <w:rFonts w:ascii="Arial" w:hAnsi="Arial" w:cs="Arial"/>
          <w:b/>
          <w:bCs/>
          <w:color w:val="542E8E"/>
          <w:lang w:val="en-GB"/>
        </w:rPr>
      </w:pPr>
      <w:r>
        <w:br w:type="page"/>
      </w:r>
    </w:p>
    <w:p w:rsidR="000D6E6A" w:rsidRDefault="000D6E6A">
      <w:pPr>
        <w:pStyle w:val="H3"/>
      </w:pPr>
      <w:r>
        <w:lastRenderedPageBreak/>
        <w:t xml:space="preserve">Government advertising expenditure </w:t>
      </w:r>
    </w:p>
    <w:p w:rsidR="000D6E6A" w:rsidRDefault="000D6E6A">
      <w:pPr>
        <w:pStyle w:val="Bodycopy"/>
      </w:pPr>
      <w:r>
        <w:t xml:space="preserve">In 2017–18, there were three government advertising campaigns with total media spend of $100,000 or greater (exclusive of GST). The details of each campaign are outlined below. </w:t>
      </w:r>
    </w:p>
    <w:p w:rsidR="000D6E6A" w:rsidRDefault="000D6E6A">
      <w:pPr>
        <w:pStyle w:val="Bodycopy"/>
        <w:rPr>
          <w:rStyle w:val="RegularItalic"/>
        </w:rPr>
      </w:pPr>
      <w:r>
        <w:rPr>
          <w:rStyle w:val="RegularItalic"/>
        </w:rPr>
        <w:t xml:space="preserve">Government advertising expenditure 2017–18 (campaigns with a media spend of $100,000 or greater). </w:t>
      </w:r>
    </w:p>
    <w:tbl>
      <w:tblPr>
        <w:tblW w:w="0" w:type="auto"/>
        <w:tblInd w:w="57" w:type="dxa"/>
        <w:tblLayout w:type="fixed"/>
        <w:tblCellMar>
          <w:left w:w="0" w:type="dxa"/>
          <w:right w:w="0" w:type="dxa"/>
        </w:tblCellMar>
        <w:tblLook w:firstRow="0" w:lastRow="0" w:firstColumn="0" w:lastColumn="0" w:noHBand="0" w:noVBand="0" w:val="0000"/>
      </w:tblPr>
      <w:tblGrid>
        <w:gridCol w:w="3345"/>
        <w:gridCol w:w="1134"/>
        <w:gridCol w:w="1276"/>
        <w:gridCol w:w="1134"/>
        <w:gridCol w:w="992"/>
        <w:gridCol w:w="1134"/>
        <w:gridCol w:w="1134"/>
      </w:tblGrid>
      <w:tr w:rsidR="000D6E6A" w:rsidTr="00390ABD">
        <w:tblPrEx>
          <w:tblCellMar>
            <w:top w:w="0" w:type="dxa"/>
            <w:left w:w="0" w:type="dxa"/>
            <w:bottom w:w="0" w:type="dxa"/>
            <w:right w:w="0" w:type="dxa"/>
          </w:tblCellMar>
        </w:tblPrEx>
        <w:trPr>
          <w:trHeight w:val="60"/>
          <w:tblHeader/>
        </w:trPr>
        <w:tc>
          <w:tcPr>
            <w:tcW w:w="3345"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000D6E6A" w:rsidRDefault="000D6E6A">
            <w:pPr>
              <w:pStyle w:val="bodycopytabletable"/>
            </w:pPr>
            <w:r>
              <w:rPr>
                <w:rStyle w:val="mediumpurple"/>
                <w:b/>
                <w:bCs/>
              </w:rPr>
              <w:t>Campaign summary</w:t>
            </w:r>
          </w:p>
        </w:tc>
        <w:tc>
          <w:tcPr>
            <w:tcW w:w="5670" w:type="dxa"/>
            <w:gridSpan w:val="5"/>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000D6E6A" w:rsidRDefault="000D6E6A">
            <w:pPr>
              <w:pStyle w:val="bodycopytabletable"/>
            </w:pPr>
            <w:r>
              <w:rPr>
                <w:rStyle w:val="mediumpurple"/>
                <w:b/>
                <w:bCs/>
              </w:rPr>
              <w:t>Expenditure 2017–18 ($ excluding GST)</w:t>
            </w:r>
          </w:p>
        </w:tc>
        <w:tc>
          <w:tcPr>
            <w:tcW w:w="1134"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000D6E6A" w:rsidRDefault="000D6E6A">
            <w:pPr>
              <w:pStyle w:val="bodycopytabletable"/>
            </w:pPr>
            <w:r>
              <w:rPr>
                <w:rStyle w:val="mediumpurple"/>
                <w:b/>
                <w:bCs/>
              </w:rPr>
              <w:t>Total</w:t>
            </w:r>
          </w:p>
        </w:tc>
      </w:tr>
      <w:tr w:rsidR="000D6E6A" w:rsidTr="00390ABD">
        <w:tblPrEx>
          <w:tblCellMar>
            <w:top w:w="0" w:type="dxa"/>
            <w:left w:w="0" w:type="dxa"/>
            <w:bottom w:w="0" w:type="dxa"/>
            <w:right w:w="0" w:type="dxa"/>
          </w:tblCellMar>
        </w:tblPrEx>
        <w:trPr>
          <w:trHeight w:val="482"/>
          <w:tblHeader/>
        </w:trPr>
        <w:tc>
          <w:tcPr>
            <w:tcW w:w="3345"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tcPr>
          <w:p w:rsidR="000D6E6A" w:rsidRDefault="000D6E6A">
            <w:pPr>
              <w:pStyle w:val="bodycopytabletable"/>
            </w:pPr>
            <w:r>
              <w:rPr>
                <w:rStyle w:val="mediumpurple"/>
                <w:b/>
                <w:bCs/>
              </w:rPr>
              <w:t>Start/end date</w:t>
            </w:r>
          </w:p>
        </w:tc>
        <w:tc>
          <w:tcPr>
            <w:tcW w:w="1134"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tcPr>
          <w:p w:rsidR="000D6E6A" w:rsidRDefault="000D6E6A">
            <w:pPr>
              <w:pStyle w:val="bodycopytabletable"/>
            </w:pPr>
            <w:r>
              <w:rPr>
                <w:rStyle w:val="mediumpurple"/>
                <w:b/>
                <w:bCs/>
              </w:rPr>
              <w:t>Advertising (Media)</w:t>
            </w:r>
          </w:p>
        </w:tc>
        <w:tc>
          <w:tcPr>
            <w:tcW w:w="1276"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tcPr>
          <w:p w:rsidR="000D6E6A" w:rsidRDefault="000D6E6A">
            <w:pPr>
              <w:pStyle w:val="bodycopytabletable"/>
            </w:pPr>
            <w:r>
              <w:rPr>
                <w:rStyle w:val="mediumpurple"/>
                <w:b/>
                <w:bCs/>
              </w:rPr>
              <w:t>Creative &amp; campaign development</w:t>
            </w:r>
          </w:p>
        </w:tc>
        <w:tc>
          <w:tcPr>
            <w:tcW w:w="1134"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tcPr>
          <w:p w:rsidR="000D6E6A" w:rsidRDefault="000D6E6A">
            <w:pPr>
              <w:pStyle w:val="bodycopytabletable"/>
            </w:pPr>
            <w:r>
              <w:rPr>
                <w:rStyle w:val="mediumpurple"/>
                <w:b/>
                <w:bCs/>
              </w:rPr>
              <w:t>Research &amp; evaluation</w:t>
            </w:r>
          </w:p>
        </w:tc>
        <w:tc>
          <w:tcPr>
            <w:tcW w:w="992"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tcPr>
          <w:p w:rsidR="000D6E6A" w:rsidRDefault="000D6E6A">
            <w:pPr>
              <w:pStyle w:val="bodycopytabletable"/>
            </w:pPr>
            <w:r>
              <w:rPr>
                <w:rStyle w:val="mediumpurple"/>
                <w:b/>
                <w:bCs/>
              </w:rPr>
              <w:t>Print &amp; collateral</w:t>
            </w:r>
          </w:p>
        </w:tc>
        <w:tc>
          <w:tcPr>
            <w:tcW w:w="1134"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tcPr>
          <w:p w:rsidR="000D6E6A" w:rsidRDefault="000D6E6A">
            <w:pPr>
              <w:pStyle w:val="bodycopytabletable"/>
            </w:pPr>
            <w:r>
              <w:rPr>
                <w:rStyle w:val="mediumpurple"/>
                <w:b/>
                <w:bCs/>
              </w:rPr>
              <w:t>Other campaign expenditure</w:t>
            </w:r>
          </w:p>
        </w:tc>
        <w:tc>
          <w:tcPr>
            <w:tcW w:w="1134"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tcPr>
          <w:p w:rsidR="000D6E6A" w:rsidRDefault="000D6E6A">
            <w:pPr>
              <w:pStyle w:val="NoParagraphStyle"/>
              <w:spacing w:line="240" w:lineRule="auto"/>
              <w:textAlignment w:val="auto"/>
              <w:rPr>
                <w:color w:val="auto"/>
              </w:rPr>
            </w:pPr>
          </w:p>
        </w:tc>
      </w:tr>
      <w:tr w:rsidR="000D6E6A" w:rsidTr="00390ABD">
        <w:tblPrEx>
          <w:tblCellMar>
            <w:top w:w="0" w:type="dxa"/>
            <w:left w:w="0" w:type="dxa"/>
            <w:bottom w:w="0" w:type="dxa"/>
            <w:right w:w="0" w:type="dxa"/>
          </w:tblCellMar>
        </w:tblPrEx>
        <w:trPr>
          <w:trHeight w:val="170"/>
        </w:trPr>
        <w:tc>
          <w:tcPr>
            <w:tcW w:w="10149" w:type="dxa"/>
            <w:gridSpan w:val="7"/>
            <w:tcBorders>
              <w:top w:val="dotted"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rPr>
                <w:rStyle w:val="medium"/>
                <w:b/>
                <w:bCs/>
              </w:rPr>
            </w:pPr>
            <w:r>
              <w:rPr>
                <w:rStyle w:val="medium"/>
                <w:b/>
                <w:bCs/>
              </w:rPr>
              <w:t xml:space="preserve">Real Estate Underquoting Consumer Campaign </w:t>
            </w:r>
          </w:p>
          <w:p w:rsidR="000D6E6A" w:rsidRDefault="000D6E6A">
            <w:pPr>
              <w:pStyle w:val="bodycopytabletable"/>
            </w:pPr>
            <w:r>
              <w:t>The Real Estate Underquoting Campaign aimed to empower home buyers with the knowledge of new underquoting laws, so they can understand information provided by estate agents. This will enable informed decisions when researching and buying real estate property.</w:t>
            </w:r>
          </w:p>
        </w:tc>
      </w:tr>
      <w:tr w:rsidR="000D6E6A" w:rsidTr="00390ABD">
        <w:tblPrEx>
          <w:tblCellMar>
            <w:top w:w="0" w:type="dxa"/>
            <w:left w:w="0" w:type="dxa"/>
            <w:bottom w:w="0" w:type="dxa"/>
            <w:right w:w="0" w:type="dxa"/>
          </w:tblCellMar>
        </w:tblPrEx>
        <w:trPr>
          <w:trHeight w:val="170"/>
        </w:trPr>
        <w:tc>
          <w:tcPr>
            <w:tcW w:w="3345"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000D6E6A" w:rsidRDefault="000D6E6A">
            <w:pPr>
              <w:pStyle w:val="bodycopytabletable"/>
            </w:pPr>
            <w:r>
              <w:t>Two stages:</w:t>
            </w:r>
          </w:p>
          <w:p w:rsidR="000D6E6A" w:rsidRDefault="000D6E6A">
            <w:pPr>
              <w:pStyle w:val="bodycopytabletable"/>
            </w:pPr>
            <w:r>
              <w:t>1 October to 20 December 2017 and 1–28 February 2018</w:t>
            </w:r>
          </w:p>
        </w:tc>
        <w:tc>
          <w:tcPr>
            <w:tcW w:w="1134"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vAlign w:val="center"/>
          </w:tcPr>
          <w:p w:rsidR="000D6E6A" w:rsidP="00390ABD" w:rsidRDefault="000D6E6A">
            <w:pPr>
              <w:pStyle w:val="bodycopytabletable"/>
            </w:pPr>
            <w:r>
              <w:t>$138,390</w:t>
            </w:r>
          </w:p>
        </w:tc>
        <w:tc>
          <w:tcPr>
            <w:tcW w:w="1276"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vAlign w:val="center"/>
          </w:tcPr>
          <w:p w:rsidR="000D6E6A" w:rsidP="00390ABD" w:rsidRDefault="000D6E6A">
            <w:pPr>
              <w:pStyle w:val="bodycopytabletable"/>
            </w:pPr>
            <w:r>
              <w:t>$37,703</w:t>
            </w:r>
          </w:p>
        </w:tc>
        <w:tc>
          <w:tcPr>
            <w:tcW w:w="1134"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vAlign w:val="center"/>
          </w:tcPr>
          <w:p w:rsidR="000D6E6A" w:rsidP="00390ABD" w:rsidRDefault="000D6E6A">
            <w:pPr>
              <w:pStyle w:val="bodycopytabletable"/>
            </w:pPr>
            <w:r>
              <w:t>$30,000</w:t>
            </w:r>
          </w:p>
        </w:tc>
        <w:tc>
          <w:tcPr>
            <w:tcW w:w="992"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vAlign w:val="center"/>
          </w:tcPr>
          <w:p w:rsidR="000D6E6A" w:rsidP="00390ABD" w:rsidRDefault="000D6E6A">
            <w:pPr>
              <w:pStyle w:val="bodycopytabletable"/>
            </w:pPr>
            <w:r>
              <w:t>$0</w:t>
            </w:r>
          </w:p>
        </w:tc>
        <w:tc>
          <w:tcPr>
            <w:tcW w:w="1134"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vAlign w:val="center"/>
          </w:tcPr>
          <w:p w:rsidR="000D6E6A" w:rsidP="00390ABD" w:rsidRDefault="000D6E6A">
            <w:pPr>
              <w:pStyle w:val="bodycopytabletable"/>
            </w:pPr>
            <w:r>
              <w:t>$1,020</w:t>
            </w:r>
          </w:p>
        </w:tc>
        <w:tc>
          <w:tcPr>
            <w:tcW w:w="1134"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vAlign w:val="center"/>
          </w:tcPr>
          <w:p w:rsidR="000D6E6A" w:rsidP="00390ABD" w:rsidRDefault="000D6E6A">
            <w:pPr>
              <w:pStyle w:val="bodycopytabletable"/>
            </w:pPr>
            <w:r>
              <w:t>$207,113</w:t>
            </w:r>
          </w:p>
        </w:tc>
      </w:tr>
      <w:tr w:rsidR="000D6E6A" w:rsidTr="00390ABD">
        <w:tblPrEx>
          <w:tblCellMar>
            <w:top w:w="0" w:type="dxa"/>
            <w:left w:w="0" w:type="dxa"/>
            <w:bottom w:w="0" w:type="dxa"/>
            <w:right w:w="0" w:type="dxa"/>
          </w:tblCellMar>
        </w:tblPrEx>
        <w:trPr>
          <w:trHeight w:val="170"/>
        </w:trPr>
        <w:tc>
          <w:tcPr>
            <w:tcW w:w="10149" w:type="dxa"/>
            <w:gridSpan w:val="7"/>
            <w:tcBorders>
              <w:top w:val="single"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rPr>
                <w:rStyle w:val="medium"/>
                <w:b/>
                <w:bCs/>
              </w:rPr>
            </w:pPr>
            <w:r>
              <w:rPr>
                <w:rStyle w:val="medium"/>
                <w:b/>
                <w:bCs/>
              </w:rPr>
              <w:t xml:space="preserve">Summer Fire Campaign </w:t>
            </w:r>
          </w:p>
          <w:p w:rsidR="000D6E6A" w:rsidRDefault="000D6E6A">
            <w:pPr>
              <w:pStyle w:val="bodycopytabletable"/>
            </w:pPr>
            <w:r>
              <w:t>The Summer Fire campaign is an annual Victorian bush and grassfire awareness campaign that aims to improve community understanding of fire and fire risk; encourage Victorians to take responsibility for their own safety; and prompt people to leave early to minimise injury and loss of life due to fire. The campaign included three main components; Fire Action Week in October 2017, Summer Fire Campaign from December 2017 to February 2018 and the March campaign extension in March 2018.</w:t>
            </w:r>
          </w:p>
        </w:tc>
      </w:tr>
      <w:tr w:rsidR="000D6E6A" w:rsidTr="00390ABD">
        <w:tblPrEx>
          <w:tblCellMar>
            <w:top w:w="0" w:type="dxa"/>
            <w:left w:w="0" w:type="dxa"/>
            <w:bottom w:w="0" w:type="dxa"/>
            <w:right w:w="0" w:type="dxa"/>
          </w:tblCellMar>
        </w:tblPrEx>
        <w:trPr>
          <w:trHeight w:val="170"/>
        </w:trPr>
        <w:tc>
          <w:tcPr>
            <w:tcW w:w="3345"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000D6E6A" w:rsidRDefault="000D6E6A">
            <w:pPr>
              <w:pStyle w:val="bodycopytabletable"/>
              <w:ind w:left="170" w:hanging="170"/>
            </w:pPr>
            <w:r>
              <w:t>1.</w:t>
            </w:r>
            <w:r>
              <w:tab/>
              <w:t>Fire Action Week</w:t>
            </w:r>
            <w:r>
              <w:br/>
              <w:t xml:space="preserve">(13 – 20 October 2018) </w:t>
            </w:r>
          </w:p>
          <w:p w:rsidR="000D6E6A" w:rsidRDefault="000D6E6A">
            <w:pPr>
              <w:pStyle w:val="bodycopytabletable"/>
              <w:ind w:left="170" w:hanging="170"/>
            </w:pPr>
            <w:r>
              <w:t>2.</w:t>
            </w:r>
            <w:r>
              <w:tab/>
              <w:t xml:space="preserve">Summer Fire Campaign </w:t>
            </w:r>
            <w:r>
              <w:br/>
              <w:t>(1 December 2017–28 February 2018)</w:t>
            </w:r>
          </w:p>
          <w:p w:rsidR="000D6E6A" w:rsidRDefault="000D6E6A">
            <w:pPr>
              <w:pStyle w:val="bodycopytabletable"/>
              <w:ind w:left="170" w:hanging="170"/>
            </w:pPr>
            <w:r>
              <w:t>3.</w:t>
            </w:r>
            <w:r>
              <w:tab/>
              <w:t>March Extension</w:t>
            </w:r>
            <w:r>
              <w:br/>
              <w:t>(1 March 2018–31 March 2018)</w:t>
            </w:r>
          </w:p>
        </w:tc>
        <w:tc>
          <w:tcPr>
            <w:tcW w:w="1134"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000D6E6A" w:rsidP="00390ABD" w:rsidRDefault="000D6E6A">
            <w:pPr>
              <w:pStyle w:val="bodycopytabletable"/>
            </w:pPr>
            <w:r>
              <w:t>$4,141,390</w:t>
            </w:r>
          </w:p>
        </w:tc>
        <w:tc>
          <w:tcPr>
            <w:tcW w:w="1276"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000D6E6A" w:rsidP="00390ABD" w:rsidRDefault="000D6E6A">
            <w:pPr>
              <w:pStyle w:val="bodycopytabletable"/>
            </w:pPr>
            <w:r>
              <w:t>$592,223</w:t>
            </w:r>
          </w:p>
        </w:tc>
        <w:tc>
          <w:tcPr>
            <w:tcW w:w="1134"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000D6E6A" w:rsidP="00390ABD" w:rsidRDefault="000D6E6A">
            <w:pPr>
              <w:pStyle w:val="bodycopytabletable"/>
            </w:pPr>
            <w:r>
              <w:t>$175,971</w:t>
            </w:r>
          </w:p>
        </w:tc>
        <w:tc>
          <w:tcPr>
            <w:tcW w:w="992"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000D6E6A" w:rsidP="00390ABD" w:rsidRDefault="000D6E6A">
            <w:pPr>
              <w:pStyle w:val="bodycopytabletable"/>
            </w:pPr>
            <w:r>
              <w:t>$2,929</w:t>
            </w:r>
          </w:p>
        </w:tc>
        <w:tc>
          <w:tcPr>
            <w:tcW w:w="1134"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000D6E6A" w:rsidP="00390ABD" w:rsidRDefault="000D6E6A">
            <w:pPr>
              <w:pStyle w:val="bodycopytabletable"/>
            </w:pPr>
            <w:r>
              <w:t xml:space="preserve">$132,780 </w:t>
            </w:r>
          </w:p>
        </w:tc>
        <w:tc>
          <w:tcPr>
            <w:tcW w:w="1134"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000D6E6A" w:rsidP="00390ABD" w:rsidRDefault="000D6E6A">
            <w:pPr>
              <w:pStyle w:val="bodycopytabletable"/>
            </w:pPr>
            <w:r>
              <w:t>$5,045,293</w:t>
            </w:r>
          </w:p>
        </w:tc>
      </w:tr>
      <w:tr w:rsidR="000D6E6A" w:rsidTr="00390ABD">
        <w:tblPrEx>
          <w:tblCellMar>
            <w:top w:w="0" w:type="dxa"/>
            <w:left w:w="0" w:type="dxa"/>
            <w:bottom w:w="0" w:type="dxa"/>
            <w:right w:w="0" w:type="dxa"/>
          </w:tblCellMar>
        </w:tblPrEx>
        <w:trPr>
          <w:trHeight w:val="170"/>
        </w:trPr>
        <w:tc>
          <w:tcPr>
            <w:tcW w:w="10149" w:type="dxa"/>
            <w:gridSpan w:val="7"/>
            <w:tcBorders>
              <w:top w:val="single" w:color="542E8E" w:sz="4" w:space="0"/>
              <w:left w:val="nil"/>
              <w:bottom w:val="dotted" w:color="542E8E" w:sz="4" w:space="0"/>
              <w:right w:val="nil"/>
            </w:tcBorders>
            <w:tcMar>
              <w:top w:w="57" w:type="dxa"/>
              <w:left w:w="57" w:type="dxa"/>
              <w:bottom w:w="57" w:type="dxa"/>
              <w:right w:w="57" w:type="dxa"/>
            </w:tcMar>
          </w:tcPr>
          <w:p w:rsidR="000D6E6A" w:rsidRDefault="000D6E6A">
            <w:pPr>
              <w:pStyle w:val="bodycopytabletable"/>
              <w:rPr>
                <w:rStyle w:val="medium"/>
                <w:b/>
                <w:bCs/>
              </w:rPr>
            </w:pPr>
            <w:r>
              <w:rPr>
                <w:rStyle w:val="medium"/>
                <w:b/>
                <w:bCs/>
              </w:rPr>
              <w:t xml:space="preserve">Play it Safe by the Water Campaign </w:t>
            </w:r>
          </w:p>
          <w:p w:rsidR="000D6E6A" w:rsidRDefault="000D6E6A">
            <w:pPr>
              <w:pStyle w:val="bodycopytabletable"/>
            </w:pPr>
            <w:r>
              <w:t>Play it Safe by the Water is an annual community safety campaign that aims to increase safety around water. The 2017–18 advertising campaign targeted Victorian parents/carers of children aged 0–4 years and older Victorians aged 55 years and over who partake in recreational activities in/on or near water.</w:t>
            </w:r>
          </w:p>
        </w:tc>
      </w:tr>
      <w:tr w:rsidR="000D6E6A" w:rsidTr="00390ABD">
        <w:tblPrEx>
          <w:tblCellMar>
            <w:top w:w="0" w:type="dxa"/>
            <w:left w:w="0" w:type="dxa"/>
            <w:bottom w:w="0" w:type="dxa"/>
            <w:right w:w="0" w:type="dxa"/>
          </w:tblCellMar>
        </w:tblPrEx>
        <w:trPr>
          <w:trHeight w:val="170"/>
        </w:trPr>
        <w:tc>
          <w:tcPr>
            <w:tcW w:w="3345"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tcPr>
          <w:p w:rsidR="000D6E6A" w:rsidRDefault="000D6E6A">
            <w:pPr>
              <w:pStyle w:val="bodycopytabletable"/>
            </w:pPr>
            <w:r>
              <w:t>Play it Safe by the Water campaign:</w:t>
            </w:r>
            <w:r>
              <w:br/>
              <w:t>17 December 2017–28 April (social media commenced September 2017)</w:t>
            </w:r>
          </w:p>
        </w:tc>
        <w:tc>
          <w:tcPr>
            <w:tcW w:w="1134"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vAlign w:val="center"/>
          </w:tcPr>
          <w:p w:rsidR="000D6E6A" w:rsidP="00390ABD" w:rsidRDefault="000D6E6A">
            <w:pPr>
              <w:pStyle w:val="bodycopytabletable"/>
            </w:pPr>
            <w:r>
              <w:t>$760,768</w:t>
            </w:r>
          </w:p>
        </w:tc>
        <w:tc>
          <w:tcPr>
            <w:tcW w:w="1276"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vAlign w:val="center"/>
          </w:tcPr>
          <w:p w:rsidR="000D6E6A" w:rsidP="00390ABD" w:rsidRDefault="000D6E6A">
            <w:pPr>
              <w:pStyle w:val="bodycopytabletable"/>
            </w:pPr>
            <w:r>
              <w:t>$123,828</w:t>
            </w:r>
          </w:p>
        </w:tc>
        <w:tc>
          <w:tcPr>
            <w:tcW w:w="1134"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vAlign w:val="center"/>
          </w:tcPr>
          <w:p w:rsidR="000D6E6A" w:rsidP="00390ABD" w:rsidRDefault="000D6E6A">
            <w:pPr>
              <w:pStyle w:val="bodycopytabletable"/>
            </w:pPr>
            <w:r>
              <w:t>$85,325</w:t>
            </w:r>
          </w:p>
        </w:tc>
        <w:tc>
          <w:tcPr>
            <w:tcW w:w="992"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vAlign w:val="center"/>
          </w:tcPr>
          <w:p w:rsidR="000D6E6A" w:rsidP="00390ABD" w:rsidRDefault="000D6E6A">
            <w:pPr>
              <w:pStyle w:val="bodycopytabletable"/>
            </w:pPr>
            <w:r>
              <w:t>$0</w:t>
            </w:r>
          </w:p>
        </w:tc>
        <w:tc>
          <w:tcPr>
            <w:tcW w:w="1134"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vAlign w:val="center"/>
          </w:tcPr>
          <w:p w:rsidR="000D6E6A" w:rsidP="00390ABD" w:rsidRDefault="000D6E6A">
            <w:pPr>
              <w:pStyle w:val="bodycopytabletable"/>
            </w:pPr>
            <w:r>
              <w:t>$21,947</w:t>
            </w:r>
          </w:p>
        </w:tc>
        <w:tc>
          <w:tcPr>
            <w:tcW w:w="1134" w:type="dxa"/>
            <w:tcBorders>
              <w:top w:val="dotted" w:color="542E8E" w:sz="4" w:space="0"/>
              <w:left w:val="nil"/>
              <w:bottom w:val="single" w:color="542E8E" w:sz="4" w:space="0"/>
              <w:right w:val="nil"/>
            </w:tcBorders>
            <w:shd w:val="solid" w:color="FFFFFF" w:fill="auto"/>
            <w:tcMar>
              <w:top w:w="57" w:type="dxa"/>
              <w:left w:w="57" w:type="dxa"/>
              <w:bottom w:w="57" w:type="dxa"/>
              <w:right w:w="57" w:type="dxa"/>
            </w:tcMar>
            <w:vAlign w:val="center"/>
          </w:tcPr>
          <w:p w:rsidR="000D6E6A" w:rsidP="00390ABD" w:rsidRDefault="000D6E6A">
            <w:pPr>
              <w:pStyle w:val="bodycopytabletable"/>
            </w:pPr>
            <w:r>
              <w:t>$991,868</w:t>
            </w:r>
          </w:p>
        </w:tc>
      </w:tr>
    </w:tbl>
    <w:p w:rsidR="000D6E6A" w:rsidRDefault="000D6E6A">
      <w:pPr>
        <w:pStyle w:val="Bodycopyspan"/>
      </w:pPr>
    </w:p>
    <w:p w:rsidR="000D6E6A" w:rsidRDefault="000D6E6A">
      <w:pPr>
        <w:pStyle w:val="H3"/>
        <w:rPr>
          <w:i/>
          <w:iCs/>
        </w:rPr>
      </w:pPr>
      <w:r>
        <w:rPr>
          <w:i/>
          <w:iCs/>
        </w:rPr>
        <w:t>Freedom of Information Act 1982</w:t>
      </w:r>
    </w:p>
    <w:p w:rsidR="000D6E6A" w:rsidRDefault="000D6E6A">
      <w:pPr>
        <w:pStyle w:val="Bodycopy"/>
      </w:pPr>
      <w:r>
        <w:t>The Freedom of Information Act allows the public a right of access to documents held by the department. The purpose of this Act is to extend, as far as possible, the right of the community to access information held by government departments, local councils, ministers and other bodies subject to the Act.</w:t>
      </w:r>
    </w:p>
    <w:p w:rsidR="000D6E6A" w:rsidRDefault="000D6E6A">
      <w:pPr>
        <w:pStyle w:val="Bodycopy"/>
      </w:pPr>
      <w:r>
        <w:t>An applicant has a right to apply for access to documents held by a department. This comprises documents both created by the department or supplied to the department by an external organisation or individual, and may also include maps, films, microfiche, photographs, computer printouts, computer discs, tape recordings and videotapes. Information about the type of material produced by the department is available on the department’s website under its Part II information statement.</w:t>
      </w:r>
    </w:p>
    <w:p w:rsidR="000D6E6A" w:rsidRDefault="000D6E6A">
      <w:pPr>
        <w:pStyle w:val="Bodycopy"/>
      </w:pPr>
      <w:r>
        <w:t xml:space="preserve">The </w:t>
      </w:r>
      <w:proofErr w:type="spellStart"/>
      <w:r>
        <w:t>Freedon</w:t>
      </w:r>
      <w:proofErr w:type="spellEnd"/>
      <w:r>
        <w:t xml:space="preserve"> of Information Act allows a department to refuse access, either fully or partially, to certain documents or information. Examples of documents that may not be accessed include: cabinet documents; some internal working documents; law enforcement documents; documents covered by legal </w:t>
      </w:r>
      <w:r>
        <w:rPr>
          <w:spacing w:val="-4"/>
        </w:rPr>
        <w:t xml:space="preserve">professional privilege, such as legal advice; personal </w:t>
      </w:r>
      <w:r>
        <w:t xml:space="preserve">information about other people; information provided to the department in-confidence and information that is confidential under another Act (such as the </w:t>
      </w:r>
      <w:r>
        <w:rPr>
          <w:rStyle w:val="italic"/>
        </w:rPr>
        <w:t>Corrections Act 1986</w:t>
      </w:r>
      <w:r>
        <w:t>).</w:t>
      </w:r>
    </w:p>
    <w:p w:rsidR="000D6E6A" w:rsidRDefault="000D6E6A">
      <w:pPr>
        <w:pStyle w:val="Bodycopy"/>
        <w:rPr>
          <w:spacing w:val="-2"/>
        </w:rPr>
      </w:pPr>
      <w:r>
        <w:rPr>
          <w:spacing w:val="-2"/>
        </w:rPr>
        <w:t xml:space="preserve">From 1 September 2017, the </w:t>
      </w:r>
      <w:r>
        <w:t xml:space="preserve">Freedom of Information </w:t>
      </w:r>
      <w:r>
        <w:rPr>
          <w:spacing w:val="-2"/>
        </w:rPr>
        <w:t>Act has been amended to reduce the Freedom of Information (FOI) processing time for requests received from 45 to 30 days. In some cases, this time may be extended.</w:t>
      </w:r>
    </w:p>
    <w:p w:rsidR="000D6E6A" w:rsidRDefault="000D6E6A">
      <w:pPr>
        <w:pStyle w:val="Bodycopy"/>
      </w:pPr>
      <w:r>
        <w:t xml:space="preserve">If an applicant is not satisfied by a decision made by the department, under section 49A of the </w:t>
      </w:r>
      <w:proofErr w:type="spellStart"/>
      <w:r>
        <w:t>Freedon</w:t>
      </w:r>
      <w:proofErr w:type="spellEnd"/>
      <w:r>
        <w:t xml:space="preserve"> of Information Act, they have the right to seek a review by the Office of the Victorian Information Commissioner (OVIC) within 28 days of receiving a decision letter. </w:t>
      </w:r>
    </w:p>
    <w:p w:rsidR="000D6E6A" w:rsidRDefault="000D6E6A">
      <w:pPr>
        <w:pStyle w:val="H4"/>
      </w:pPr>
      <w:r>
        <w:t>FOI timeliness</w:t>
      </w:r>
    </w:p>
    <w:p w:rsidR="000D6E6A" w:rsidRDefault="000D6E6A">
      <w:pPr>
        <w:pStyle w:val="Bodycopy"/>
      </w:pPr>
      <w:r>
        <w:t xml:space="preserve">During 2017–18, the department received 1170 applications. Of these requests, 16 were from Members of Parliament, 31 from the media, and the remainder from the general public. </w:t>
      </w:r>
    </w:p>
    <w:p w:rsidR="000D6E6A" w:rsidRDefault="000D6E6A">
      <w:pPr>
        <w:pStyle w:val="Bodycopy"/>
      </w:pPr>
      <w:r>
        <w:t xml:space="preserve">The department made 1074 FOI access decisions during the </w:t>
      </w:r>
      <w:proofErr w:type="gramStart"/>
      <w:r>
        <w:t>12 month</w:t>
      </w:r>
      <w:proofErr w:type="gramEnd"/>
      <w:r>
        <w:t xml:space="preserve"> period ending 30 June 2018. </w:t>
      </w:r>
    </w:p>
    <w:p w:rsidR="000D6E6A" w:rsidRDefault="000D6E6A">
      <w:pPr>
        <w:pStyle w:val="Bodycopy"/>
      </w:pPr>
      <w:r>
        <w:t xml:space="preserve">A total of 452 decisions were made within the statutory 30 or </w:t>
      </w:r>
      <w:proofErr w:type="gramStart"/>
      <w:r>
        <w:t>45 day</w:t>
      </w:r>
      <w:proofErr w:type="gramEnd"/>
      <w:r>
        <w:t xml:space="preserve"> time period; 70 decisions within an extended statutory 30–45 day time period; 512 decisions within 46 to 90 days; and 40 decisions in greater than 90 days.</w:t>
      </w:r>
    </w:p>
    <w:p w:rsidR="000D6E6A" w:rsidRDefault="000D6E6A">
      <w:pPr>
        <w:pStyle w:val="Bodycopy"/>
      </w:pPr>
      <w:r>
        <w:t>The average time taken to finalise requests in 2017–18 was 42.4 days.</w:t>
      </w:r>
    </w:p>
    <w:p w:rsidR="000D6E6A" w:rsidRDefault="000D6E6A">
      <w:pPr>
        <w:pStyle w:val="Bodycopy"/>
      </w:pPr>
      <w:r>
        <w:t>During 2017–18, 68 requests were subject to a complaint or review to OVIC with 18 progressing to VCAT.</w:t>
      </w:r>
    </w:p>
    <w:p w:rsidR="00390ABD" w:rsidRDefault="00390ABD">
      <w:pPr>
        <w:rPr>
          <w:rFonts w:ascii="Arial" w:hAnsi="Arial" w:cs="Arial"/>
          <w:color w:val="542E8E"/>
          <w:sz w:val="21"/>
          <w:szCs w:val="21"/>
          <w:lang w:val="en-GB"/>
        </w:rPr>
      </w:pPr>
      <w:r>
        <w:br w:type="page"/>
      </w:r>
    </w:p>
    <w:p w:rsidR="000D6E6A" w:rsidRDefault="000D6E6A">
      <w:pPr>
        <w:pStyle w:val="H4"/>
      </w:pPr>
      <w:r>
        <w:lastRenderedPageBreak/>
        <w:t>Making a request</w:t>
      </w:r>
    </w:p>
    <w:p w:rsidR="000D6E6A" w:rsidRDefault="000D6E6A">
      <w:pPr>
        <w:pStyle w:val="Bodycopy"/>
      </w:pPr>
      <w:r>
        <w:t>FOI requests can be lodged online via a link at www.ovic.vic.gov.au. An application fee of $28.40 applies. The fee may be waived in certain circumstances. Access charges may also be payable if the document pool is large and the search for material time consuming.</w:t>
      </w:r>
    </w:p>
    <w:p w:rsidR="000D6E6A" w:rsidRDefault="000D6E6A">
      <w:pPr>
        <w:pStyle w:val="Bodycopy"/>
      </w:pPr>
      <w:r>
        <w:rPr>
          <w:spacing w:val="-3"/>
        </w:rPr>
        <w:t xml:space="preserve">Access to documents can also be obtained through </w:t>
      </w:r>
      <w:r>
        <w:t xml:space="preserve">a written request to the department’s Freedom of Information Unit, as detailed in s17 of the Act. </w:t>
      </w:r>
    </w:p>
    <w:p w:rsidR="000D6E6A" w:rsidRDefault="000D6E6A">
      <w:pPr>
        <w:pStyle w:val="Bodycopy"/>
      </w:pPr>
      <w:r>
        <w:t>When making an FOI request, applicants should ensure requests are in writing, and clearly identify what types of material/documents are being sought.</w:t>
      </w:r>
    </w:p>
    <w:p w:rsidR="000D6E6A" w:rsidRDefault="000D6E6A">
      <w:pPr>
        <w:pStyle w:val="Bodycopy"/>
      </w:pPr>
      <w:r>
        <w:t>Requests for documents in the possession of the Department of Justice and Regulation should be addressed to:</w:t>
      </w:r>
    </w:p>
    <w:p w:rsidR="000D6E6A" w:rsidRDefault="000D6E6A">
      <w:pPr>
        <w:pStyle w:val="Bodycopy"/>
      </w:pPr>
      <w:r>
        <w:t>Freedom of Information Unit</w:t>
      </w:r>
      <w:r>
        <w:br/>
        <w:t>Department of Justice and Regulation</w:t>
      </w:r>
      <w:r>
        <w:br/>
        <w:t>121 Exhibition Street</w:t>
      </w:r>
      <w:r>
        <w:br/>
        <w:t>Melbourne VIC 3000</w:t>
      </w:r>
    </w:p>
    <w:p w:rsidR="000D6E6A" w:rsidRDefault="000D6E6A">
      <w:pPr>
        <w:pStyle w:val="Bodycopy"/>
        <w:rPr>
          <w:u w:color="000000"/>
        </w:rPr>
      </w:pPr>
      <w:r>
        <w:t xml:space="preserve">Telephone enquiries can be made to the department’s FOI Unit on (03) 8684 0063 </w:t>
      </w:r>
      <w:r>
        <w:br/>
        <w:t xml:space="preserve">and email enquiries can be made to </w:t>
      </w:r>
      <w:r>
        <w:br/>
      </w:r>
      <w:r>
        <w:rPr>
          <w:u w:color="000000"/>
        </w:rPr>
        <w:t xml:space="preserve">foi@justice.vic.gov.au. </w:t>
      </w:r>
    </w:p>
    <w:p w:rsidR="000D6E6A" w:rsidRDefault="000D6E6A">
      <w:pPr>
        <w:pStyle w:val="Bodycopy"/>
        <w:rPr>
          <w:spacing w:val="2"/>
        </w:rPr>
      </w:pPr>
      <w:r>
        <w:rPr>
          <w:spacing w:val="2"/>
          <w:u w:color="000000"/>
        </w:rPr>
        <w:t xml:space="preserve">Requests for documents held by the department’s portfolio statutory bodies that are subject to FOI, such as CFA, CSV, the ESTA, MFB, OPP, Victoria Police and Victoria State Emergency Services should be sent directly to the relevant statutory body. A list of the department’s statutory bodies that are subject to FOI can be found at </w:t>
      </w:r>
      <w:r>
        <w:rPr>
          <w:spacing w:val="2"/>
        </w:rPr>
        <w:t xml:space="preserve">www.justice.vic.gov.au. </w:t>
      </w:r>
    </w:p>
    <w:p w:rsidR="000D6E6A" w:rsidRDefault="000D6E6A">
      <w:pPr>
        <w:pStyle w:val="Bodycopy"/>
        <w:rPr>
          <w:spacing w:val="-4"/>
        </w:rPr>
      </w:pPr>
      <w:r>
        <w:rPr>
          <w:spacing w:val="-4"/>
        </w:rPr>
        <w:t xml:space="preserve">Further information regarding the operation and scope of FOI can be obtained from: </w:t>
      </w:r>
      <w:proofErr w:type="gramStart"/>
      <w:r>
        <w:rPr>
          <w:spacing w:val="-4"/>
        </w:rPr>
        <w:t>the</w:t>
      </w:r>
      <w:proofErr w:type="gramEnd"/>
      <w:r>
        <w:rPr>
          <w:spacing w:val="-4"/>
        </w:rPr>
        <w:t xml:space="preserve"> Act; regulations made under the Act; and ovic.vic.gov.au. </w:t>
      </w:r>
    </w:p>
    <w:p w:rsidR="000D6E6A" w:rsidRDefault="000D6E6A">
      <w:pPr>
        <w:pStyle w:val="H3"/>
        <w:rPr>
          <w:i/>
          <w:iCs/>
        </w:rPr>
      </w:pPr>
      <w:r>
        <w:rPr>
          <w:i/>
          <w:iCs/>
        </w:rPr>
        <w:t xml:space="preserve">Protected Disclosures Act 2012 </w:t>
      </w:r>
    </w:p>
    <w:p w:rsidR="000D6E6A" w:rsidRDefault="000D6E6A">
      <w:pPr>
        <w:pStyle w:val="Bodycopy"/>
      </w:pPr>
      <w:r>
        <w:t xml:space="preserve">The </w:t>
      </w:r>
      <w:r>
        <w:rPr>
          <w:rStyle w:val="italic"/>
        </w:rPr>
        <w:t>Protected Disclosure Act 2012</w:t>
      </w:r>
      <w:r>
        <w:t xml:space="preserve"> encourages and assists people in making disclosures of improper conduct by public officers and public bodies. The Protected Disclosure Act provides protection to people who make disclosures in accordance with the Act and establishes a system for the matters disclosed to be investigated and rectifying action to be taken.</w:t>
      </w:r>
    </w:p>
    <w:p w:rsidR="000D6E6A" w:rsidRDefault="000D6E6A">
      <w:pPr>
        <w:pStyle w:val="Bodycopy"/>
      </w:pPr>
      <w:r>
        <w:t xml:space="preserve">The department does not tolerate improper conduct by employees, nor the taking of reprisals against those who come forward to disclose such conduct. It is committed to ensuring transparency and accountability in its administrative and management practices and supports the making of disclosures that reveal corrupt conduct, conduct involving a substantial mismanagement of public resources, or conduct involving a substantial risk to public health and safety or the environment. </w:t>
      </w:r>
    </w:p>
    <w:p w:rsidR="000D6E6A" w:rsidRDefault="000D6E6A">
      <w:pPr>
        <w:pStyle w:val="Bodycopy"/>
      </w:pPr>
      <w:r>
        <w:t>The department will take all reasonable steps to protect people who make such disclosures from any detrimental action in reprisal for making the disclosure. It will also afford natural justice to the person who is the subject of the disclosure to the extent it is legally possible.</w:t>
      </w:r>
    </w:p>
    <w:tbl>
      <w:tblPr>
        <w:tblW w:w="0" w:type="auto"/>
        <w:tblInd w:w="57" w:type="dxa"/>
        <w:tblLayout w:type="fixed"/>
        <w:tblCellMar>
          <w:left w:w="0" w:type="dxa"/>
          <w:right w:w="0" w:type="dxa"/>
        </w:tblCellMar>
        <w:tblLook w:firstRow="0" w:lastRow="0" w:firstColumn="0" w:lastColumn="0" w:noHBand="0" w:noVBand="0" w:val="0000"/>
      </w:tblPr>
      <w:tblGrid>
        <w:gridCol w:w="8157"/>
        <w:gridCol w:w="992"/>
        <w:gridCol w:w="851"/>
      </w:tblGrid>
      <w:tr w:rsidRPr="00390ABD" w:rsidR="000D6E6A" w:rsidTr="00390ABD">
        <w:tblPrEx>
          <w:tblCellMar>
            <w:top w:w="0" w:type="dxa"/>
            <w:left w:w="0" w:type="dxa"/>
            <w:bottom w:w="0" w:type="dxa"/>
            <w:right w:w="0" w:type="dxa"/>
          </w:tblCellMar>
        </w:tblPrEx>
        <w:trPr>
          <w:trHeight w:val="113"/>
          <w:tblHeader/>
        </w:trPr>
        <w:tc>
          <w:tcPr>
            <w:tcW w:w="8157" w:type="dxa"/>
            <w:tcBorders>
              <w:top w:val="single" w:color="FFFFFF" w:themeColor="background1" w:sz="8" w:space="0"/>
              <w:left w:val="single" w:color="FFFFFF" w:themeColor="background1" w:sz="8" w:space="0"/>
              <w:bottom w:val="single" w:color="542E8E" w:sz="6" w:space="0"/>
              <w:right w:val="single" w:color="FFFFFF" w:themeColor="background1" w:sz="8" w:space="0"/>
            </w:tcBorders>
            <w:shd w:val="solid" w:color="FFFFFF" w:fill="auto"/>
            <w:tcMar>
              <w:top w:w="57" w:type="dxa"/>
              <w:left w:w="57" w:type="dxa"/>
              <w:bottom w:w="57" w:type="dxa"/>
              <w:right w:w="57" w:type="dxa"/>
            </w:tcMar>
          </w:tcPr>
          <w:p w:rsidRPr="00390ABD" w:rsidR="000D6E6A" w:rsidRDefault="000D6E6A">
            <w:pPr>
              <w:pStyle w:val="NoParagraphStyle"/>
              <w:spacing w:line="240" w:lineRule="auto"/>
              <w:textAlignment w:val="auto"/>
              <w:rPr>
                <w:color w:val="auto"/>
                <w:sz w:val="16"/>
                <w:szCs w:val="16"/>
              </w:rPr>
            </w:pPr>
          </w:p>
        </w:tc>
        <w:tc>
          <w:tcPr>
            <w:tcW w:w="992" w:type="dxa"/>
            <w:tcBorders>
              <w:top w:val="single" w:color="FFFFFF" w:themeColor="background1" w:sz="8" w:space="0"/>
              <w:left w:val="single" w:color="FFFFFF" w:themeColor="background1" w:sz="8" w:space="0"/>
              <w:bottom w:val="single" w:color="542E8E" w:sz="6" w:space="0"/>
              <w:right w:val="single" w:color="FFFFFF" w:themeColor="background1" w:sz="8" w:space="0"/>
            </w:tcBorders>
            <w:shd w:val="solid" w:color="FFFFFF" w:fill="auto"/>
            <w:tcMar>
              <w:top w:w="57" w:type="dxa"/>
              <w:left w:w="57" w:type="dxa"/>
              <w:bottom w:w="57" w:type="dxa"/>
              <w:right w:w="57" w:type="dxa"/>
            </w:tcMar>
          </w:tcPr>
          <w:p w:rsidRPr="00390ABD" w:rsidR="000D6E6A" w:rsidRDefault="000D6E6A">
            <w:pPr>
              <w:pStyle w:val="bodycopytabletable"/>
              <w:jc w:val="right"/>
            </w:pPr>
            <w:r w:rsidRPr="00390ABD">
              <w:rPr>
                <w:rStyle w:val="mediumpurple"/>
                <w:b/>
                <w:bCs/>
                <w:lang w:val="en-US"/>
              </w:rPr>
              <w:t xml:space="preserve">2017–18 </w:t>
            </w:r>
          </w:p>
        </w:tc>
        <w:tc>
          <w:tcPr>
            <w:tcW w:w="851" w:type="dxa"/>
            <w:tcBorders>
              <w:top w:val="single" w:color="FFFFFF" w:themeColor="background1" w:sz="8" w:space="0"/>
              <w:left w:val="single" w:color="FFFFFF" w:themeColor="background1" w:sz="8" w:space="0"/>
              <w:bottom w:val="single" w:color="542E8E" w:sz="6" w:space="0"/>
              <w:right w:val="single" w:color="FFFFFF" w:themeColor="background1" w:sz="8" w:space="0"/>
            </w:tcBorders>
            <w:shd w:val="solid" w:color="FFFFFF" w:fill="auto"/>
            <w:tcMar>
              <w:top w:w="57" w:type="dxa"/>
              <w:left w:w="57" w:type="dxa"/>
              <w:bottom w:w="57" w:type="dxa"/>
              <w:right w:w="57" w:type="dxa"/>
            </w:tcMar>
          </w:tcPr>
          <w:p w:rsidRPr="00390ABD" w:rsidR="000D6E6A" w:rsidRDefault="000D6E6A">
            <w:pPr>
              <w:pStyle w:val="bodycopytabletable"/>
              <w:jc w:val="right"/>
            </w:pPr>
            <w:r w:rsidRPr="00390ABD">
              <w:rPr>
                <w:rStyle w:val="mediumpurple"/>
                <w:b/>
                <w:bCs/>
                <w:lang w:val="en-US"/>
              </w:rPr>
              <w:t xml:space="preserve">2016–17 </w:t>
            </w:r>
          </w:p>
        </w:tc>
      </w:tr>
      <w:tr w:rsidRPr="00390ABD" w:rsidR="000D6E6A" w:rsidTr="00390ABD">
        <w:tblPrEx>
          <w:tblCellMar>
            <w:top w:w="0" w:type="dxa"/>
            <w:left w:w="0" w:type="dxa"/>
            <w:bottom w:w="0" w:type="dxa"/>
            <w:right w:w="0" w:type="dxa"/>
          </w:tblCellMar>
        </w:tblPrEx>
        <w:trPr>
          <w:trHeight w:val="113"/>
        </w:trPr>
        <w:tc>
          <w:tcPr>
            <w:tcW w:w="8157" w:type="dxa"/>
            <w:tcBorders>
              <w:top w:val="dotted" w:color="542E8E" w:sz="4" w:space="0"/>
              <w:left w:val="single" w:color="FFFFFF" w:themeColor="background1" w:sz="8" w:space="0"/>
              <w:bottom w:val="single" w:color="542E8E" w:sz="4" w:space="0"/>
              <w:right w:val="single" w:color="FFFFFF" w:themeColor="background1" w:sz="8" w:space="0"/>
            </w:tcBorders>
            <w:shd w:val="solid" w:color="FFFFFF" w:fill="auto"/>
            <w:tcMar>
              <w:top w:w="57" w:type="dxa"/>
              <w:left w:w="57" w:type="dxa"/>
              <w:bottom w:w="57" w:type="dxa"/>
              <w:right w:w="57" w:type="dxa"/>
            </w:tcMar>
          </w:tcPr>
          <w:p w:rsidRPr="00390ABD" w:rsidR="000D6E6A" w:rsidRDefault="000D6E6A">
            <w:pPr>
              <w:pStyle w:val="bodycopytabletable"/>
            </w:pPr>
            <w:r w:rsidRPr="00390ABD">
              <w:t>The number of disclosures made by an individual to the department and notified to the Independent Broad-based Anti-</w:t>
            </w:r>
            <w:proofErr w:type="gramStart"/>
            <w:r w:rsidRPr="00390ABD">
              <w:t>corruption</w:t>
            </w:r>
            <w:proofErr w:type="gramEnd"/>
            <w:r w:rsidRPr="00390ABD">
              <w:t xml:space="preserve"> Commission </w:t>
            </w:r>
          </w:p>
        </w:tc>
        <w:tc>
          <w:tcPr>
            <w:tcW w:w="992" w:type="dxa"/>
            <w:tcBorders>
              <w:top w:val="dotted" w:color="542E8E" w:sz="4" w:space="0"/>
              <w:left w:val="single" w:color="FFFFFF" w:themeColor="background1" w:sz="8" w:space="0"/>
              <w:bottom w:val="single" w:color="542E8E" w:sz="4" w:space="0"/>
              <w:right w:val="single" w:color="FFFFFF" w:themeColor="background1" w:sz="8" w:space="0"/>
            </w:tcBorders>
            <w:shd w:val="solid" w:color="FFFFFF" w:fill="auto"/>
            <w:tcMar>
              <w:top w:w="57" w:type="dxa"/>
              <w:left w:w="57" w:type="dxa"/>
              <w:bottom w:w="57" w:type="dxa"/>
              <w:right w:w="57" w:type="dxa"/>
            </w:tcMar>
          </w:tcPr>
          <w:p w:rsidRPr="00390ABD" w:rsidR="000D6E6A" w:rsidRDefault="000D6E6A">
            <w:pPr>
              <w:pStyle w:val="bodycopytabletable"/>
              <w:jc w:val="right"/>
            </w:pPr>
            <w:r w:rsidRPr="00390ABD">
              <w:rPr>
                <w:lang w:val="en-US"/>
              </w:rPr>
              <w:t>4</w:t>
            </w:r>
          </w:p>
        </w:tc>
        <w:tc>
          <w:tcPr>
            <w:tcW w:w="851" w:type="dxa"/>
            <w:tcBorders>
              <w:top w:val="dotted" w:color="542E8E" w:sz="4" w:space="0"/>
              <w:left w:val="single" w:color="FFFFFF" w:themeColor="background1" w:sz="8" w:space="0"/>
              <w:bottom w:val="single" w:color="542E8E" w:sz="4" w:space="0"/>
              <w:right w:val="single" w:color="FFFFFF" w:themeColor="background1" w:sz="8" w:space="0"/>
            </w:tcBorders>
            <w:shd w:val="solid" w:color="FFFFFF" w:fill="auto"/>
            <w:tcMar>
              <w:top w:w="57" w:type="dxa"/>
              <w:left w:w="57" w:type="dxa"/>
              <w:bottom w:w="57" w:type="dxa"/>
              <w:right w:w="57" w:type="dxa"/>
            </w:tcMar>
          </w:tcPr>
          <w:p w:rsidRPr="00390ABD" w:rsidR="000D6E6A" w:rsidRDefault="000D6E6A">
            <w:pPr>
              <w:pStyle w:val="bodycopytabletable"/>
              <w:jc w:val="right"/>
            </w:pPr>
            <w:r w:rsidRPr="00390ABD">
              <w:rPr>
                <w:lang w:val="en-US"/>
              </w:rPr>
              <w:t>5</w:t>
            </w:r>
          </w:p>
        </w:tc>
      </w:tr>
    </w:tbl>
    <w:p w:rsidR="000D6E6A" w:rsidRDefault="000D6E6A">
      <w:pPr>
        <w:pStyle w:val="Bodycopy"/>
        <w:rPr>
          <w:rStyle w:val="italic"/>
        </w:rPr>
      </w:pPr>
    </w:p>
    <w:p w:rsidR="000D6E6A" w:rsidRDefault="000D6E6A">
      <w:pPr>
        <w:pStyle w:val="H5"/>
        <w:rPr>
          <w:rStyle w:val="italic"/>
          <w:i/>
          <w:iCs/>
        </w:rPr>
      </w:pPr>
      <w:r>
        <w:rPr>
          <w:rStyle w:val="italic"/>
          <w:i/>
          <w:iCs/>
        </w:rPr>
        <w:t>Reporting procedures</w:t>
      </w:r>
    </w:p>
    <w:p w:rsidR="000D6E6A" w:rsidRDefault="000D6E6A">
      <w:pPr>
        <w:pStyle w:val="Bodycopy"/>
      </w:pPr>
      <w:r>
        <w:t>Disclosures of improper conduct or detrimental action by the department or any of its employees may be made to any of the following personnel:</w:t>
      </w:r>
    </w:p>
    <w:p w:rsidR="000D6E6A" w:rsidRDefault="000D6E6A">
      <w:pPr>
        <w:pStyle w:val="BodycopyBullet"/>
      </w:pPr>
      <w:r>
        <w:t>Secretary of the department</w:t>
      </w:r>
    </w:p>
    <w:p w:rsidR="000D6E6A" w:rsidRDefault="000D6E6A">
      <w:pPr>
        <w:pStyle w:val="BodycopyBullet"/>
      </w:pPr>
      <w:r>
        <w:t>protected disclosure coordinator or protected disclosure officer</w:t>
      </w:r>
    </w:p>
    <w:p w:rsidR="000D6E6A" w:rsidRDefault="000D6E6A">
      <w:pPr>
        <w:pStyle w:val="BodycopyBullet"/>
      </w:pPr>
      <w:r>
        <w:t xml:space="preserve">manager or supervisor of the person making the disclosure </w:t>
      </w:r>
    </w:p>
    <w:p w:rsidR="000D6E6A" w:rsidRDefault="000D6E6A">
      <w:pPr>
        <w:pStyle w:val="BodycopyBulletspaceunder"/>
      </w:pPr>
      <w:r>
        <w:t xml:space="preserve">manager or supervisor of the person who is the subject of the disclosure. </w:t>
      </w:r>
    </w:p>
    <w:p w:rsidR="000D6E6A" w:rsidRDefault="000D6E6A">
      <w:pPr>
        <w:pStyle w:val="Bodycopy"/>
      </w:pPr>
      <w:r>
        <w:t>Alternatively, disclosures may also be made directly to the Independent Broad–based Anti–corruption Commission:</w:t>
      </w:r>
    </w:p>
    <w:p w:rsidR="000D6E6A" w:rsidRDefault="000D6E6A">
      <w:pPr>
        <w:pStyle w:val="Bodycopy"/>
      </w:pPr>
      <w:r>
        <w:t>Level 1, North Tower</w:t>
      </w:r>
      <w:r>
        <w:br/>
        <w:t>459 Collins Street, Melbourne, VIC 3000</w:t>
      </w:r>
    </w:p>
    <w:p w:rsidR="000D6E6A" w:rsidRDefault="000D6E6A">
      <w:pPr>
        <w:pStyle w:val="Bodycopy"/>
      </w:pPr>
      <w:r>
        <w:t>Phone: 1300 735 135</w:t>
      </w:r>
    </w:p>
    <w:p w:rsidR="000D6E6A" w:rsidRDefault="000D6E6A">
      <w:pPr>
        <w:pStyle w:val="Bodycopy"/>
      </w:pPr>
      <w:r>
        <w:t xml:space="preserve">Internet: www.ibac.vic.gov.au </w:t>
      </w:r>
    </w:p>
    <w:p w:rsidR="000D6E6A" w:rsidRDefault="000D6E6A">
      <w:pPr>
        <w:pStyle w:val="Bodycopy"/>
      </w:pPr>
      <w:r>
        <w:t>Email: Refer to the website above for the secure email disclosure process, which also provides for anonymous disclosures.</w:t>
      </w:r>
    </w:p>
    <w:p w:rsidR="000D6E6A" w:rsidRDefault="000D6E6A">
      <w:pPr>
        <w:pStyle w:val="Bodycopy"/>
        <w:rPr>
          <w:spacing w:val="2"/>
          <w:lang w:val="en-AU"/>
        </w:rPr>
      </w:pPr>
      <w:r>
        <w:t xml:space="preserve">The Protected Disclosure Policy and Procedures, which outline the system for reporting disclosures of improper conduct or detrimental action by the department or any of its employees and/or officers, are available on the department’s website. </w:t>
      </w:r>
    </w:p>
    <w:p w:rsidR="000D6E6A" w:rsidRDefault="000D6E6A">
      <w:pPr>
        <w:pStyle w:val="Bodycopy"/>
        <w:rPr>
          <w:spacing w:val="2"/>
          <w:sz w:val="14"/>
          <w:szCs w:val="14"/>
          <w:lang w:val="en-AU"/>
        </w:rPr>
      </w:pPr>
    </w:p>
    <w:p w:rsidR="00390ABD" w:rsidRDefault="00390ABD">
      <w:pPr>
        <w:rPr>
          <w:rFonts w:ascii="Arial" w:hAnsi="Arial" w:cs="Arial"/>
          <w:b/>
          <w:bCs/>
          <w:color w:val="542E8E"/>
          <w:sz w:val="36"/>
          <w:szCs w:val="36"/>
          <w:lang w:val="en-GB"/>
        </w:rPr>
      </w:pPr>
      <w:r>
        <w:br w:type="page"/>
      </w:r>
    </w:p>
    <w:p w:rsidR="000D6E6A" w:rsidRDefault="000D6E6A">
      <w:pPr>
        <w:pStyle w:val="H1"/>
      </w:pPr>
      <w:bookmarkStart w:id="13" w:name="_Toc525300168"/>
      <w:r>
        <w:lastRenderedPageBreak/>
        <w:t>10. Additional information available on request</w:t>
      </w:r>
      <w:bookmarkEnd w:id="13"/>
    </w:p>
    <w:p w:rsidR="000D6E6A" w:rsidRDefault="000D6E6A">
      <w:pPr>
        <w:pStyle w:val="Bodycopy"/>
      </w:pPr>
      <w:r>
        <w:t>In compliance with the requirements of the Standing Directions of the Minister for Finance, details in respect of the items listed below have been retained by the Department and are available on request, subject to the provisions of the Freedom of Information Act.</w:t>
      </w:r>
    </w:p>
    <w:p w:rsidR="000D6E6A" w:rsidRDefault="000D6E6A">
      <w:pPr>
        <w:pStyle w:val="Bodycopy"/>
      </w:pPr>
      <w:r>
        <w:t xml:space="preserve">Subject to the provisions of the FOI Act, information that shall be retained by the Accountable Officer shall include: </w:t>
      </w:r>
    </w:p>
    <w:p w:rsidR="000D6E6A" w:rsidRDefault="000D6E6A">
      <w:pPr>
        <w:pStyle w:val="BodycopyBullet"/>
      </w:pPr>
      <w:r>
        <w:t>a statement that declarations of pecuniary interests have been duly completed by all relevant officers</w:t>
      </w:r>
    </w:p>
    <w:p w:rsidR="000D6E6A" w:rsidRDefault="000D6E6A">
      <w:pPr>
        <w:pStyle w:val="BodycopyBullet"/>
      </w:pPr>
      <w:r>
        <w:t>details of shares held by a senior officer as nominee or held beneficially in a statutory authority or subsidiary</w:t>
      </w:r>
    </w:p>
    <w:p w:rsidR="000D6E6A" w:rsidRDefault="000D6E6A">
      <w:pPr>
        <w:pStyle w:val="BodycopyBullet"/>
      </w:pPr>
      <w:r>
        <w:t xml:space="preserve">details of publications produced by the entity about itself, and how these can be obtained; </w:t>
      </w:r>
    </w:p>
    <w:p w:rsidR="000D6E6A" w:rsidRDefault="000D6E6A">
      <w:pPr>
        <w:pStyle w:val="BodycopyBullet"/>
      </w:pPr>
      <w:r>
        <w:t>details of changes in prices, fees, charges, rates and levies charged by the entity</w:t>
      </w:r>
    </w:p>
    <w:p w:rsidR="000D6E6A" w:rsidRDefault="000D6E6A">
      <w:pPr>
        <w:pStyle w:val="BodycopyBullet"/>
      </w:pPr>
      <w:r>
        <w:t>details of any major external reviews carried out on the entity</w:t>
      </w:r>
    </w:p>
    <w:p w:rsidR="000D6E6A" w:rsidRDefault="000D6E6A">
      <w:pPr>
        <w:pStyle w:val="BodycopyBullet"/>
      </w:pPr>
      <w:r>
        <w:t>details of major research and development activities undertaken by the entity</w:t>
      </w:r>
    </w:p>
    <w:p w:rsidR="000D6E6A" w:rsidRDefault="000D6E6A">
      <w:pPr>
        <w:pStyle w:val="BodycopyBullet"/>
      </w:pPr>
      <w:r>
        <w:t>details of overseas visits undertaken including a summary of the objectives and outcomes of each visit</w:t>
      </w:r>
    </w:p>
    <w:p w:rsidR="000D6E6A" w:rsidRDefault="000D6E6A">
      <w:pPr>
        <w:pStyle w:val="BodycopyBullet"/>
      </w:pPr>
      <w:r>
        <w:t>details of major promotional, public relations and marketing activities undertaken by the entity to develop community awareness of the entity and its services</w:t>
      </w:r>
    </w:p>
    <w:p w:rsidR="000D6E6A" w:rsidRDefault="000D6E6A">
      <w:pPr>
        <w:pStyle w:val="BodycopyBullet"/>
      </w:pPr>
      <w:r>
        <w:t>details of assessments and measures undertaken to improve the occupational health and safety of employees</w:t>
      </w:r>
    </w:p>
    <w:p w:rsidR="000D6E6A" w:rsidRDefault="000D6E6A">
      <w:pPr>
        <w:pStyle w:val="BodycopyBullet"/>
      </w:pPr>
      <w:r>
        <w:t>a general statement on industrial relations within the entity and details of time lost through industrial accidents and disputes</w:t>
      </w:r>
    </w:p>
    <w:p w:rsidR="000D6E6A" w:rsidRDefault="000D6E6A">
      <w:pPr>
        <w:pStyle w:val="BodycopyBullet"/>
      </w:pPr>
      <w:r>
        <w:t>a list of major committees sponsored by the entity, the purposes of each committee and the extent to which the purposes have been achieved</w:t>
      </w:r>
    </w:p>
    <w:p w:rsidR="000D6E6A" w:rsidRDefault="000D6E6A">
      <w:pPr>
        <w:pStyle w:val="BodycopyBullet"/>
      </w:pPr>
      <w:r>
        <w:t>details of all consultancies and contractors including:</w:t>
      </w:r>
    </w:p>
    <w:p w:rsidR="000D6E6A" w:rsidRDefault="000D6E6A">
      <w:pPr>
        <w:pStyle w:val="BodycopybulletL2"/>
      </w:pPr>
      <w:r>
        <w:t>consultants/contractors engaged</w:t>
      </w:r>
    </w:p>
    <w:p w:rsidR="000D6E6A" w:rsidRDefault="000D6E6A">
      <w:pPr>
        <w:pStyle w:val="BodycopybulletL2"/>
      </w:pPr>
      <w:r>
        <w:t>services provided</w:t>
      </w:r>
    </w:p>
    <w:p w:rsidR="000D6E6A" w:rsidRDefault="000D6E6A">
      <w:pPr>
        <w:pStyle w:val="BodycopybulletL2"/>
      </w:pPr>
      <w:r>
        <w:t>expenditure committed to for each engagement.</w:t>
      </w:r>
    </w:p>
    <w:p w:rsidR="000D6E6A" w:rsidRDefault="000D6E6A">
      <w:pPr>
        <w:pStyle w:val="Bodycopy"/>
        <w:rPr>
          <w:spacing w:val="2"/>
          <w:sz w:val="14"/>
          <w:szCs w:val="14"/>
          <w:lang w:val="en-AU"/>
        </w:rPr>
      </w:pPr>
    </w:p>
    <w:p w:rsidR="000D6E6A" w:rsidRDefault="000D6E6A">
      <w:pPr>
        <w:pStyle w:val="Bodycopy"/>
        <w:rPr>
          <w:spacing w:val="2"/>
          <w:sz w:val="14"/>
          <w:szCs w:val="14"/>
          <w:lang w:val="en-AU"/>
        </w:rPr>
      </w:pPr>
    </w:p>
    <w:p w:rsidR="00390ABD" w:rsidRDefault="00390ABD">
      <w:pPr>
        <w:rPr>
          <w:rFonts w:ascii="Arial" w:hAnsi="Arial" w:cs="Arial"/>
          <w:b/>
          <w:bCs/>
          <w:color w:val="542E8E"/>
          <w:sz w:val="36"/>
          <w:szCs w:val="36"/>
          <w:lang w:val="en-GB"/>
        </w:rPr>
      </w:pPr>
      <w:r>
        <w:br w:type="page"/>
      </w:r>
    </w:p>
    <w:p w:rsidR="000D6E6A" w:rsidRDefault="000D6E6A">
      <w:pPr>
        <w:pStyle w:val="H1"/>
      </w:pPr>
      <w:bookmarkStart w:id="14" w:name="_Toc525300169"/>
      <w:r>
        <w:lastRenderedPageBreak/>
        <w:t>Glossary</w:t>
      </w:r>
      <w:bookmarkEnd w:id="14"/>
    </w:p>
    <w:p w:rsidR="000D6E6A" w:rsidP="00390ABD" w:rsidRDefault="000D6E6A">
      <w:pPr>
        <w:pStyle w:val="tableheadingstable"/>
        <w:tabs>
          <w:tab w:val="left" w:pos="1720"/>
        </w:tabs>
        <w:spacing w:after="48" w:afterLines="20"/>
      </w:pPr>
      <w:r>
        <w:t>Acronyms</w:t>
      </w:r>
      <w:r>
        <w:tab/>
        <w:t>Description</w:t>
      </w:r>
    </w:p>
    <w:p w:rsidR="000D6E6A" w:rsidP="00390ABD" w:rsidRDefault="000D6E6A">
      <w:pPr>
        <w:pStyle w:val="bodycopytabletable"/>
        <w:tabs>
          <w:tab w:val="left" w:pos="1720"/>
        </w:tabs>
        <w:spacing w:after="48" w:afterLines="20"/>
      </w:pPr>
      <w:r>
        <w:rPr>
          <w:rStyle w:val="medium"/>
          <w:b/>
          <w:bCs/>
        </w:rPr>
        <w:t>ACLO</w:t>
      </w:r>
      <w:r>
        <w:rPr>
          <w:rStyle w:val="medium"/>
          <w:b/>
          <w:bCs/>
        </w:rPr>
        <w:tab/>
      </w:r>
      <w:r>
        <w:t xml:space="preserve">Aboriginal Community Liaison Officer </w:t>
      </w:r>
    </w:p>
    <w:p w:rsidR="000D6E6A" w:rsidP="00390ABD" w:rsidRDefault="000D6E6A">
      <w:pPr>
        <w:pStyle w:val="bodycopytabletable"/>
        <w:tabs>
          <w:tab w:val="left" w:pos="1720"/>
        </w:tabs>
        <w:spacing w:after="48" w:afterLines="20"/>
      </w:pPr>
      <w:r>
        <w:rPr>
          <w:rStyle w:val="medium"/>
          <w:b/>
          <w:bCs/>
        </w:rPr>
        <w:t>ADRP</w:t>
      </w:r>
      <w:r>
        <w:rPr>
          <w:rStyle w:val="medium"/>
          <w:b/>
          <w:bCs/>
        </w:rPr>
        <w:tab/>
      </w:r>
      <w:r>
        <w:t>Aboriginal Dispute and Resolution Program</w:t>
      </w:r>
    </w:p>
    <w:p w:rsidR="000D6E6A" w:rsidP="00390ABD" w:rsidRDefault="000D6E6A">
      <w:pPr>
        <w:pStyle w:val="bodycopytabletable"/>
        <w:tabs>
          <w:tab w:val="left" w:pos="1720"/>
        </w:tabs>
        <w:spacing w:after="48" w:afterLines="20"/>
      </w:pPr>
      <w:r>
        <w:rPr>
          <w:rStyle w:val="medium"/>
          <w:b/>
          <w:bCs/>
        </w:rPr>
        <w:t xml:space="preserve">AJA </w:t>
      </w:r>
      <w:r>
        <w:rPr>
          <w:rStyle w:val="medium"/>
          <w:b/>
          <w:bCs/>
        </w:rPr>
        <w:tab/>
      </w:r>
      <w:r>
        <w:t xml:space="preserve">Aboriginal Justice Agreement </w:t>
      </w:r>
    </w:p>
    <w:p w:rsidR="000D6E6A" w:rsidP="00390ABD" w:rsidRDefault="000D6E6A">
      <w:pPr>
        <w:pStyle w:val="bodycopytabletable"/>
        <w:tabs>
          <w:tab w:val="left" w:pos="1720"/>
        </w:tabs>
        <w:spacing w:after="48" w:afterLines="20"/>
      </w:pPr>
      <w:r>
        <w:rPr>
          <w:rStyle w:val="medium"/>
          <w:b/>
          <w:bCs/>
        </w:rPr>
        <w:t>AOD</w:t>
      </w:r>
      <w:r>
        <w:rPr>
          <w:rStyle w:val="medium"/>
          <w:b/>
          <w:bCs/>
        </w:rPr>
        <w:tab/>
      </w:r>
      <w:r>
        <w:t>Alcohol and other drugs</w:t>
      </w:r>
    </w:p>
    <w:p w:rsidR="000D6E6A" w:rsidP="00390ABD" w:rsidRDefault="000D6E6A">
      <w:pPr>
        <w:pStyle w:val="bodycopytabletable"/>
        <w:tabs>
          <w:tab w:val="left" w:pos="1720"/>
        </w:tabs>
        <w:spacing w:after="48" w:afterLines="20"/>
      </w:pPr>
      <w:r>
        <w:rPr>
          <w:rStyle w:val="medium"/>
          <w:b/>
          <w:bCs/>
        </w:rPr>
        <w:t xml:space="preserve">BDM </w:t>
      </w:r>
      <w:r>
        <w:rPr>
          <w:rStyle w:val="medium"/>
          <w:b/>
          <w:bCs/>
        </w:rPr>
        <w:tab/>
      </w:r>
      <w:r>
        <w:t xml:space="preserve">Registry of Births, Deaths and Marriages </w:t>
      </w:r>
    </w:p>
    <w:p w:rsidR="000D6E6A" w:rsidP="00390ABD" w:rsidRDefault="000D6E6A">
      <w:pPr>
        <w:pStyle w:val="bodycopytabletable"/>
        <w:tabs>
          <w:tab w:val="left" w:pos="1720"/>
        </w:tabs>
        <w:spacing w:after="48" w:afterLines="20"/>
      </w:pPr>
      <w:r>
        <w:rPr>
          <w:rStyle w:val="medium"/>
          <w:b/>
          <w:bCs/>
        </w:rPr>
        <w:t>BLA</w:t>
      </w:r>
      <w:r>
        <w:rPr>
          <w:rStyle w:val="medium"/>
          <w:b/>
          <w:bCs/>
        </w:rPr>
        <w:tab/>
      </w:r>
      <w:r>
        <w:t>Business Licensing Authority</w:t>
      </w:r>
    </w:p>
    <w:p w:rsidR="000D6E6A" w:rsidP="00390ABD" w:rsidRDefault="000D6E6A">
      <w:pPr>
        <w:pStyle w:val="bodycopytabletable"/>
        <w:tabs>
          <w:tab w:val="left" w:pos="1720"/>
        </w:tabs>
        <w:spacing w:after="48" w:afterLines="20"/>
      </w:pPr>
      <w:r>
        <w:rPr>
          <w:rStyle w:val="medium"/>
          <w:b/>
          <w:bCs/>
        </w:rPr>
        <w:t xml:space="preserve">CALD </w:t>
      </w:r>
      <w:r>
        <w:rPr>
          <w:rStyle w:val="medium"/>
          <w:b/>
          <w:bCs/>
        </w:rPr>
        <w:tab/>
      </w:r>
      <w:r>
        <w:t xml:space="preserve">Culturally and linguistically diverse </w:t>
      </w:r>
    </w:p>
    <w:p w:rsidR="000D6E6A" w:rsidP="00390ABD" w:rsidRDefault="000D6E6A">
      <w:pPr>
        <w:pStyle w:val="bodycopytabletable"/>
        <w:tabs>
          <w:tab w:val="left" w:pos="1720"/>
        </w:tabs>
        <w:spacing w:after="48" w:afterLines="20"/>
      </w:pPr>
      <w:r>
        <w:rPr>
          <w:rStyle w:val="medium"/>
          <w:b/>
          <w:bCs/>
        </w:rPr>
        <w:t xml:space="preserve">CAV </w:t>
      </w:r>
      <w:r>
        <w:rPr>
          <w:rStyle w:val="medium"/>
          <w:b/>
          <w:bCs/>
        </w:rPr>
        <w:tab/>
      </w:r>
      <w:r>
        <w:t xml:space="preserve">Consumer Affairs Victoria </w:t>
      </w:r>
    </w:p>
    <w:p w:rsidR="000D6E6A" w:rsidP="00390ABD" w:rsidRDefault="000D6E6A">
      <w:pPr>
        <w:pStyle w:val="bodycopytabletable"/>
        <w:tabs>
          <w:tab w:val="left" w:pos="1720"/>
        </w:tabs>
        <w:spacing w:after="48" w:afterLines="20"/>
      </w:pPr>
      <w:r>
        <w:rPr>
          <w:rStyle w:val="medium"/>
          <w:b/>
          <w:bCs/>
        </w:rPr>
        <w:t>CBD</w:t>
      </w:r>
      <w:r>
        <w:rPr>
          <w:rStyle w:val="medium"/>
          <w:b/>
          <w:bCs/>
        </w:rPr>
        <w:tab/>
      </w:r>
      <w:r>
        <w:t>Central Business District</w:t>
      </w:r>
    </w:p>
    <w:p w:rsidR="000D6E6A" w:rsidP="00390ABD" w:rsidRDefault="000D6E6A">
      <w:pPr>
        <w:pStyle w:val="bodycopytabletable"/>
        <w:tabs>
          <w:tab w:val="left" w:pos="1720"/>
        </w:tabs>
        <w:spacing w:after="48" w:afterLines="20"/>
      </w:pPr>
      <w:r>
        <w:rPr>
          <w:rStyle w:val="medium"/>
          <w:b/>
          <w:bCs/>
        </w:rPr>
        <w:t>CCO</w:t>
      </w:r>
      <w:r>
        <w:rPr>
          <w:rStyle w:val="medium"/>
          <w:b/>
          <w:bCs/>
        </w:rPr>
        <w:tab/>
      </w:r>
      <w:r>
        <w:t xml:space="preserve">Community Correction Orders </w:t>
      </w:r>
    </w:p>
    <w:p w:rsidR="000D6E6A" w:rsidP="00390ABD" w:rsidRDefault="000D6E6A">
      <w:pPr>
        <w:pStyle w:val="bodycopytabletable"/>
        <w:tabs>
          <w:tab w:val="left" w:pos="1720"/>
        </w:tabs>
        <w:spacing w:after="48" w:afterLines="20"/>
      </w:pPr>
      <w:r>
        <w:rPr>
          <w:rStyle w:val="medium"/>
          <w:b/>
          <w:bCs/>
        </w:rPr>
        <w:t xml:space="preserve">CCS </w:t>
      </w:r>
      <w:r>
        <w:rPr>
          <w:rStyle w:val="medium"/>
          <w:b/>
          <w:bCs/>
        </w:rPr>
        <w:tab/>
      </w:r>
      <w:r>
        <w:t xml:space="preserve">Community Correctional Services </w:t>
      </w:r>
    </w:p>
    <w:p w:rsidR="000D6E6A" w:rsidP="00390ABD" w:rsidRDefault="000D6E6A">
      <w:pPr>
        <w:pStyle w:val="bodycopytabletable"/>
        <w:tabs>
          <w:tab w:val="left" w:pos="1720"/>
        </w:tabs>
        <w:spacing w:after="48" w:afterLines="20"/>
      </w:pPr>
      <w:r>
        <w:rPr>
          <w:rStyle w:val="medium"/>
          <w:b/>
          <w:bCs/>
        </w:rPr>
        <w:t>CFA</w:t>
      </w:r>
      <w:r>
        <w:rPr>
          <w:rStyle w:val="medium"/>
          <w:b/>
          <w:bCs/>
        </w:rPr>
        <w:tab/>
      </w:r>
      <w:r>
        <w:t>Country Fire Authority</w:t>
      </w:r>
    </w:p>
    <w:p w:rsidR="000D6E6A" w:rsidP="00390ABD" w:rsidRDefault="000D6E6A">
      <w:pPr>
        <w:pStyle w:val="bodycopytabletable"/>
        <w:tabs>
          <w:tab w:val="left" w:pos="1720"/>
        </w:tabs>
        <w:spacing w:after="48" w:afterLines="20"/>
      </w:pPr>
      <w:r>
        <w:rPr>
          <w:rStyle w:val="medium"/>
          <w:b/>
          <w:bCs/>
        </w:rPr>
        <w:t xml:space="preserve">CLC </w:t>
      </w:r>
      <w:r>
        <w:rPr>
          <w:rStyle w:val="medium"/>
          <w:b/>
          <w:bCs/>
        </w:rPr>
        <w:tab/>
      </w:r>
      <w:r>
        <w:t xml:space="preserve">Community Legal Centre </w:t>
      </w:r>
    </w:p>
    <w:p w:rsidR="000D6E6A" w:rsidP="00390ABD" w:rsidRDefault="000D6E6A">
      <w:pPr>
        <w:pStyle w:val="bodycopytabletable"/>
        <w:tabs>
          <w:tab w:val="left" w:pos="1720"/>
        </w:tabs>
        <w:spacing w:after="48" w:afterLines="20"/>
      </w:pPr>
      <w:r>
        <w:rPr>
          <w:rStyle w:val="medium"/>
          <w:b/>
          <w:bCs/>
        </w:rPr>
        <w:t xml:space="preserve">CSA </w:t>
      </w:r>
      <w:r>
        <w:rPr>
          <w:rStyle w:val="medium"/>
          <w:b/>
          <w:bCs/>
        </w:rPr>
        <w:tab/>
      </w:r>
      <w:r>
        <w:t xml:space="preserve">Crime Statistics Agency </w:t>
      </w:r>
    </w:p>
    <w:p w:rsidR="000D6E6A" w:rsidP="00390ABD" w:rsidRDefault="000D6E6A">
      <w:pPr>
        <w:pStyle w:val="bodycopytabletable"/>
        <w:tabs>
          <w:tab w:val="left" w:pos="1720"/>
        </w:tabs>
        <w:spacing w:after="48" w:afterLines="20"/>
      </w:pPr>
      <w:r>
        <w:rPr>
          <w:rStyle w:val="medium"/>
          <w:b/>
          <w:bCs/>
        </w:rPr>
        <w:t xml:space="preserve">CSV </w:t>
      </w:r>
      <w:r>
        <w:rPr>
          <w:rStyle w:val="medium"/>
          <w:b/>
          <w:bCs/>
        </w:rPr>
        <w:tab/>
      </w:r>
      <w:r>
        <w:t xml:space="preserve">Court Services Victoria </w:t>
      </w:r>
    </w:p>
    <w:p w:rsidR="000D6E6A" w:rsidP="00390ABD" w:rsidRDefault="000D6E6A">
      <w:pPr>
        <w:pStyle w:val="bodycopytabletable"/>
        <w:tabs>
          <w:tab w:val="left" w:pos="1720"/>
        </w:tabs>
        <w:spacing w:after="48" w:afterLines="20"/>
      </w:pPr>
      <w:r>
        <w:rPr>
          <w:rStyle w:val="medium"/>
          <w:b/>
          <w:bCs/>
        </w:rPr>
        <w:t xml:space="preserve">CV </w:t>
      </w:r>
      <w:r>
        <w:rPr>
          <w:rStyle w:val="medium"/>
          <w:b/>
          <w:bCs/>
        </w:rPr>
        <w:tab/>
      </w:r>
      <w:r>
        <w:t xml:space="preserve">Corrections Victoria </w:t>
      </w:r>
    </w:p>
    <w:p w:rsidR="000D6E6A" w:rsidP="00390ABD" w:rsidRDefault="000D6E6A">
      <w:pPr>
        <w:pStyle w:val="bodycopytabletable"/>
        <w:tabs>
          <w:tab w:val="left" w:pos="1720"/>
        </w:tabs>
        <w:spacing w:after="48" w:afterLines="20"/>
      </w:pPr>
      <w:r>
        <w:rPr>
          <w:rStyle w:val="medium"/>
          <w:b/>
          <w:bCs/>
        </w:rPr>
        <w:t xml:space="preserve">DBDRV </w:t>
      </w:r>
      <w:r>
        <w:rPr>
          <w:rStyle w:val="medium"/>
          <w:b/>
          <w:bCs/>
        </w:rPr>
        <w:tab/>
      </w:r>
      <w:r>
        <w:t xml:space="preserve">Domestic Building Dispute Resolution Service Victoria </w:t>
      </w:r>
    </w:p>
    <w:p w:rsidR="000D6E6A" w:rsidP="00390ABD" w:rsidRDefault="000D6E6A">
      <w:pPr>
        <w:pStyle w:val="bodycopytabletable"/>
        <w:tabs>
          <w:tab w:val="left" w:pos="1720"/>
        </w:tabs>
        <w:spacing w:after="48" w:afterLines="20"/>
      </w:pPr>
      <w:r>
        <w:rPr>
          <w:rStyle w:val="medium"/>
          <w:b/>
          <w:bCs/>
        </w:rPr>
        <w:t xml:space="preserve">DELWP </w:t>
      </w:r>
      <w:r>
        <w:rPr>
          <w:rStyle w:val="medium"/>
          <w:b/>
          <w:bCs/>
        </w:rPr>
        <w:tab/>
      </w:r>
      <w:r>
        <w:t xml:space="preserve">Department of Environment, Land, Water and Planning </w:t>
      </w:r>
    </w:p>
    <w:p w:rsidR="000D6E6A" w:rsidP="00390ABD" w:rsidRDefault="000D6E6A">
      <w:pPr>
        <w:pStyle w:val="bodycopytabletable"/>
        <w:tabs>
          <w:tab w:val="left" w:pos="1720"/>
        </w:tabs>
        <w:spacing w:after="48" w:afterLines="20"/>
      </w:pPr>
      <w:r>
        <w:rPr>
          <w:rStyle w:val="medium"/>
          <w:b/>
          <w:bCs/>
        </w:rPr>
        <w:t xml:space="preserve">DET </w:t>
      </w:r>
      <w:r>
        <w:rPr>
          <w:rStyle w:val="medium"/>
          <w:b/>
          <w:bCs/>
        </w:rPr>
        <w:tab/>
      </w:r>
      <w:r>
        <w:t xml:space="preserve">Department of Education and Training </w:t>
      </w:r>
    </w:p>
    <w:p w:rsidR="000D6E6A" w:rsidP="00390ABD" w:rsidRDefault="000D6E6A">
      <w:pPr>
        <w:pStyle w:val="bodycopytabletable"/>
        <w:tabs>
          <w:tab w:val="left" w:pos="1720"/>
        </w:tabs>
        <w:spacing w:after="48" w:afterLines="20"/>
      </w:pPr>
      <w:r>
        <w:rPr>
          <w:rStyle w:val="medium"/>
          <w:b/>
          <w:bCs/>
        </w:rPr>
        <w:t xml:space="preserve">DHHS </w:t>
      </w:r>
      <w:r>
        <w:rPr>
          <w:rStyle w:val="medium"/>
          <w:b/>
          <w:bCs/>
        </w:rPr>
        <w:tab/>
      </w:r>
      <w:r>
        <w:t xml:space="preserve">Department of Health and Human Services </w:t>
      </w:r>
    </w:p>
    <w:p w:rsidR="000D6E6A" w:rsidP="00390ABD" w:rsidRDefault="000D6E6A">
      <w:pPr>
        <w:pStyle w:val="bodycopytabletable"/>
        <w:tabs>
          <w:tab w:val="left" w:pos="1720"/>
        </w:tabs>
        <w:spacing w:after="48" w:afterLines="20"/>
      </w:pPr>
      <w:r>
        <w:rPr>
          <w:rStyle w:val="medium"/>
          <w:b/>
          <w:bCs/>
        </w:rPr>
        <w:t xml:space="preserve">DJR </w:t>
      </w:r>
      <w:r>
        <w:rPr>
          <w:rStyle w:val="medium"/>
          <w:b/>
          <w:bCs/>
        </w:rPr>
        <w:tab/>
      </w:r>
      <w:r>
        <w:t xml:space="preserve">Department of Justice and Regulation </w:t>
      </w:r>
    </w:p>
    <w:p w:rsidR="000D6E6A" w:rsidP="00390ABD" w:rsidRDefault="000D6E6A">
      <w:pPr>
        <w:pStyle w:val="bodycopytabletable"/>
        <w:tabs>
          <w:tab w:val="left" w:pos="1720"/>
        </w:tabs>
        <w:spacing w:after="48" w:afterLines="20"/>
      </w:pPr>
      <w:r>
        <w:rPr>
          <w:rStyle w:val="medium"/>
          <w:b/>
          <w:bCs/>
        </w:rPr>
        <w:t xml:space="preserve">DPC </w:t>
      </w:r>
      <w:r>
        <w:rPr>
          <w:rStyle w:val="medium"/>
          <w:b/>
          <w:bCs/>
        </w:rPr>
        <w:tab/>
      </w:r>
      <w:r>
        <w:t xml:space="preserve">Department of Premier and Cabinet </w:t>
      </w:r>
    </w:p>
    <w:p w:rsidR="000D6E6A" w:rsidP="00390ABD" w:rsidRDefault="000D6E6A">
      <w:pPr>
        <w:pStyle w:val="bodycopytabletable"/>
        <w:tabs>
          <w:tab w:val="left" w:pos="1720"/>
        </w:tabs>
        <w:spacing w:after="48" w:afterLines="20"/>
      </w:pPr>
      <w:r>
        <w:rPr>
          <w:rStyle w:val="medium"/>
          <w:b/>
          <w:bCs/>
        </w:rPr>
        <w:t xml:space="preserve">DSCV </w:t>
      </w:r>
      <w:r>
        <w:rPr>
          <w:rStyle w:val="medium"/>
          <w:b/>
          <w:bCs/>
        </w:rPr>
        <w:tab/>
      </w:r>
      <w:r>
        <w:t xml:space="preserve">Dispute Settlement Centre of Victoria </w:t>
      </w:r>
    </w:p>
    <w:p w:rsidR="000D6E6A" w:rsidP="00390ABD" w:rsidRDefault="000D6E6A">
      <w:pPr>
        <w:pStyle w:val="bodycopytabletable"/>
        <w:tabs>
          <w:tab w:val="left" w:pos="1720"/>
        </w:tabs>
        <w:spacing w:after="48" w:afterLines="20"/>
      </w:pPr>
      <w:r>
        <w:rPr>
          <w:rStyle w:val="medium"/>
          <w:b/>
          <w:bCs/>
        </w:rPr>
        <w:t xml:space="preserve">DTF </w:t>
      </w:r>
      <w:r>
        <w:rPr>
          <w:rStyle w:val="medium"/>
          <w:b/>
          <w:bCs/>
        </w:rPr>
        <w:tab/>
      </w:r>
      <w:r>
        <w:t xml:space="preserve">Department of Treasury and Finance </w:t>
      </w:r>
    </w:p>
    <w:p w:rsidR="000D6E6A" w:rsidP="00390ABD" w:rsidRDefault="000D6E6A">
      <w:pPr>
        <w:pStyle w:val="bodycopytabletable"/>
        <w:tabs>
          <w:tab w:val="left" w:pos="1720"/>
        </w:tabs>
        <w:spacing w:after="48" w:afterLines="20"/>
      </w:pPr>
      <w:r>
        <w:rPr>
          <w:rStyle w:val="medium"/>
          <w:b/>
          <w:bCs/>
        </w:rPr>
        <w:t>EDO</w:t>
      </w:r>
      <w:r>
        <w:rPr>
          <w:rStyle w:val="medium"/>
          <w:b/>
          <w:bCs/>
        </w:rPr>
        <w:tab/>
      </w:r>
      <w:r>
        <w:t>Emergency Detention Orders</w:t>
      </w:r>
    </w:p>
    <w:p w:rsidR="000D6E6A" w:rsidP="00390ABD" w:rsidRDefault="000D6E6A">
      <w:pPr>
        <w:pStyle w:val="bodycopytabletable"/>
        <w:tabs>
          <w:tab w:val="left" w:pos="1720"/>
        </w:tabs>
        <w:spacing w:after="48" w:afterLines="20"/>
      </w:pPr>
      <w:r>
        <w:rPr>
          <w:rStyle w:val="medium"/>
          <w:b/>
          <w:bCs/>
        </w:rPr>
        <w:t xml:space="preserve">EMC </w:t>
      </w:r>
      <w:r>
        <w:rPr>
          <w:rStyle w:val="medium"/>
          <w:b/>
          <w:bCs/>
        </w:rPr>
        <w:tab/>
      </w:r>
      <w:r>
        <w:t xml:space="preserve">Emergency Management Commissioner </w:t>
      </w:r>
    </w:p>
    <w:p w:rsidR="000D6E6A" w:rsidP="00390ABD" w:rsidRDefault="000D6E6A">
      <w:pPr>
        <w:pStyle w:val="bodycopytabletable"/>
        <w:tabs>
          <w:tab w:val="left" w:pos="1720"/>
        </w:tabs>
        <w:spacing w:after="48" w:afterLines="20"/>
      </w:pPr>
      <w:r>
        <w:rPr>
          <w:rStyle w:val="medium"/>
          <w:b/>
          <w:bCs/>
        </w:rPr>
        <w:t xml:space="preserve">EM–COP </w:t>
      </w:r>
      <w:r>
        <w:rPr>
          <w:rStyle w:val="medium"/>
          <w:b/>
          <w:bCs/>
        </w:rPr>
        <w:tab/>
      </w:r>
      <w:r>
        <w:t xml:space="preserve">Emergency Management Common Operating Picture </w:t>
      </w:r>
    </w:p>
    <w:p w:rsidR="000D6E6A" w:rsidP="00390ABD" w:rsidRDefault="000D6E6A">
      <w:pPr>
        <w:pStyle w:val="bodycopytabletable"/>
        <w:tabs>
          <w:tab w:val="left" w:pos="1720"/>
        </w:tabs>
        <w:spacing w:after="48" w:afterLines="20"/>
      </w:pPr>
      <w:r>
        <w:rPr>
          <w:rStyle w:val="medium"/>
          <w:b/>
          <w:bCs/>
        </w:rPr>
        <w:t>EMP</w:t>
      </w:r>
      <w:r>
        <w:rPr>
          <w:rStyle w:val="medium"/>
          <w:b/>
          <w:bCs/>
        </w:rPr>
        <w:tab/>
      </w:r>
      <w:r>
        <w:t>Environmental Management Plan</w:t>
      </w:r>
    </w:p>
    <w:p w:rsidR="000D6E6A" w:rsidP="00390ABD" w:rsidRDefault="000D6E6A">
      <w:pPr>
        <w:pStyle w:val="bodycopytabletable"/>
        <w:tabs>
          <w:tab w:val="left" w:pos="1720"/>
        </w:tabs>
        <w:spacing w:after="48" w:afterLines="20"/>
      </w:pPr>
      <w:r>
        <w:rPr>
          <w:rStyle w:val="medium"/>
          <w:b/>
          <w:bCs/>
        </w:rPr>
        <w:t>EMS</w:t>
      </w:r>
      <w:r>
        <w:rPr>
          <w:rStyle w:val="medium"/>
          <w:b/>
          <w:bCs/>
        </w:rPr>
        <w:tab/>
      </w:r>
      <w:r>
        <w:t>Environmental Management System</w:t>
      </w:r>
    </w:p>
    <w:p w:rsidR="000D6E6A" w:rsidP="00390ABD" w:rsidRDefault="000D6E6A">
      <w:pPr>
        <w:pStyle w:val="bodycopytabletable"/>
        <w:tabs>
          <w:tab w:val="left" w:pos="1720"/>
        </w:tabs>
        <w:spacing w:after="48" w:afterLines="20"/>
      </w:pPr>
      <w:r>
        <w:rPr>
          <w:rStyle w:val="medium"/>
          <w:b/>
          <w:bCs/>
        </w:rPr>
        <w:t xml:space="preserve">EMV </w:t>
      </w:r>
      <w:r>
        <w:rPr>
          <w:rStyle w:val="medium"/>
          <w:b/>
          <w:bCs/>
        </w:rPr>
        <w:tab/>
      </w:r>
      <w:r>
        <w:t xml:space="preserve">Emergency Management Victoria </w:t>
      </w:r>
    </w:p>
    <w:p w:rsidR="000D6E6A" w:rsidP="00390ABD" w:rsidRDefault="000D6E6A">
      <w:pPr>
        <w:pStyle w:val="bodycopytabletable"/>
        <w:tabs>
          <w:tab w:val="left" w:pos="1720"/>
        </w:tabs>
        <w:spacing w:after="48" w:afterLines="20"/>
      </w:pPr>
      <w:r>
        <w:rPr>
          <w:rStyle w:val="medium"/>
          <w:b/>
          <w:bCs/>
        </w:rPr>
        <w:t>EN</w:t>
      </w:r>
      <w:r>
        <w:rPr>
          <w:rStyle w:val="medium"/>
          <w:b/>
          <w:bCs/>
        </w:rPr>
        <w:tab/>
      </w:r>
      <w:r>
        <w:t>Environmental indicators</w:t>
      </w:r>
    </w:p>
    <w:p w:rsidR="000D6E6A" w:rsidP="00390ABD" w:rsidRDefault="000D6E6A">
      <w:pPr>
        <w:pStyle w:val="bodycopytabletable"/>
        <w:tabs>
          <w:tab w:val="left" w:pos="1720"/>
        </w:tabs>
        <w:spacing w:after="48" w:afterLines="20"/>
      </w:pPr>
      <w:r>
        <w:rPr>
          <w:rStyle w:val="medium"/>
          <w:b/>
          <w:bCs/>
        </w:rPr>
        <w:t>EO</w:t>
      </w:r>
      <w:r>
        <w:rPr>
          <w:rStyle w:val="medium"/>
          <w:b/>
          <w:bCs/>
        </w:rPr>
        <w:tab/>
      </w:r>
      <w:r>
        <w:t>Executive officer</w:t>
      </w:r>
    </w:p>
    <w:p w:rsidR="000D6E6A" w:rsidP="00390ABD" w:rsidRDefault="000D6E6A">
      <w:pPr>
        <w:pStyle w:val="bodycopytabletable"/>
        <w:tabs>
          <w:tab w:val="left" w:pos="1720"/>
        </w:tabs>
        <w:spacing w:after="48" w:afterLines="20"/>
      </w:pPr>
      <w:r>
        <w:rPr>
          <w:rStyle w:val="medium"/>
          <w:b/>
          <w:bCs/>
        </w:rPr>
        <w:t xml:space="preserve">FOI </w:t>
      </w:r>
      <w:r>
        <w:rPr>
          <w:rStyle w:val="medium"/>
          <w:b/>
          <w:bCs/>
        </w:rPr>
        <w:tab/>
      </w:r>
      <w:r>
        <w:t xml:space="preserve">Freedom of Information </w:t>
      </w:r>
    </w:p>
    <w:p w:rsidR="000D6E6A" w:rsidP="00390ABD" w:rsidRDefault="000D6E6A">
      <w:pPr>
        <w:pStyle w:val="bodycopytabletable"/>
        <w:tabs>
          <w:tab w:val="left" w:pos="1720"/>
        </w:tabs>
        <w:spacing w:after="48" w:afterLines="20"/>
      </w:pPr>
      <w:r>
        <w:rPr>
          <w:rStyle w:val="medium"/>
          <w:b/>
          <w:bCs/>
        </w:rPr>
        <w:t>FPO</w:t>
      </w:r>
      <w:r>
        <w:rPr>
          <w:rStyle w:val="medium"/>
          <w:b/>
          <w:bCs/>
        </w:rPr>
        <w:tab/>
      </w:r>
      <w:r>
        <w:t>Firearm Prohibition Order</w:t>
      </w:r>
    </w:p>
    <w:p w:rsidR="000D6E6A" w:rsidP="00390ABD" w:rsidRDefault="000D6E6A">
      <w:pPr>
        <w:pStyle w:val="bodycopytabletable"/>
        <w:tabs>
          <w:tab w:val="left" w:pos="1720"/>
        </w:tabs>
        <w:spacing w:after="48" w:afterLines="20"/>
      </w:pPr>
      <w:r>
        <w:rPr>
          <w:rStyle w:val="medium"/>
          <w:b/>
          <w:bCs/>
        </w:rPr>
        <w:t>FRD</w:t>
      </w:r>
      <w:r>
        <w:rPr>
          <w:rStyle w:val="medium"/>
          <w:b/>
          <w:bCs/>
        </w:rPr>
        <w:tab/>
      </w:r>
      <w:r>
        <w:t>Financial Reporting Directions</w:t>
      </w:r>
    </w:p>
    <w:p w:rsidR="000D6E6A" w:rsidP="00390ABD" w:rsidRDefault="000D6E6A">
      <w:pPr>
        <w:pStyle w:val="bodycopytabletable"/>
        <w:tabs>
          <w:tab w:val="left" w:pos="1720"/>
        </w:tabs>
        <w:spacing w:after="48" w:afterLines="20"/>
      </w:pPr>
      <w:r>
        <w:rPr>
          <w:rStyle w:val="medium"/>
          <w:b/>
          <w:bCs/>
        </w:rPr>
        <w:t xml:space="preserve">FTE </w:t>
      </w:r>
      <w:r>
        <w:rPr>
          <w:rStyle w:val="medium"/>
          <w:b/>
          <w:bCs/>
        </w:rPr>
        <w:tab/>
      </w:r>
      <w:r>
        <w:t xml:space="preserve">Full Time Equivalent </w:t>
      </w:r>
    </w:p>
    <w:p w:rsidR="000D6E6A" w:rsidP="00390ABD" w:rsidRDefault="000D6E6A">
      <w:pPr>
        <w:pStyle w:val="bodycopytabletable"/>
        <w:tabs>
          <w:tab w:val="left" w:pos="1720"/>
        </w:tabs>
        <w:spacing w:after="48" w:afterLines="20"/>
      </w:pPr>
      <w:r>
        <w:rPr>
          <w:rStyle w:val="medium"/>
          <w:b/>
          <w:bCs/>
        </w:rPr>
        <w:t>FVIN</w:t>
      </w:r>
      <w:r>
        <w:rPr>
          <w:rStyle w:val="medium"/>
          <w:b/>
          <w:bCs/>
        </w:rPr>
        <w:tab/>
      </w:r>
      <w:r>
        <w:t>Family Violence Intervention Orders</w:t>
      </w:r>
    </w:p>
    <w:p w:rsidR="000D6E6A" w:rsidP="00390ABD" w:rsidRDefault="000D6E6A">
      <w:pPr>
        <w:pStyle w:val="bodycopytabletable"/>
        <w:tabs>
          <w:tab w:val="left" w:pos="1720"/>
        </w:tabs>
        <w:spacing w:after="48" w:afterLines="20"/>
      </w:pPr>
      <w:r>
        <w:rPr>
          <w:rStyle w:val="medium"/>
          <w:b/>
          <w:bCs/>
        </w:rPr>
        <w:t>FVSN</w:t>
      </w:r>
      <w:r>
        <w:rPr>
          <w:rStyle w:val="medium"/>
          <w:b/>
          <w:bCs/>
        </w:rPr>
        <w:tab/>
      </w:r>
      <w:r>
        <w:t>Family Violence Safety Notice</w:t>
      </w:r>
    </w:p>
    <w:p w:rsidR="000D6E6A" w:rsidP="00390ABD" w:rsidRDefault="000D6E6A">
      <w:pPr>
        <w:pStyle w:val="bodycopytabletable"/>
        <w:tabs>
          <w:tab w:val="left" w:pos="1720"/>
        </w:tabs>
        <w:spacing w:after="48" w:afterLines="20"/>
      </w:pPr>
      <w:r>
        <w:rPr>
          <w:rStyle w:val="medium"/>
          <w:b/>
          <w:bCs/>
        </w:rPr>
        <w:t>HSRs</w:t>
      </w:r>
      <w:r>
        <w:rPr>
          <w:rStyle w:val="medium"/>
          <w:b/>
          <w:bCs/>
        </w:rPr>
        <w:tab/>
      </w:r>
      <w:r>
        <w:t>Health and Safety Representatives</w:t>
      </w:r>
    </w:p>
    <w:p w:rsidR="000D6E6A" w:rsidP="00390ABD" w:rsidRDefault="000D6E6A">
      <w:pPr>
        <w:pStyle w:val="bodycopytabletable"/>
        <w:tabs>
          <w:tab w:val="left" w:pos="1720"/>
        </w:tabs>
        <w:spacing w:after="48" w:afterLines="20"/>
      </w:pPr>
      <w:r>
        <w:rPr>
          <w:rStyle w:val="medium"/>
          <w:b/>
          <w:bCs/>
        </w:rPr>
        <w:t xml:space="preserve">ICT </w:t>
      </w:r>
      <w:r>
        <w:rPr>
          <w:rStyle w:val="medium"/>
          <w:b/>
          <w:bCs/>
        </w:rPr>
        <w:tab/>
      </w:r>
      <w:r>
        <w:t xml:space="preserve">Information Communication Technology </w:t>
      </w:r>
    </w:p>
    <w:p w:rsidR="000D6E6A" w:rsidP="00390ABD" w:rsidRDefault="000D6E6A">
      <w:pPr>
        <w:pStyle w:val="bodycopytabletable"/>
        <w:tabs>
          <w:tab w:val="left" w:pos="1720"/>
        </w:tabs>
        <w:spacing w:after="48" w:afterLines="20"/>
      </w:pPr>
      <w:r>
        <w:rPr>
          <w:rStyle w:val="medium"/>
          <w:b/>
          <w:bCs/>
        </w:rPr>
        <w:t xml:space="preserve">IGEM </w:t>
      </w:r>
      <w:r>
        <w:rPr>
          <w:rStyle w:val="medium"/>
          <w:b/>
          <w:bCs/>
        </w:rPr>
        <w:tab/>
      </w:r>
      <w:r>
        <w:t xml:space="preserve">Inspector–General for Emergency Management </w:t>
      </w:r>
    </w:p>
    <w:p w:rsidR="000D6E6A" w:rsidP="00390ABD" w:rsidRDefault="000D6E6A">
      <w:pPr>
        <w:pStyle w:val="bodycopytabletable"/>
        <w:tabs>
          <w:tab w:val="left" w:pos="1720"/>
        </w:tabs>
        <w:spacing w:after="48" w:afterLines="20"/>
      </w:pPr>
      <w:r>
        <w:rPr>
          <w:rStyle w:val="medium"/>
          <w:b/>
          <w:bCs/>
        </w:rPr>
        <w:t>IMES</w:t>
      </w:r>
      <w:r>
        <w:rPr>
          <w:rStyle w:val="medium"/>
          <w:b/>
          <w:bCs/>
        </w:rPr>
        <w:tab/>
      </w:r>
      <w:r>
        <w:t xml:space="preserve">Infringement Management and Enforcement Services </w:t>
      </w:r>
    </w:p>
    <w:p w:rsidR="000D6E6A" w:rsidP="00390ABD" w:rsidRDefault="000D6E6A">
      <w:pPr>
        <w:pStyle w:val="bodycopytabletable"/>
        <w:tabs>
          <w:tab w:val="left" w:pos="1720"/>
        </w:tabs>
        <w:spacing w:after="48" w:afterLines="20"/>
      </w:pPr>
      <w:r>
        <w:rPr>
          <w:rStyle w:val="medium"/>
          <w:b/>
          <w:bCs/>
        </w:rPr>
        <w:t xml:space="preserve">JARO </w:t>
      </w:r>
      <w:r>
        <w:rPr>
          <w:rStyle w:val="medium"/>
          <w:b/>
          <w:bCs/>
        </w:rPr>
        <w:tab/>
      </w:r>
      <w:r>
        <w:t xml:space="preserve">Justice Assurance and Review Office </w:t>
      </w:r>
    </w:p>
    <w:p w:rsidR="000D6E6A" w:rsidP="00390ABD" w:rsidRDefault="000D6E6A">
      <w:pPr>
        <w:pStyle w:val="bodycopytabletable"/>
        <w:tabs>
          <w:tab w:val="left" w:pos="1720"/>
        </w:tabs>
        <w:spacing w:after="48" w:afterLines="20"/>
      </w:pPr>
      <w:r>
        <w:rPr>
          <w:rStyle w:val="medium"/>
          <w:b/>
          <w:bCs/>
        </w:rPr>
        <w:t>JSC</w:t>
      </w:r>
      <w:r>
        <w:rPr>
          <w:rStyle w:val="medium"/>
          <w:b/>
          <w:bCs/>
        </w:rPr>
        <w:tab/>
      </w:r>
      <w:r>
        <w:t>Justice Service Centre</w:t>
      </w:r>
    </w:p>
    <w:p w:rsidR="000D6E6A" w:rsidP="00390ABD" w:rsidRDefault="000D6E6A">
      <w:pPr>
        <w:pStyle w:val="bodycopytabletable"/>
        <w:tabs>
          <w:tab w:val="left" w:pos="1720"/>
        </w:tabs>
        <w:spacing w:after="48" w:afterLines="20"/>
      </w:pPr>
      <w:r>
        <w:rPr>
          <w:rStyle w:val="medium"/>
          <w:b/>
          <w:bCs/>
        </w:rPr>
        <w:t xml:space="preserve">JSEG </w:t>
      </w:r>
      <w:r>
        <w:rPr>
          <w:rStyle w:val="medium"/>
          <w:b/>
          <w:bCs/>
        </w:rPr>
        <w:tab/>
      </w:r>
      <w:r>
        <w:t xml:space="preserve">Justice Senior Executive Group </w:t>
      </w:r>
    </w:p>
    <w:p w:rsidR="000D6E6A" w:rsidP="00390ABD" w:rsidRDefault="000D6E6A">
      <w:pPr>
        <w:pStyle w:val="bodycopytabletable"/>
        <w:tabs>
          <w:tab w:val="left" w:pos="1720"/>
        </w:tabs>
        <w:spacing w:after="48" w:afterLines="20"/>
      </w:pPr>
      <w:r>
        <w:rPr>
          <w:rStyle w:val="medium"/>
          <w:b/>
          <w:bCs/>
        </w:rPr>
        <w:t xml:space="preserve">LGBTI </w:t>
      </w:r>
      <w:r>
        <w:rPr>
          <w:rStyle w:val="medium"/>
          <w:b/>
          <w:bCs/>
        </w:rPr>
        <w:tab/>
      </w:r>
      <w:r>
        <w:t xml:space="preserve">Lesbian, gay, bisexual, trans and gender diverse, and intersex </w:t>
      </w:r>
    </w:p>
    <w:p w:rsidR="000D6E6A" w:rsidP="00390ABD" w:rsidRDefault="000D6E6A">
      <w:pPr>
        <w:pStyle w:val="bodycopytabletable"/>
        <w:tabs>
          <w:tab w:val="left" w:pos="1720"/>
        </w:tabs>
        <w:spacing w:after="48" w:afterLines="20"/>
      </w:pPr>
      <w:r>
        <w:rPr>
          <w:rStyle w:val="medium"/>
          <w:b/>
          <w:bCs/>
        </w:rPr>
        <w:t>LPG</w:t>
      </w:r>
      <w:r>
        <w:rPr>
          <w:rStyle w:val="medium"/>
          <w:b/>
          <w:bCs/>
        </w:rPr>
        <w:tab/>
      </w:r>
      <w:r>
        <w:t>Liquefied petroleum gas</w:t>
      </w:r>
    </w:p>
    <w:p w:rsidR="000D6E6A" w:rsidP="00390ABD" w:rsidRDefault="000D6E6A">
      <w:pPr>
        <w:pStyle w:val="bodycopytabletable"/>
        <w:tabs>
          <w:tab w:val="left" w:pos="1720"/>
        </w:tabs>
        <w:spacing w:after="48" w:afterLines="20"/>
      </w:pPr>
      <w:r>
        <w:rPr>
          <w:rStyle w:val="medium"/>
          <w:b/>
          <w:bCs/>
        </w:rPr>
        <w:t>MFB</w:t>
      </w:r>
      <w:r>
        <w:rPr>
          <w:rStyle w:val="medium"/>
          <w:b/>
          <w:bCs/>
        </w:rPr>
        <w:tab/>
      </w:r>
      <w:r>
        <w:t>Metropolitan Fire and Emergency Services Board</w:t>
      </w:r>
    </w:p>
    <w:p w:rsidR="000D6E6A" w:rsidP="00390ABD" w:rsidRDefault="000D6E6A">
      <w:pPr>
        <w:pStyle w:val="bodycopytabletable"/>
        <w:tabs>
          <w:tab w:val="left" w:pos="1720"/>
        </w:tabs>
        <w:spacing w:after="48" w:afterLines="20"/>
      </w:pPr>
      <w:r>
        <w:rPr>
          <w:rStyle w:val="medium"/>
          <w:b/>
          <w:bCs/>
        </w:rPr>
        <w:t xml:space="preserve">MSAR </w:t>
      </w:r>
      <w:r>
        <w:rPr>
          <w:rStyle w:val="medium"/>
          <w:b/>
          <w:bCs/>
        </w:rPr>
        <w:tab/>
      </w:r>
      <w:r>
        <w:t xml:space="preserve">Marine Search and Rescue </w:t>
      </w:r>
    </w:p>
    <w:p w:rsidR="000D6E6A" w:rsidP="00390ABD" w:rsidRDefault="000D6E6A">
      <w:pPr>
        <w:pStyle w:val="bodycopytabletable"/>
        <w:tabs>
          <w:tab w:val="left" w:pos="1720"/>
        </w:tabs>
        <w:spacing w:after="48" w:afterLines="20"/>
      </w:pPr>
      <w:r>
        <w:rPr>
          <w:rStyle w:val="medium"/>
          <w:b/>
          <w:bCs/>
        </w:rPr>
        <w:t>NDIS</w:t>
      </w:r>
      <w:r>
        <w:rPr>
          <w:rStyle w:val="medium"/>
          <w:b/>
          <w:bCs/>
        </w:rPr>
        <w:tab/>
      </w:r>
      <w:r>
        <w:t>National Disability Insurance Scheme</w:t>
      </w:r>
    </w:p>
    <w:p w:rsidR="000D6E6A" w:rsidP="00390ABD" w:rsidRDefault="000D6E6A">
      <w:pPr>
        <w:pStyle w:val="bodycopytabletable"/>
        <w:tabs>
          <w:tab w:val="left" w:pos="1720"/>
        </w:tabs>
        <w:spacing w:after="48" w:afterLines="20"/>
      </w:pPr>
      <w:r>
        <w:rPr>
          <w:rStyle w:val="medium"/>
          <w:b/>
          <w:bCs/>
        </w:rPr>
        <w:t>NGO</w:t>
      </w:r>
      <w:r>
        <w:rPr>
          <w:rStyle w:val="medium"/>
          <w:b/>
          <w:bCs/>
        </w:rPr>
        <w:tab/>
      </w:r>
      <w:r>
        <w:t>Non-government organisations</w:t>
      </w:r>
    </w:p>
    <w:p w:rsidR="000D6E6A" w:rsidP="00390ABD" w:rsidRDefault="000D6E6A">
      <w:pPr>
        <w:pStyle w:val="bodycopytabletable"/>
        <w:tabs>
          <w:tab w:val="left" w:pos="1720"/>
        </w:tabs>
        <w:spacing w:after="48" w:afterLines="20"/>
      </w:pPr>
      <w:r>
        <w:rPr>
          <w:rStyle w:val="medium"/>
          <w:b/>
          <w:bCs/>
        </w:rPr>
        <w:t xml:space="preserve">NJC </w:t>
      </w:r>
      <w:r>
        <w:rPr>
          <w:rStyle w:val="medium"/>
          <w:b/>
          <w:bCs/>
        </w:rPr>
        <w:tab/>
      </w:r>
      <w:r>
        <w:t xml:space="preserve">Neighbourhood Justice Centre </w:t>
      </w:r>
    </w:p>
    <w:p w:rsidR="000D6E6A" w:rsidP="00390ABD" w:rsidRDefault="000D6E6A">
      <w:pPr>
        <w:pStyle w:val="bodycopytabletable"/>
        <w:tabs>
          <w:tab w:val="left" w:pos="1720"/>
        </w:tabs>
        <w:spacing w:after="48" w:afterLines="20"/>
      </w:pPr>
      <w:r>
        <w:rPr>
          <w:rStyle w:val="medium"/>
          <w:b/>
          <w:bCs/>
        </w:rPr>
        <w:t xml:space="preserve">NPALAS </w:t>
      </w:r>
      <w:r>
        <w:rPr>
          <w:rStyle w:val="medium"/>
          <w:b/>
          <w:bCs/>
        </w:rPr>
        <w:tab/>
      </w:r>
      <w:r>
        <w:t xml:space="preserve">National Partnership Agreement on Legal Assistance Services </w:t>
      </w:r>
    </w:p>
    <w:p w:rsidR="000D6E6A" w:rsidP="00390ABD" w:rsidRDefault="000D6E6A">
      <w:pPr>
        <w:pStyle w:val="bodycopytabletable"/>
        <w:tabs>
          <w:tab w:val="left" w:pos="1720"/>
        </w:tabs>
        <w:spacing w:after="48" w:afterLines="20"/>
      </w:pPr>
      <w:r>
        <w:rPr>
          <w:rStyle w:val="medium"/>
          <w:b/>
          <w:bCs/>
        </w:rPr>
        <w:t>NRT</w:t>
      </w:r>
      <w:r>
        <w:rPr>
          <w:rStyle w:val="medium"/>
          <w:b/>
          <w:bCs/>
        </w:rPr>
        <w:tab/>
      </w:r>
      <w:r>
        <w:t>Nicotine replacement therapy</w:t>
      </w:r>
    </w:p>
    <w:p w:rsidR="000D6E6A" w:rsidP="00390ABD" w:rsidRDefault="000D6E6A">
      <w:pPr>
        <w:pStyle w:val="bodycopytabletable"/>
        <w:tabs>
          <w:tab w:val="left" w:pos="1720"/>
        </w:tabs>
        <w:spacing w:after="48" w:afterLines="20"/>
      </w:pPr>
      <w:r>
        <w:rPr>
          <w:rStyle w:val="medium"/>
          <w:b/>
          <w:bCs/>
        </w:rPr>
        <w:t>OCSR</w:t>
      </w:r>
      <w:r>
        <w:rPr>
          <w:rStyle w:val="medium"/>
          <w:b/>
          <w:bCs/>
        </w:rPr>
        <w:tab/>
      </w:r>
      <w:r>
        <w:t>Office of Correctional Services Review</w:t>
      </w:r>
    </w:p>
    <w:p w:rsidR="000D6E6A" w:rsidP="00390ABD" w:rsidRDefault="000D6E6A">
      <w:pPr>
        <w:pStyle w:val="bodycopytabletable"/>
        <w:tabs>
          <w:tab w:val="left" w:pos="1720"/>
        </w:tabs>
        <w:spacing w:after="48" w:afterLines="20"/>
      </w:pPr>
      <w:r>
        <w:rPr>
          <w:rStyle w:val="medium"/>
          <w:b/>
          <w:bCs/>
        </w:rPr>
        <w:t>OHS</w:t>
      </w:r>
      <w:r>
        <w:rPr>
          <w:rStyle w:val="medium"/>
          <w:b/>
          <w:bCs/>
        </w:rPr>
        <w:tab/>
      </w:r>
      <w:r>
        <w:t>Occupational health and safety</w:t>
      </w:r>
    </w:p>
    <w:p w:rsidR="000D6E6A" w:rsidP="00390ABD" w:rsidRDefault="000D6E6A">
      <w:pPr>
        <w:pStyle w:val="bodycopytabletable"/>
        <w:tabs>
          <w:tab w:val="left" w:pos="1720"/>
        </w:tabs>
        <w:spacing w:after="48" w:afterLines="20"/>
      </w:pPr>
      <w:r>
        <w:rPr>
          <w:rStyle w:val="medium"/>
          <w:b/>
          <w:bCs/>
        </w:rPr>
        <w:t xml:space="preserve">OPA </w:t>
      </w:r>
      <w:r>
        <w:rPr>
          <w:rStyle w:val="medium"/>
          <w:b/>
          <w:bCs/>
        </w:rPr>
        <w:tab/>
      </w:r>
      <w:r>
        <w:t xml:space="preserve">Office of the Public Advocate </w:t>
      </w:r>
    </w:p>
    <w:p w:rsidR="000D6E6A" w:rsidP="00390ABD" w:rsidRDefault="000D6E6A">
      <w:pPr>
        <w:pStyle w:val="bodycopytabletable"/>
        <w:tabs>
          <w:tab w:val="left" w:pos="1720"/>
        </w:tabs>
        <w:spacing w:after="48" w:afterLines="20"/>
      </w:pPr>
      <w:r>
        <w:rPr>
          <w:rStyle w:val="medium"/>
          <w:b/>
          <w:bCs/>
        </w:rPr>
        <w:t xml:space="preserve">OPP </w:t>
      </w:r>
      <w:r>
        <w:rPr>
          <w:rStyle w:val="medium"/>
          <w:b/>
          <w:bCs/>
        </w:rPr>
        <w:tab/>
      </w:r>
      <w:r>
        <w:t xml:space="preserve">Office of Public Prosecutions </w:t>
      </w:r>
    </w:p>
    <w:p w:rsidR="000D6E6A" w:rsidP="00390ABD" w:rsidRDefault="000D6E6A">
      <w:pPr>
        <w:pStyle w:val="bodycopytabletable"/>
        <w:tabs>
          <w:tab w:val="left" w:pos="1720"/>
        </w:tabs>
        <w:spacing w:after="48" w:afterLines="20"/>
      </w:pPr>
      <w:r>
        <w:rPr>
          <w:rStyle w:val="medium"/>
          <w:b/>
          <w:bCs/>
        </w:rPr>
        <w:t>OVIC</w:t>
      </w:r>
      <w:r>
        <w:rPr>
          <w:rStyle w:val="medium"/>
          <w:b/>
          <w:bCs/>
        </w:rPr>
        <w:tab/>
      </w:r>
      <w:r>
        <w:t>Office of the Victorian Information Commissioner</w:t>
      </w:r>
    </w:p>
    <w:p w:rsidR="000D6E6A" w:rsidP="00390ABD" w:rsidRDefault="000D6E6A">
      <w:pPr>
        <w:pStyle w:val="bodycopytabletable"/>
        <w:tabs>
          <w:tab w:val="left" w:pos="1720"/>
        </w:tabs>
        <w:spacing w:after="48" w:afterLines="20"/>
      </w:pPr>
      <w:r>
        <w:rPr>
          <w:rStyle w:val="medium"/>
          <w:b/>
          <w:bCs/>
        </w:rPr>
        <w:t xml:space="preserve">PCOs </w:t>
      </w:r>
      <w:r>
        <w:rPr>
          <w:rStyle w:val="medium"/>
          <w:b/>
          <w:bCs/>
        </w:rPr>
        <w:tab/>
      </w:r>
      <w:r>
        <w:t xml:space="preserve">Police Custody Officers </w:t>
      </w:r>
    </w:p>
    <w:p w:rsidR="000D6E6A" w:rsidP="00390ABD" w:rsidRDefault="000D6E6A">
      <w:pPr>
        <w:pStyle w:val="bodycopytabletable"/>
        <w:tabs>
          <w:tab w:val="left" w:pos="1720"/>
        </w:tabs>
        <w:spacing w:after="48" w:afterLines="20"/>
      </w:pPr>
      <w:r>
        <w:rPr>
          <w:rStyle w:val="medium"/>
          <w:b/>
          <w:bCs/>
        </w:rPr>
        <w:t xml:space="preserve">PSO </w:t>
      </w:r>
      <w:r>
        <w:rPr>
          <w:rStyle w:val="medium"/>
          <w:b/>
          <w:bCs/>
        </w:rPr>
        <w:tab/>
      </w:r>
      <w:r>
        <w:t xml:space="preserve">Protective Services Officer </w:t>
      </w:r>
    </w:p>
    <w:p w:rsidR="000D6E6A" w:rsidP="00390ABD" w:rsidRDefault="000D6E6A">
      <w:pPr>
        <w:pStyle w:val="bodycopytabletable"/>
        <w:tabs>
          <w:tab w:val="left" w:pos="1720"/>
        </w:tabs>
        <w:spacing w:after="48" w:afterLines="20"/>
      </w:pPr>
      <w:r>
        <w:rPr>
          <w:rStyle w:val="medium"/>
          <w:b/>
          <w:bCs/>
        </w:rPr>
        <w:t xml:space="preserve">RAJAC </w:t>
      </w:r>
      <w:r>
        <w:rPr>
          <w:rStyle w:val="medium"/>
          <w:b/>
          <w:bCs/>
        </w:rPr>
        <w:tab/>
      </w:r>
      <w:r>
        <w:t xml:space="preserve">Regional Aboriginal Justice Advisory Committee </w:t>
      </w:r>
    </w:p>
    <w:p w:rsidR="000D6E6A" w:rsidP="00390ABD" w:rsidRDefault="000D6E6A">
      <w:pPr>
        <w:pStyle w:val="bodycopytabletable"/>
        <w:tabs>
          <w:tab w:val="left" w:pos="1720"/>
        </w:tabs>
        <w:spacing w:after="48" w:afterLines="20"/>
      </w:pPr>
      <w:r>
        <w:rPr>
          <w:rStyle w:val="medium"/>
          <w:b/>
          <w:bCs/>
        </w:rPr>
        <w:lastRenderedPageBreak/>
        <w:t>ROGS</w:t>
      </w:r>
      <w:r>
        <w:rPr>
          <w:rStyle w:val="medium"/>
          <w:b/>
          <w:bCs/>
        </w:rPr>
        <w:tab/>
      </w:r>
      <w:r>
        <w:t>Report on Government Services</w:t>
      </w:r>
    </w:p>
    <w:p w:rsidR="000D6E6A" w:rsidP="00390ABD" w:rsidRDefault="000D6E6A">
      <w:pPr>
        <w:pStyle w:val="bodycopytabletable"/>
        <w:tabs>
          <w:tab w:val="left" w:pos="1720"/>
        </w:tabs>
        <w:spacing w:after="48" w:afterLines="20"/>
      </w:pPr>
      <w:r>
        <w:rPr>
          <w:rStyle w:val="medium"/>
          <w:b/>
          <w:bCs/>
        </w:rPr>
        <w:t>RSN</w:t>
      </w:r>
      <w:r>
        <w:rPr>
          <w:rStyle w:val="medium"/>
          <w:b/>
          <w:bCs/>
        </w:rPr>
        <w:tab/>
      </w:r>
      <w:r>
        <w:t>Regional Service Network</w:t>
      </w:r>
    </w:p>
    <w:p w:rsidR="000D6E6A" w:rsidP="00390ABD" w:rsidRDefault="000D6E6A">
      <w:pPr>
        <w:pStyle w:val="bodycopytabletable"/>
        <w:tabs>
          <w:tab w:val="left" w:pos="1720"/>
        </w:tabs>
        <w:spacing w:after="48" w:afterLines="20"/>
      </w:pPr>
      <w:r>
        <w:rPr>
          <w:rStyle w:val="medium"/>
          <w:b/>
          <w:bCs/>
        </w:rPr>
        <w:t>RV</w:t>
      </w:r>
      <w:r>
        <w:rPr>
          <w:rStyle w:val="medium"/>
          <w:b/>
          <w:bCs/>
        </w:rPr>
        <w:tab/>
      </w:r>
      <w:r>
        <w:t>Racing Victoria Limited</w:t>
      </w:r>
    </w:p>
    <w:p w:rsidR="000D6E6A" w:rsidP="00390ABD" w:rsidRDefault="000D6E6A">
      <w:pPr>
        <w:pStyle w:val="bodycopytabletable"/>
        <w:tabs>
          <w:tab w:val="left" w:pos="1720"/>
        </w:tabs>
        <w:spacing w:after="48" w:afterLines="20"/>
      </w:pPr>
      <w:r>
        <w:rPr>
          <w:rStyle w:val="medium"/>
          <w:b/>
          <w:bCs/>
        </w:rPr>
        <w:t>SAC</w:t>
      </w:r>
      <w:r>
        <w:rPr>
          <w:rStyle w:val="medium"/>
          <w:b/>
          <w:bCs/>
        </w:rPr>
        <w:tab/>
      </w:r>
      <w:r>
        <w:t>Sentencing Advisory Council</w:t>
      </w:r>
    </w:p>
    <w:p w:rsidR="000D6E6A" w:rsidP="00390ABD" w:rsidRDefault="000D6E6A">
      <w:pPr>
        <w:pStyle w:val="bodycopytabletable"/>
        <w:tabs>
          <w:tab w:val="left" w:pos="1720"/>
        </w:tabs>
        <w:spacing w:after="48" w:afterLines="20"/>
      </w:pPr>
      <w:r>
        <w:rPr>
          <w:rStyle w:val="medium"/>
          <w:b/>
          <w:bCs/>
        </w:rPr>
        <w:t xml:space="preserve">SAP </w:t>
      </w:r>
      <w:r>
        <w:rPr>
          <w:rStyle w:val="medium"/>
          <w:b/>
          <w:bCs/>
        </w:rPr>
        <w:tab/>
      </w:r>
      <w:r>
        <w:t xml:space="preserve">Strategic Action Plan </w:t>
      </w:r>
    </w:p>
    <w:p w:rsidR="000D6E6A" w:rsidP="00390ABD" w:rsidRDefault="000D6E6A">
      <w:pPr>
        <w:pStyle w:val="bodycopytabletable"/>
        <w:tabs>
          <w:tab w:val="left" w:pos="1720"/>
        </w:tabs>
        <w:spacing w:after="48" w:afterLines="20"/>
      </w:pPr>
      <w:r>
        <w:rPr>
          <w:rStyle w:val="medium"/>
          <w:b/>
          <w:bCs/>
        </w:rPr>
        <w:t>SCC</w:t>
      </w:r>
      <w:r>
        <w:rPr>
          <w:rStyle w:val="medium"/>
          <w:b/>
          <w:bCs/>
        </w:rPr>
        <w:tab/>
      </w:r>
      <w:r>
        <w:t>State Control Centre</w:t>
      </w:r>
    </w:p>
    <w:p w:rsidR="000D6E6A" w:rsidP="00390ABD" w:rsidRDefault="000D6E6A">
      <w:pPr>
        <w:pStyle w:val="bodycopytabletable"/>
        <w:tabs>
          <w:tab w:val="left" w:pos="1720"/>
        </w:tabs>
        <w:spacing w:after="48" w:afterLines="20"/>
      </w:pPr>
      <w:r>
        <w:rPr>
          <w:rStyle w:val="medium"/>
          <w:b/>
          <w:bCs/>
        </w:rPr>
        <w:t xml:space="preserve">SCRC </w:t>
      </w:r>
      <w:r>
        <w:rPr>
          <w:rStyle w:val="medium"/>
          <w:b/>
          <w:bCs/>
        </w:rPr>
        <w:tab/>
      </w:r>
      <w:r>
        <w:t xml:space="preserve">State Crisis and Resilience Council </w:t>
      </w:r>
    </w:p>
    <w:p w:rsidR="000D6E6A" w:rsidP="00390ABD" w:rsidRDefault="000D6E6A">
      <w:pPr>
        <w:pStyle w:val="bodycopytabletable"/>
        <w:tabs>
          <w:tab w:val="left" w:pos="1720"/>
        </w:tabs>
        <w:spacing w:after="48" w:afterLines="20"/>
      </w:pPr>
      <w:r>
        <w:rPr>
          <w:rStyle w:val="medium"/>
          <w:b/>
          <w:bCs/>
        </w:rPr>
        <w:t>SERT</w:t>
      </w:r>
      <w:r>
        <w:rPr>
          <w:rStyle w:val="medium"/>
          <w:b/>
          <w:bCs/>
        </w:rPr>
        <w:tab/>
      </w:r>
      <w:r>
        <w:t>Safety and Emergency Response Team</w:t>
      </w:r>
    </w:p>
    <w:p w:rsidR="000D6E6A" w:rsidP="00390ABD" w:rsidRDefault="000D6E6A">
      <w:pPr>
        <w:pStyle w:val="bodycopytabletable"/>
        <w:tabs>
          <w:tab w:val="left" w:pos="1720"/>
        </w:tabs>
        <w:spacing w:after="48" w:afterLines="20"/>
      </w:pPr>
      <w:r>
        <w:rPr>
          <w:rStyle w:val="medium"/>
          <w:b/>
          <w:bCs/>
        </w:rPr>
        <w:t>SFPP</w:t>
      </w:r>
      <w:r>
        <w:rPr>
          <w:rStyle w:val="medium"/>
          <w:b/>
          <w:bCs/>
        </w:rPr>
        <w:tab/>
      </w:r>
      <w:r>
        <w:t>Smoke-free prison policy</w:t>
      </w:r>
    </w:p>
    <w:p w:rsidR="000D6E6A" w:rsidP="00390ABD" w:rsidRDefault="000D6E6A">
      <w:pPr>
        <w:pStyle w:val="bodycopytabletable"/>
        <w:tabs>
          <w:tab w:val="left" w:pos="1720"/>
        </w:tabs>
        <w:spacing w:after="48" w:afterLines="20"/>
      </w:pPr>
      <w:r>
        <w:rPr>
          <w:rStyle w:val="medium"/>
          <w:b/>
          <w:bCs/>
        </w:rPr>
        <w:t>TEI</w:t>
      </w:r>
      <w:r>
        <w:rPr>
          <w:rStyle w:val="medium"/>
          <w:b/>
          <w:bCs/>
        </w:rPr>
        <w:tab/>
      </w:r>
      <w:r>
        <w:t>Total estimated investment</w:t>
      </w:r>
    </w:p>
    <w:p w:rsidR="000D6E6A" w:rsidP="00390ABD" w:rsidRDefault="000D6E6A">
      <w:pPr>
        <w:pStyle w:val="bodycopytabletable"/>
        <w:tabs>
          <w:tab w:val="left" w:pos="1720"/>
        </w:tabs>
        <w:spacing w:after="48" w:afterLines="20"/>
      </w:pPr>
      <w:r>
        <w:rPr>
          <w:rStyle w:val="medium"/>
          <w:b/>
          <w:bCs/>
        </w:rPr>
        <w:t xml:space="preserve">VAP </w:t>
      </w:r>
      <w:r>
        <w:rPr>
          <w:rStyle w:val="medium"/>
          <w:b/>
          <w:bCs/>
        </w:rPr>
        <w:tab/>
      </w:r>
      <w:r>
        <w:t xml:space="preserve">Victims Assistance Program </w:t>
      </w:r>
    </w:p>
    <w:p w:rsidR="000D6E6A" w:rsidP="00390ABD" w:rsidRDefault="000D6E6A">
      <w:pPr>
        <w:pStyle w:val="bodycopytabletable"/>
        <w:tabs>
          <w:tab w:val="left" w:pos="1720"/>
        </w:tabs>
        <w:spacing w:after="48" w:afterLines="20"/>
      </w:pPr>
      <w:r>
        <w:rPr>
          <w:rStyle w:val="medium"/>
          <w:b/>
          <w:bCs/>
        </w:rPr>
        <w:t xml:space="preserve">VCAT </w:t>
      </w:r>
      <w:r>
        <w:rPr>
          <w:rStyle w:val="medium"/>
          <w:b/>
          <w:bCs/>
        </w:rPr>
        <w:tab/>
      </w:r>
      <w:r>
        <w:t xml:space="preserve">Victorian Civil and Administrative Tribunal </w:t>
      </w:r>
    </w:p>
    <w:p w:rsidR="000D6E6A" w:rsidP="00390ABD" w:rsidRDefault="000D6E6A">
      <w:pPr>
        <w:pStyle w:val="bodycopytabletable"/>
        <w:tabs>
          <w:tab w:val="left" w:pos="1720"/>
        </w:tabs>
        <w:spacing w:after="48" w:afterLines="20"/>
      </w:pPr>
      <w:r>
        <w:rPr>
          <w:rStyle w:val="medium"/>
          <w:b/>
          <w:bCs/>
        </w:rPr>
        <w:t xml:space="preserve">VCGLR </w:t>
      </w:r>
      <w:r>
        <w:rPr>
          <w:rStyle w:val="medium"/>
          <w:b/>
          <w:bCs/>
        </w:rPr>
        <w:tab/>
      </w:r>
      <w:r>
        <w:t xml:space="preserve">Victorian Commission for Gambling and Liquor Regulation </w:t>
      </w:r>
    </w:p>
    <w:p w:rsidR="000D6E6A" w:rsidP="00390ABD" w:rsidRDefault="000D6E6A">
      <w:pPr>
        <w:pStyle w:val="bodycopytabletable"/>
        <w:tabs>
          <w:tab w:val="left" w:pos="1720"/>
        </w:tabs>
        <w:spacing w:after="48" w:afterLines="20"/>
      </w:pPr>
      <w:r>
        <w:rPr>
          <w:rStyle w:val="medium"/>
          <w:b/>
          <w:bCs/>
        </w:rPr>
        <w:t xml:space="preserve">VEOHRC </w:t>
      </w:r>
      <w:r>
        <w:rPr>
          <w:rStyle w:val="medium"/>
          <w:b/>
          <w:bCs/>
        </w:rPr>
        <w:tab/>
      </w:r>
      <w:r>
        <w:t xml:space="preserve">Victorian Equal Opportunity and Human Rights Commission </w:t>
      </w:r>
    </w:p>
    <w:p w:rsidR="000D6E6A" w:rsidP="00390ABD" w:rsidRDefault="000D6E6A">
      <w:pPr>
        <w:pStyle w:val="bodycopytabletable"/>
        <w:tabs>
          <w:tab w:val="left" w:pos="1720"/>
        </w:tabs>
        <w:spacing w:after="48" w:afterLines="20"/>
      </w:pPr>
      <w:r>
        <w:rPr>
          <w:rStyle w:val="medium"/>
          <w:b/>
          <w:bCs/>
        </w:rPr>
        <w:t>VICSES</w:t>
      </w:r>
      <w:r>
        <w:rPr>
          <w:rStyle w:val="medium"/>
          <w:b/>
          <w:bCs/>
        </w:rPr>
        <w:tab/>
      </w:r>
      <w:r>
        <w:t>Victorian State Emergency Services</w:t>
      </w:r>
    </w:p>
    <w:p w:rsidR="000D6E6A" w:rsidP="00390ABD" w:rsidRDefault="000D6E6A">
      <w:pPr>
        <w:pStyle w:val="bodycopytabletable"/>
        <w:tabs>
          <w:tab w:val="left" w:pos="1720"/>
        </w:tabs>
        <w:spacing w:after="48" w:afterLines="20"/>
      </w:pPr>
      <w:r>
        <w:rPr>
          <w:rStyle w:val="medium"/>
          <w:b/>
          <w:bCs/>
        </w:rPr>
        <w:t xml:space="preserve">VIFM </w:t>
      </w:r>
      <w:r>
        <w:rPr>
          <w:rStyle w:val="medium"/>
          <w:b/>
          <w:bCs/>
        </w:rPr>
        <w:tab/>
      </w:r>
      <w:r>
        <w:t xml:space="preserve">Victorian Institute of Forensic Medicine </w:t>
      </w:r>
    </w:p>
    <w:p w:rsidR="000D6E6A" w:rsidP="00390ABD" w:rsidRDefault="000D6E6A">
      <w:pPr>
        <w:pStyle w:val="bodycopytabletable"/>
        <w:tabs>
          <w:tab w:val="left" w:pos="1720"/>
        </w:tabs>
        <w:spacing w:after="48" w:afterLines="20"/>
      </w:pPr>
      <w:r>
        <w:rPr>
          <w:rStyle w:val="medium"/>
          <w:b/>
          <w:bCs/>
        </w:rPr>
        <w:t>VIPP</w:t>
      </w:r>
      <w:r>
        <w:rPr>
          <w:rStyle w:val="medium"/>
          <w:b/>
          <w:bCs/>
        </w:rPr>
        <w:tab/>
      </w:r>
      <w:r>
        <w:t>Victorian Industry Participation Policy</w:t>
      </w:r>
    </w:p>
    <w:p w:rsidR="000D6E6A" w:rsidP="00390ABD" w:rsidRDefault="000D6E6A">
      <w:pPr>
        <w:pStyle w:val="bodycopytabletable"/>
        <w:tabs>
          <w:tab w:val="left" w:pos="1720"/>
        </w:tabs>
        <w:spacing w:after="48" w:afterLines="20"/>
      </w:pPr>
      <w:r>
        <w:rPr>
          <w:rStyle w:val="medium"/>
          <w:b/>
          <w:bCs/>
        </w:rPr>
        <w:t xml:space="preserve">VLA </w:t>
      </w:r>
      <w:r>
        <w:rPr>
          <w:rStyle w:val="medium"/>
          <w:b/>
          <w:bCs/>
        </w:rPr>
        <w:tab/>
      </w:r>
      <w:r>
        <w:t xml:space="preserve">Victoria Legal Aid </w:t>
      </w:r>
    </w:p>
    <w:p w:rsidR="000D6E6A" w:rsidP="00390ABD" w:rsidRDefault="000D6E6A">
      <w:pPr>
        <w:pStyle w:val="bodycopytabletable"/>
        <w:tabs>
          <w:tab w:val="left" w:pos="1720"/>
        </w:tabs>
        <w:spacing w:after="48" w:afterLines="20"/>
      </w:pPr>
      <w:r>
        <w:rPr>
          <w:rStyle w:val="medium"/>
          <w:b/>
          <w:bCs/>
        </w:rPr>
        <w:t xml:space="preserve">VLRC </w:t>
      </w:r>
      <w:r>
        <w:rPr>
          <w:rStyle w:val="medium"/>
          <w:b/>
          <w:bCs/>
        </w:rPr>
        <w:tab/>
      </w:r>
      <w:r>
        <w:t xml:space="preserve">Victorian Law Reform Commission </w:t>
      </w:r>
    </w:p>
    <w:p w:rsidR="000D6E6A" w:rsidP="00390ABD" w:rsidRDefault="000D6E6A">
      <w:pPr>
        <w:pStyle w:val="bodycopytabletable"/>
        <w:tabs>
          <w:tab w:val="left" w:pos="1720"/>
        </w:tabs>
        <w:spacing w:after="48" w:afterLines="20"/>
      </w:pPr>
      <w:proofErr w:type="spellStart"/>
      <w:r>
        <w:rPr>
          <w:rStyle w:val="medium"/>
          <w:b/>
          <w:bCs/>
        </w:rPr>
        <w:t>VPeR</w:t>
      </w:r>
      <w:proofErr w:type="spellEnd"/>
      <w:r>
        <w:rPr>
          <w:rStyle w:val="medium"/>
          <w:b/>
          <w:bCs/>
        </w:rPr>
        <w:tab/>
      </w:r>
      <w:r>
        <w:t>Victoria Police e-Referral system</w:t>
      </w:r>
    </w:p>
    <w:p w:rsidR="000D6E6A" w:rsidP="00390ABD" w:rsidRDefault="000D6E6A">
      <w:pPr>
        <w:pStyle w:val="bodycopytabletable"/>
        <w:tabs>
          <w:tab w:val="left" w:pos="1720"/>
        </w:tabs>
        <w:spacing w:after="48" w:afterLines="20"/>
      </w:pPr>
      <w:r>
        <w:rPr>
          <w:rStyle w:val="medium"/>
          <w:b/>
          <w:bCs/>
        </w:rPr>
        <w:t>VPS</w:t>
      </w:r>
      <w:r>
        <w:rPr>
          <w:rStyle w:val="medium"/>
          <w:b/>
          <w:bCs/>
        </w:rPr>
        <w:tab/>
      </w:r>
      <w:r>
        <w:t>Victorian Public Sector</w:t>
      </w:r>
    </w:p>
    <w:p w:rsidR="000D6E6A" w:rsidP="00390ABD" w:rsidRDefault="000D6E6A">
      <w:pPr>
        <w:pStyle w:val="bodycopytabletable"/>
        <w:tabs>
          <w:tab w:val="left" w:pos="1720"/>
        </w:tabs>
        <w:spacing w:after="48" w:afterLines="20"/>
      </w:pPr>
      <w:r>
        <w:rPr>
          <w:rStyle w:val="medium"/>
          <w:b/>
          <w:bCs/>
        </w:rPr>
        <w:t>VRIB</w:t>
      </w:r>
      <w:r>
        <w:rPr>
          <w:rStyle w:val="medium"/>
          <w:b/>
          <w:bCs/>
        </w:rPr>
        <w:tab/>
      </w:r>
      <w:r>
        <w:t>Victorian Racing Integrity Board</w:t>
      </w:r>
    </w:p>
    <w:p w:rsidR="000D6E6A" w:rsidP="00390ABD" w:rsidRDefault="000D6E6A">
      <w:pPr>
        <w:pStyle w:val="bodycopytabletable"/>
        <w:tabs>
          <w:tab w:val="left" w:pos="1720"/>
        </w:tabs>
        <w:spacing w:after="48" w:afterLines="20"/>
      </w:pPr>
      <w:r>
        <w:rPr>
          <w:rStyle w:val="medium"/>
          <w:b/>
          <w:bCs/>
        </w:rPr>
        <w:t xml:space="preserve">VSA </w:t>
      </w:r>
      <w:r>
        <w:rPr>
          <w:rStyle w:val="medium"/>
          <w:b/>
          <w:bCs/>
        </w:rPr>
        <w:tab/>
      </w:r>
      <w:r>
        <w:t xml:space="preserve">Victims Support Agency </w:t>
      </w:r>
    </w:p>
    <w:p w:rsidR="000D6E6A" w:rsidP="00390ABD" w:rsidRDefault="000D6E6A">
      <w:pPr>
        <w:pStyle w:val="bodycopytabletable"/>
        <w:tabs>
          <w:tab w:val="left" w:pos="1720"/>
        </w:tabs>
        <w:spacing w:after="48" w:afterLines="20"/>
      </w:pPr>
      <w:r>
        <w:rPr>
          <w:rStyle w:val="medium"/>
          <w:b/>
          <w:bCs/>
        </w:rPr>
        <w:t xml:space="preserve">WWC </w:t>
      </w:r>
      <w:r>
        <w:rPr>
          <w:rStyle w:val="medium"/>
          <w:b/>
          <w:bCs/>
        </w:rPr>
        <w:tab/>
      </w:r>
      <w:r>
        <w:t xml:space="preserve">Working </w:t>
      </w:r>
      <w:proofErr w:type="gramStart"/>
      <w:r>
        <w:t>With</w:t>
      </w:r>
      <w:proofErr w:type="gramEnd"/>
      <w:r>
        <w:t xml:space="preserve"> Children </w:t>
      </w:r>
    </w:p>
    <w:p w:rsidR="000D6E6A" w:rsidP="00390ABD" w:rsidRDefault="000D6E6A">
      <w:pPr>
        <w:pStyle w:val="bodycopytabletable"/>
        <w:tabs>
          <w:tab w:val="left" w:pos="1720"/>
        </w:tabs>
        <w:spacing w:after="48" w:afterLines="20"/>
      </w:pPr>
      <w:r>
        <w:rPr>
          <w:rStyle w:val="medium"/>
          <w:b/>
          <w:bCs/>
        </w:rPr>
        <w:t>YCO</w:t>
      </w:r>
      <w:r>
        <w:rPr>
          <w:rStyle w:val="medium"/>
          <w:b/>
          <w:bCs/>
        </w:rPr>
        <w:tab/>
      </w:r>
      <w:r>
        <w:t>Youth Control Order</w:t>
      </w:r>
    </w:p>
    <w:sectPr w:rsidR="000D6E6A">
      <w:pgSz w:w="11906" w:h="16838"/>
      <w:pgMar w:top="850" w:right="850" w:bottom="850" w:left="850" w:header="720" w:footer="720" w:gutter="0"/>
      <w:cols w:space="720"/>
      <w:noEndnote/>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endnote w:type="separator" w:id="-1">
    <w:p w:rsidR="008903FE" w:rsidRDefault="008903FE">
      <w:r>
        <w:separator/>
      </w:r>
    </w:p>
  </w:endnote>
  <w:endnote w:type="continuationSeparator" w:id="0">
    <w:p w:rsidR="008903FE" w:rsidRDefault="008903FE">
      <w:r>
        <w:continuationSeparator/>
      </w: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2A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footnote w:type="separator" w:id="-1">
    <w:p w:rsidR="008903FE" w:rsidRDefault="008903FE">
      <w:r>
        <w:separator/>
      </w:r>
    </w:p>
  </w:footnote>
  <w:footnote w:type="continuationSeparator" w:id="0">
    <w:p w:rsidR="008903FE" w:rsidRDefault="008903FE">
      <w:r>
        <w:continuationSeparator/>
      </w:r>
    </w:p>
  </w:footnote>
  <w:footnote w:id="1">
    <w:p w:rsidR="00B51F57" w:rsidRDefault="00B51F57">
      <w:pPr>
        <w:pStyle w:val="footnote"/>
      </w:pPr>
      <w:r>
        <w:rPr>
          <w:vertAlign w:val="superscript"/>
        </w:rPr>
        <w:footnoteRef/>
      </w:r>
      <w:r>
        <w:tab/>
        <w:t xml:space="preserve">  Effective from 3 April 2017.</w:t>
      </w:r>
    </w:p>
    <w:p w:rsidR="00B51F57" w:rsidRDefault="00B51F57">
      <w:pPr>
        <w:pStyle w:val="footnote"/>
      </w:pPr>
    </w:p>
  </w:footnote>
</w:footnotes>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abstractNum w:abstractNumId="0">
    <w:nsid w:val="040B4B73"/>
    <w:multiLevelType w:val="multilevel"/>
    <w:tmpl w:val="A1CEED90"/>
    <w:lvl w:ilvl="0">
      <w:start w:val="1"/>
      <w:numFmt w:val="bullet"/>
      <w:lvlText w:val=""/>
      <w:lvlJc w:val="left"/>
      <w:pPr>
        <w:ind w:left="227" w:hanging="22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
    <w:nsid w:val="42D11737"/>
    <w:multiLevelType w:val="multilevel"/>
    <w:tmpl w:val="FDEE2CD8"/>
    <w:lvl w:ilvl="0">
      <w:start w:val="1"/>
      <w:numFmt w:val="bullet"/>
      <w:lvlText w:val="o"/>
      <w:lvlJc w:val="left"/>
      <w:pPr>
        <w:ind w:left="454" w:hanging="227"/>
      </w:pPr>
      <w:rPr>
        <w:rFonts w:hint="default" w:ascii="Courier New" w:hAnsi="Courier New"/>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
    <w:nsid w:val="43670559"/>
    <w:multiLevelType w:val="hybridMultilevel"/>
    <w:tmpl w:val="FDEE2CD8"/>
    <w:lvl w:ilvl="0" w:tplc="6EA88136">
      <w:start w:val="1"/>
      <w:numFmt w:val="bullet"/>
      <w:pStyle w:val="BodycopybulletL2"/>
      <w:lvlText w:val="o"/>
      <w:lvlJc w:val="left"/>
      <w:pPr>
        <w:ind w:left="454" w:hanging="227"/>
      </w:pPr>
      <w:rPr>
        <w:rFonts w:hint="default" w:ascii="Courier New" w:hAnsi="Courier New"/>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3">
    <w:nsid w:val="57632718"/>
    <w:multiLevelType w:val="hybridMultilevel"/>
    <w:tmpl w:val="0D0286AA"/>
    <w:lvl w:ilvl="0" w:tplc="37483068">
      <w:start w:val="1"/>
      <w:numFmt w:val="bullet"/>
      <w:lvlText w:val=""/>
      <w:lvlJc w:val="left"/>
      <w:pPr>
        <w:ind w:left="227" w:hanging="227"/>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4">
    <w:nsid w:val="57F80BD3"/>
    <w:multiLevelType w:val="hybridMultilevel"/>
    <w:tmpl w:val="A1CEED90"/>
    <w:lvl w:ilvl="0" w:tplc="87CC3FD2">
      <w:start w:val="1"/>
      <w:numFmt w:val="bullet"/>
      <w:pStyle w:val="BodycopyBullet"/>
      <w:lvlText w:val=""/>
      <w:lvlJc w:val="left"/>
      <w:pPr>
        <w:ind w:left="227" w:hanging="227"/>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E6A"/>
    <w:rsid w:val="00096403"/>
    <w:rsid w:val="000B42AC"/>
    <w:rsid w:val="000D6E6A"/>
    <w:rsid w:val="00106863"/>
    <w:rsid w:val="00116C19"/>
    <w:rsid w:val="001D6547"/>
    <w:rsid w:val="00207C70"/>
    <w:rsid w:val="002A3D56"/>
    <w:rsid w:val="00390ABD"/>
    <w:rsid w:val="003E113F"/>
    <w:rsid w:val="0070501A"/>
    <w:rsid w:val="00771181"/>
    <w:rsid w:val="007F156A"/>
    <w:rsid w:val="008903FE"/>
    <w:rsid w:val="00975736"/>
    <w:rsid w:val="009B6B2A"/>
    <w:rsid w:val="00AE012A"/>
    <w:rsid w:val="00B51F57"/>
    <w:rsid w:val="00D92A2B"/>
    <w:rsid w:val="00F12C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xmlns:o="urn:schemas-microsoft-com:office:office" xmlns:v="urn:schemas-microsoft-com:vml" spidmax="1026" v:ext="edit"/>
    <o:shapelayout xmlns:o="urn:schemas-microsoft-com:office:office" xmlns:v="urn:schemas-microsoft-com:vml" v:ext="edit">
      <o:idmap data="1" v:ext="edit"/>
    </o:shapelayout>
  </w:shapeDefaults>
  <w:decimalSymbol w:val="."/>
  <w:listSeparator w:val=","/>
  <w14:docId w14:val="1B6CD603"/>
  <w15:docId w15:val="{628FD555-5817-7547-B528-DEA1B4984715}"/>
  <w14:defaultImageDpi w14:val="0"/>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docDefaults>
    <w:rPrDefault>
      <w:rPr>
        <w:rFonts w:asciiTheme="minorHAnsi" w:hAnsiTheme="minorHAnsi" w:eastAsiaTheme="minorEastAsia" w:cstheme="minorBidi"/>
        <w:sz w:val="24"/>
        <w:szCs w:val="24"/>
        <w:lang w:val="en-AU" w:eastAsia="en-US" w:bidi="ar-SA"/>
      </w:rPr>
    </w:rPrDefault>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paragraph" w:styleId="Heading1">
    <w:name w:val="heading 1"/>
    <w:basedOn w:val="Normal"/>
    <w:next w:val="Normal"/>
    <w:link w:val="Heading1Char"/>
    <w:uiPriority w:val="9"/>
    <w:qFormat/>
    <w:rsid w:val="002A3D56"/>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A3D56"/>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A3D56"/>
    <w:pPr>
      <w:keepNext/>
      <w:keepLines/>
      <w:spacing w:before="40"/>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link w:val="Heading4Char"/>
    <w:uiPriority w:val="9"/>
    <w:semiHidden/>
    <w:unhideWhenUsed/>
    <w:qFormat/>
    <w:rsid w:val="002A3D56"/>
    <w:pPr>
      <w:keepNext/>
      <w:keepLines/>
      <w:spacing w:before="40"/>
      <w:outlineLvl w:val="3"/>
    </w:pPr>
    <w:rPr>
      <w:rFonts w:asciiTheme="majorHAnsi" w:hAnsiTheme="majorHAnsi" w:eastAsiaTheme="majorEastAsia" w:cstheme="majorBidi"/>
      <w:i/>
      <w:iCs/>
      <w:color w:val="2F5496" w:themeColor="accent1" w:themeShade="BF"/>
    </w:rPr>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NoParagraphStyle" w:customStyle="true">
    <w:name w:val="[No Paragraph Style]"/>
    <w:pPr>
      <w:widowControl w:val="false"/>
      <w:autoSpaceDE w:val="false"/>
      <w:autoSpaceDN w:val="false"/>
      <w:adjustRightInd w:val="false"/>
      <w:spacing w:line="288" w:lineRule="auto"/>
      <w:textAlignment w:val="center"/>
    </w:pPr>
    <w:rPr>
      <w:rFonts w:ascii="Arial" w:hAnsi="Arial" w:cs="Arial"/>
      <w:color w:val="000000"/>
      <w:lang w:val="en-US"/>
    </w:rPr>
  </w:style>
  <w:style w:type="paragraph" w:styleId="H1" w:customStyle="true">
    <w:name w:val="H1"/>
    <w:basedOn w:val="NoParagraphStyle"/>
    <w:uiPriority w:val="99"/>
    <w:rsid w:val="007F156A"/>
    <w:pPr>
      <w:suppressAutoHyphens/>
      <w:spacing w:after="120" w:line="240" w:lineRule="auto"/>
    </w:pPr>
    <w:rPr>
      <w:b/>
      <w:bCs/>
      <w:color w:val="542E8E"/>
      <w:sz w:val="36"/>
      <w:szCs w:val="36"/>
      <w:lang w:val="en-GB"/>
    </w:rPr>
  </w:style>
  <w:style w:type="paragraph" w:styleId="Bodycopy" w:customStyle="true">
    <w:name w:val="Body copy"/>
    <w:basedOn w:val="NoParagraphStyle"/>
    <w:uiPriority w:val="99"/>
    <w:rsid w:val="007F156A"/>
    <w:pPr>
      <w:suppressAutoHyphens/>
      <w:spacing w:after="120" w:line="240" w:lineRule="auto"/>
    </w:pPr>
    <w:rPr>
      <w:sz w:val="18"/>
      <w:szCs w:val="18"/>
      <w:lang w:val="en-GB"/>
    </w:rPr>
  </w:style>
  <w:style w:type="paragraph" w:styleId="BodycopyBullet" w:customStyle="true">
    <w:name w:val="Body copy Bullet"/>
    <w:basedOn w:val="NoParagraphStyle"/>
    <w:uiPriority w:val="99"/>
    <w:rsid w:val="007F156A"/>
    <w:pPr>
      <w:numPr>
        <w:numId w:val="1"/>
      </w:numPr>
      <w:tabs>
        <w:tab w:val="left" w:pos="283"/>
      </w:tabs>
      <w:suppressAutoHyphens/>
      <w:spacing w:after="120" w:line="240" w:lineRule="auto"/>
    </w:pPr>
    <w:rPr>
      <w:sz w:val="18"/>
      <w:szCs w:val="18"/>
      <w:lang w:val="en-GB"/>
    </w:rPr>
  </w:style>
  <w:style w:type="paragraph" w:styleId="H3" w:customStyle="true">
    <w:name w:val="H3"/>
    <w:basedOn w:val="NoParagraphStyle"/>
    <w:uiPriority w:val="99"/>
    <w:pPr>
      <w:suppressAutoHyphens/>
      <w:spacing w:before="57" w:after="57" w:line="270" w:lineRule="atLeast"/>
    </w:pPr>
    <w:rPr>
      <w:b/>
      <w:bCs/>
      <w:color w:val="542E8E"/>
      <w:lang w:val="en-GB"/>
    </w:rPr>
  </w:style>
  <w:style w:type="paragraph" w:styleId="notestable" w:customStyle="true">
    <w:name w:val="notes (table)"/>
    <w:basedOn w:val="NoParagraphStyle"/>
    <w:uiPriority w:val="99"/>
    <w:rsid w:val="007F156A"/>
    <w:pPr>
      <w:tabs>
        <w:tab w:val="left" w:pos="283"/>
      </w:tabs>
      <w:suppressAutoHyphens/>
      <w:spacing w:after="28" w:line="240" w:lineRule="auto"/>
    </w:pPr>
    <w:rPr>
      <w:sz w:val="14"/>
      <w:szCs w:val="14"/>
      <w:lang w:val="en-GB"/>
    </w:rPr>
  </w:style>
  <w:style w:type="paragraph" w:styleId="H2" w:customStyle="true">
    <w:name w:val="H2"/>
    <w:basedOn w:val="NoParagraphStyle"/>
    <w:uiPriority w:val="99"/>
    <w:rsid w:val="007F156A"/>
    <w:pPr>
      <w:suppressAutoHyphens/>
      <w:spacing w:before="120" w:after="120" w:line="240" w:lineRule="auto"/>
    </w:pPr>
    <w:rPr>
      <w:b/>
      <w:bCs/>
      <w:color w:val="542E8E"/>
      <w:sz w:val="27"/>
      <w:szCs w:val="27"/>
      <w:lang w:val="en-GB"/>
    </w:rPr>
  </w:style>
  <w:style w:type="paragraph" w:styleId="H4" w:customStyle="true">
    <w:name w:val="H4"/>
    <w:basedOn w:val="NoParagraphStyle"/>
    <w:uiPriority w:val="99"/>
    <w:rsid w:val="007F156A"/>
    <w:pPr>
      <w:suppressAutoHyphens/>
      <w:spacing w:before="120" w:after="60" w:line="240" w:lineRule="auto"/>
    </w:pPr>
    <w:rPr>
      <w:color w:val="542E8E"/>
      <w:sz w:val="21"/>
      <w:szCs w:val="21"/>
      <w:lang w:val="en-GB"/>
    </w:rPr>
  </w:style>
  <w:style w:type="paragraph" w:styleId="BodycopyBulletspaceunder" w:customStyle="true">
    <w:name w:val="Body copy Bullet space under"/>
    <w:basedOn w:val="BodycopyBullet"/>
    <w:uiPriority w:val="99"/>
    <w:rsid w:val="007F156A"/>
  </w:style>
  <w:style w:type="paragraph" w:styleId="Bodycopyindent" w:customStyle="true">
    <w:name w:val="Body copy indent"/>
    <w:basedOn w:val="Bodycopy"/>
    <w:uiPriority w:val="99"/>
    <w:rsid w:val="00207C70"/>
    <w:pPr>
      <w:ind w:left="227"/>
    </w:pPr>
    <w:rPr>
      <w:i/>
      <w:iCs/>
    </w:rPr>
  </w:style>
  <w:style w:type="paragraph" w:styleId="BodycopybulletL2" w:customStyle="true">
    <w:name w:val="Body copy bullet L2"/>
    <w:basedOn w:val="BodycopyBullet"/>
    <w:uiPriority w:val="99"/>
    <w:pPr>
      <w:numPr>
        <w:numId w:val="3"/>
      </w:numPr>
    </w:pPr>
  </w:style>
  <w:style w:type="paragraph" w:styleId="Bodycopyspan" w:customStyle="true">
    <w:name w:val="Body copy span"/>
    <w:basedOn w:val="Bodycopy"/>
    <w:uiPriority w:val="99"/>
    <w:rPr>
      <w:i/>
      <w:iCs/>
    </w:rPr>
  </w:style>
  <w:style w:type="paragraph" w:styleId="notesspantable" w:customStyle="true">
    <w:name w:val="notes span (table)"/>
    <w:basedOn w:val="notestable"/>
    <w:uiPriority w:val="99"/>
  </w:style>
  <w:style w:type="paragraph" w:styleId="notesspanlastrowtable" w:customStyle="true">
    <w:name w:val="notes span last row (table)"/>
    <w:basedOn w:val="notestable"/>
    <w:uiPriority w:val="99"/>
    <w:pPr>
      <w:spacing w:after="227"/>
    </w:pPr>
  </w:style>
  <w:style w:type="paragraph" w:styleId="Tableheading" w:customStyle="true">
    <w:name w:val="Table heading"/>
    <w:basedOn w:val="NoParagraphStyle"/>
    <w:uiPriority w:val="99"/>
    <w:pPr>
      <w:suppressAutoHyphens/>
      <w:spacing w:before="28" w:after="113" w:line="240" w:lineRule="atLeast"/>
    </w:pPr>
    <w:rPr>
      <w:i/>
      <w:iCs/>
      <w:color w:val="542E8E"/>
      <w:sz w:val="18"/>
      <w:szCs w:val="18"/>
      <w:lang w:val="en-GB"/>
    </w:rPr>
  </w:style>
  <w:style w:type="paragraph" w:styleId="Image" w:customStyle="true">
    <w:name w:val="Image"/>
    <w:basedOn w:val="NoParagraphStyle"/>
    <w:uiPriority w:val="99"/>
  </w:style>
  <w:style w:type="paragraph" w:styleId="H5" w:customStyle="true">
    <w:name w:val="H5"/>
    <w:basedOn w:val="NoParagraphStyle"/>
    <w:uiPriority w:val="99"/>
    <w:pPr>
      <w:suppressAutoHyphens/>
      <w:spacing w:before="57" w:after="28" w:line="220" w:lineRule="atLeast"/>
    </w:pPr>
    <w:rPr>
      <w:i/>
      <w:iCs/>
      <w:color w:val="542E8E"/>
      <w:sz w:val="18"/>
      <w:szCs w:val="18"/>
      <w:lang w:val="en-GB"/>
    </w:rPr>
  </w:style>
  <w:style w:type="paragraph" w:styleId="OutputheaderOutputs" w:customStyle="true">
    <w:name w:val="Output header (Outputs)"/>
    <w:basedOn w:val="Bodycopy"/>
    <w:uiPriority w:val="99"/>
    <w:rsid w:val="00B51F57"/>
    <w:pPr>
      <w:shd w:val="clear" w:color="542F8E" w:fill="DCD6E7"/>
      <w:spacing w:before="120" w:after="60"/>
    </w:pPr>
    <w:rPr>
      <w:b/>
      <w:bCs/>
      <w:color w:val="542E8E"/>
      <w:sz w:val="20"/>
    </w:rPr>
  </w:style>
  <w:style w:type="paragraph" w:styleId="PurplebulletsOutputs" w:customStyle="true">
    <w:name w:val="Purple bullets (Outputs)"/>
    <w:basedOn w:val="NoParagraphStyle"/>
    <w:uiPriority w:val="99"/>
    <w:pPr>
      <w:suppressAutoHyphens/>
      <w:spacing w:after="43" w:line="220" w:lineRule="atLeast"/>
      <w:ind w:left="170" w:hanging="170"/>
    </w:pPr>
    <w:rPr>
      <w:color w:val="542E8E"/>
      <w:sz w:val="18"/>
      <w:szCs w:val="18"/>
      <w:lang w:val="en-GB"/>
    </w:rPr>
  </w:style>
  <w:style w:type="paragraph" w:styleId="PurplebulletunderlineOutputs" w:customStyle="true">
    <w:name w:val="Purple bullet underline (Outputs)"/>
    <w:basedOn w:val="PurplebulletsOutputs"/>
    <w:uiPriority w:val="99"/>
    <w:pPr>
      <w:pBdr>
        <w:bottom w:val="single" w:color="auto" w:sz="16" w:space="7"/>
      </w:pBdr>
      <w:spacing w:after="340"/>
    </w:pPr>
  </w:style>
  <w:style w:type="paragraph" w:styleId="PurpleTextunderlineOutputs" w:customStyle="true">
    <w:name w:val="Purple Text underline (Outputs)"/>
    <w:basedOn w:val="PurplebulletunderlineOutputs"/>
    <w:uiPriority w:val="99"/>
    <w:rsid w:val="00B51F57"/>
    <w:pPr>
      <w:pBdr>
        <w:bottom w:val="none" w:color="auto" w:sz="0" w:space="0"/>
      </w:pBdr>
      <w:shd w:val="clear" w:color="auto" w:fill="DCD6E7"/>
      <w:spacing w:after="240" w:line="240" w:lineRule="auto"/>
      <w:ind w:left="0" w:firstLine="0"/>
    </w:pPr>
  </w:style>
  <w:style w:type="paragraph" w:styleId="bodycopytabletable" w:customStyle="true">
    <w:name w:val="body copy table  (table)"/>
    <w:basedOn w:val="Bodycopy"/>
    <w:uiPriority w:val="99"/>
    <w:rsid w:val="007F156A"/>
    <w:pPr>
      <w:spacing w:after="0"/>
    </w:pPr>
    <w:rPr>
      <w:sz w:val="16"/>
      <w:szCs w:val="16"/>
    </w:rPr>
  </w:style>
  <w:style w:type="paragraph" w:styleId="tableheadingstable" w:customStyle="true">
    <w:name w:val="table headings (table)"/>
    <w:basedOn w:val="bodycopytabletable"/>
    <w:uiPriority w:val="99"/>
    <w:rPr>
      <w:b/>
      <w:bCs/>
      <w:color w:val="542E8E"/>
    </w:rPr>
  </w:style>
  <w:style w:type="paragraph" w:styleId="footnote" w:customStyle="true">
    <w:name w:val="footnote"/>
    <w:basedOn w:val="NoParagraphStyle"/>
    <w:uiPriority w:val="99"/>
    <w:pPr>
      <w:suppressAutoHyphens/>
      <w:ind w:left="227" w:hanging="227"/>
    </w:pPr>
    <w:rPr>
      <w:sz w:val="14"/>
      <w:szCs w:val="14"/>
      <w:lang w:val="en-GB"/>
    </w:rPr>
  </w:style>
  <w:style w:type="character" w:styleId="italic" w:customStyle="true">
    <w:name w:val="italic"/>
    <w:uiPriority w:val="99"/>
    <w:rPr>
      <w:i/>
      <w:iCs/>
    </w:rPr>
  </w:style>
  <w:style w:type="character" w:styleId="Superscript" w:customStyle="true">
    <w:name w:val="Superscript"/>
    <w:uiPriority w:val="99"/>
    <w:rsid w:val="00207C70"/>
    <w:rPr>
      <w:color w:val="000000" w:themeColor="text1"/>
      <w:vertAlign w:val="superscript"/>
    </w:rPr>
  </w:style>
  <w:style w:type="character" w:styleId="RegularItalic" w:customStyle="true">
    <w:name w:val="Regular Italic"/>
    <w:uiPriority w:val="99"/>
    <w:rPr>
      <w:i/>
      <w:iCs/>
      <w:color w:val="542E8E"/>
    </w:rPr>
  </w:style>
  <w:style w:type="character" w:styleId="medium" w:customStyle="true">
    <w:name w:val="medium"/>
    <w:uiPriority w:val="99"/>
    <w:rPr>
      <w:color w:val="000000"/>
    </w:rPr>
  </w:style>
  <w:style w:type="character" w:styleId="mediumpurple" w:customStyle="true">
    <w:name w:val="medium purple"/>
    <w:basedOn w:val="medium"/>
    <w:uiPriority w:val="99"/>
    <w:rPr>
      <w:color w:val="542E8E"/>
    </w:rPr>
  </w:style>
  <w:style w:type="character" w:styleId="Purple" w:customStyle="true">
    <w:name w:val="Purple"/>
    <w:uiPriority w:val="99"/>
    <w:rPr>
      <w:color w:val="542E8E"/>
    </w:rPr>
  </w:style>
  <w:style w:type="character" w:styleId="bold" w:customStyle="true">
    <w:name w:val="bold"/>
    <w:uiPriority w:val="99"/>
    <w:rPr>
      <w:b/>
      <w:bCs/>
    </w:rPr>
  </w:style>
  <w:style w:type="character" w:styleId="Heading1Char" w:customStyle="true">
    <w:name w:val="Heading 1 Char"/>
    <w:basedOn w:val="DefaultParagraphFont"/>
    <w:link w:val="Heading1"/>
    <w:uiPriority w:val="9"/>
    <w:rsid w:val="002A3D56"/>
    <w:rPr>
      <w:rFonts w:asciiTheme="majorHAnsi" w:hAnsiTheme="majorHAnsi" w:eastAsiaTheme="majorEastAsia" w:cstheme="majorBidi"/>
      <w:color w:val="2F5496" w:themeColor="accent1" w:themeShade="BF"/>
      <w:sz w:val="32"/>
      <w:szCs w:val="32"/>
    </w:rPr>
  </w:style>
  <w:style w:type="paragraph" w:styleId="TOC1">
    <w:name w:val="toc 1"/>
    <w:basedOn w:val="Bodycopy"/>
    <w:next w:val="Normal"/>
    <w:autoRedefine/>
    <w:uiPriority w:val="39"/>
    <w:unhideWhenUsed/>
    <w:rsid w:val="002A3D56"/>
    <w:pPr>
      <w:spacing w:after="100"/>
    </w:pPr>
  </w:style>
  <w:style w:type="character" w:styleId="Heading2Char" w:customStyle="true">
    <w:name w:val="Heading 2 Char"/>
    <w:basedOn w:val="DefaultParagraphFont"/>
    <w:link w:val="Heading2"/>
    <w:uiPriority w:val="9"/>
    <w:semiHidden/>
    <w:rsid w:val="002A3D56"/>
    <w:rPr>
      <w:rFonts w:asciiTheme="majorHAnsi" w:hAnsiTheme="majorHAnsi" w:eastAsiaTheme="majorEastAsia" w:cstheme="majorBidi"/>
      <w:color w:val="2F5496" w:themeColor="accent1" w:themeShade="BF"/>
      <w:sz w:val="26"/>
      <w:szCs w:val="26"/>
    </w:rPr>
  </w:style>
  <w:style w:type="character" w:styleId="Heading3Char" w:customStyle="true">
    <w:name w:val="Heading 3 Char"/>
    <w:basedOn w:val="DefaultParagraphFont"/>
    <w:link w:val="Heading3"/>
    <w:uiPriority w:val="9"/>
    <w:semiHidden/>
    <w:rsid w:val="002A3D56"/>
    <w:rPr>
      <w:rFonts w:asciiTheme="majorHAnsi" w:hAnsiTheme="majorHAnsi" w:eastAsiaTheme="majorEastAsia" w:cstheme="majorBidi"/>
      <w:color w:val="1F3763" w:themeColor="accent1" w:themeShade="7F"/>
    </w:rPr>
  </w:style>
  <w:style w:type="character" w:styleId="Heading4Char" w:customStyle="true">
    <w:name w:val="Heading 4 Char"/>
    <w:basedOn w:val="DefaultParagraphFont"/>
    <w:link w:val="Heading4"/>
    <w:uiPriority w:val="9"/>
    <w:semiHidden/>
    <w:rsid w:val="002A3D56"/>
    <w:rPr>
      <w:rFonts w:asciiTheme="majorHAnsi" w:hAnsiTheme="majorHAnsi" w:eastAsiaTheme="majorEastAsia" w:cstheme="majorBidi"/>
      <w:i/>
      <w:iCs/>
      <w:color w:val="2F5496" w:themeColor="accent1" w:themeShade="BF"/>
    </w:rPr>
  </w:style>
  <w:style w:type="character" w:styleId="Hyperlink">
    <w:name w:val="Hyperlink"/>
    <w:basedOn w:val="DefaultParagraphFont"/>
    <w:uiPriority w:val="99"/>
    <w:unhideWhenUsed/>
    <w:rsid w:val="002A3D56"/>
    <w:rPr>
      <w:color w:val="0563C1" w:themeColor="hyperlink"/>
      <w:u w:val="single"/>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optimizeForBrowser/>
  <w:allowPNG/>
  <w:pixelsPerInch w:val="72"/>
</w:webSettings>
</file>

<file path=word/_rels/document.xml.rels><?xml version="1.0" encoding="UTF-8"?>
<Relationships xmlns="http://schemas.openxmlformats.org/package/2006/relationships">
   <Relationship Target="media/image1.jpg" Type="http://schemas.openxmlformats.org/officeDocument/2006/relationships/image" Id="rId8"/>
   <Relationship Target="media/image6.jpg" Type="http://schemas.openxmlformats.org/officeDocument/2006/relationships/image" Id="rId13"/>
   <Relationship Target="styles.xml" Type="http://schemas.openxmlformats.org/officeDocument/2006/relationships/styles" Id="rId3"/>
   <Relationship Target="endnotes.xml" Type="http://schemas.openxmlformats.org/officeDocument/2006/relationships/endnotes" Id="rId7"/>
   <Relationship Target="media/image5.jpg" Type="http://schemas.openxmlformats.org/officeDocument/2006/relationships/image" Id="rId12"/>
   <Relationship Target="numbering.xml" Type="http://schemas.openxmlformats.org/officeDocument/2006/relationships/numbering" Id="rId2"/>
   <Relationship Target="theme/theme1.xml" Type="http://schemas.openxmlformats.org/officeDocument/2006/relationships/theme" Id="rId16"/>
   <Relationship Target="../customXml/item1.xml" Type="http://schemas.openxmlformats.org/officeDocument/2006/relationships/customXml" Id="rId1"/>
   <Relationship Target="footnotes.xml" Type="http://schemas.openxmlformats.org/officeDocument/2006/relationships/footnotes" Id="rId6"/>
   <Relationship Target="media/image4.jpg" Type="http://schemas.openxmlformats.org/officeDocument/2006/relationships/image" Id="rId11"/>
   <Relationship Target="webSettings.xml" Type="http://schemas.openxmlformats.org/officeDocument/2006/relationships/webSettings" Id="rId5"/>
   <Relationship Target="fontTable.xml" Type="http://schemas.openxmlformats.org/officeDocument/2006/relationships/fontTable" Id="rId15"/>
   <Relationship Target="media/image3.jpg" Type="http://schemas.openxmlformats.org/officeDocument/2006/relationships/image" Id="rId10"/>
   <Relationship Target="settings.xml" Type="http://schemas.openxmlformats.org/officeDocument/2006/relationships/settings" Id="rId4"/>
   <Relationship Target="media/image2.jpg" Type="http://schemas.openxmlformats.org/officeDocument/2006/relationships/image" Id="rId9"/>
   <Relationship Target="media/image7.jpeg" Type="http://schemas.openxmlformats.org/officeDocument/2006/relationships/image" Id="rId14"/>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item1.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3FCBBD1C-C266-A84A-88D3-CE3BA0BDA67B}">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Manager/>
  <properties:Company/>
  <properties:Pages>66</properties:Pages>
  <properties:Words>30153</properties:Words>
  <properties:Characters>168860</properties:Characters>
  <properties:Lines>7035</properties:Lines>
  <properties:Paragraphs>6219</properties:Paragraphs>
  <properties:TotalTime>98</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
    </vt:vector>
  </properties:TitlesOfParts>
  <properties:LinksUpToDate>false</properties:LinksUpToDate>
  <properties:CharactersWithSpaces>192794</properties:CharactersWithSpaces>
  <properties:SharedDoc>false</properties:SharedDoc>
  <properties:HyperlinkBase/>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cp:category/>
  <dcterms:created xmlns:xsi="http://www.w3.org/2001/XMLSchema-instance" xsi:type="dcterms:W3CDTF">2018-09-21T01:36:00Z</dcterms:created>
  <dc:creator/>
  <dc:description/>
  <cp:keywords/>
  <cp:lastModifiedBy/>
  <dcterms:modified xmlns:xsi="http://www.w3.org/2001/XMLSchema-instance" xsi:type="dcterms:W3CDTF">2018-09-21T03:35:00Z</dcterms:modified>
  <cp:revision>10</cp:revision>
  <dc:subject/>
  <dc:title>Department of Justice and Regulation Annual Report 2017-18</dc:title>
</cp:coreProperties>
</file>